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88BC" w14:textId="6EA3466C" w:rsidR="00E02398" w:rsidRDefault="00F7729D">
      <w:pPr>
        <w:rPr>
          <w:sz w:val="20"/>
          <w:lang w:val="en-US"/>
        </w:rPr>
      </w:pPr>
      <w:r>
        <w:rPr>
          <w:noProof/>
          <w:sz w:val="20"/>
          <w:lang w:val="en-US"/>
        </w:rPr>
        <w:drawing>
          <wp:anchor distT="0" distB="0" distL="114300" distR="114300" simplePos="0" relativeHeight="251671552" behindDoc="1" locked="0" layoutInCell="1" allowOverlap="1" wp14:anchorId="3E5A5B8B" wp14:editId="16D271B9">
            <wp:simplePos x="0" y="0"/>
            <wp:positionH relativeFrom="column">
              <wp:posOffset>4305300</wp:posOffset>
            </wp:positionH>
            <wp:positionV relativeFrom="paragraph">
              <wp:posOffset>63500</wp:posOffset>
            </wp:positionV>
            <wp:extent cx="1587500" cy="6884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0" cy="688418"/>
                    </a:xfrm>
                    <a:prstGeom prst="rect">
                      <a:avLst/>
                    </a:prstGeom>
                    <a:noFill/>
                    <a:ln>
                      <a:noFill/>
                    </a:ln>
                  </pic:spPr>
                </pic:pic>
              </a:graphicData>
            </a:graphic>
          </wp:anchor>
        </w:drawing>
      </w:r>
    </w:p>
    <w:p w14:paraId="7374BD49" w14:textId="65AB1075" w:rsidR="00E93354" w:rsidRPr="00504D11" w:rsidRDefault="00E02398" w:rsidP="00E93354">
      <w:pPr>
        <w:pStyle w:val="Heading2"/>
        <w:jc w:val="center"/>
        <w:rPr>
          <w:lang w:val="en-US"/>
        </w:rPr>
      </w:pPr>
      <w:r w:rsidRPr="00E93354">
        <w:rPr>
          <w:noProof/>
          <w:sz w:val="28"/>
          <w:lang w:val="en-US"/>
        </w:rPr>
        <w:drawing>
          <wp:anchor distT="0" distB="0" distL="114300" distR="114300" simplePos="0" relativeHeight="251663360" behindDoc="1" locked="0" layoutInCell="1" allowOverlap="1" wp14:anchorId="407B6724" wp14:editId="449B9102">
            <wp:simplePos x="0" y="0"/>
            <wp:positionH relativeFrom="margin">
              <wp:posOffset>-292100</wp:posOffset>
            </wp:positionH>
            <wp:positionV relativeFrom="paragraph">
              <wp:posOffset>-454660</wp:posOffset>
            </wp:positionV>
            <wp:extent cx="1784350" cy="112841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4350" cy="1128416"/>
                    </a:xfrm>
                    <a:prstGeom prst="rect">
                      <a:avLst/>
                    </a:prstGeom>
                    <a:noFill/>
                  </pic:spPr>
                </pic:pic>
              </a:graphicData>
            </a:graphic>
            <wp14:sizeRelH relativeFrom="margin">
              <wp14:pctWidth>0</wp14:pctWidth>
            </wp14:sizeRelH>
            <wp14:sizeRelV relativeFrom="margin">
              <wp14:pctHeight>0</wp14:pctHeight>
            </wp14:sizeRelV>
          </wp:anchor>
        </w:drawing>
      </w:r>
      <w:r w:rsidR="00173CF3" w:rsidRPr="00E93354">
        <w:rPr>
          <w:sz w:val="28"/>
          <w:lang w:val="en-US"/>
        </w:rPr>
        <w:t>GFCE Triple-I Day</w:t>
      </w:r>
      <w:r w:rsidR="00E93354" w:rsidRPr="00E93354">
        <w:rPr>
          <w:sz w:val="28"/>
        </w:rPr>
        <w:t xml:space="preserve"> </w:t>
      </w:r>
      <w:r w:rsidR="00E93354" w:rsidRPr="00E93354">
        <w:rPr>
          <w:sz w:val="28"/>
          <w:lang w:val="en-US"/>
        </w:rPr>
        <w:t>@</w:t>
      </w:r>
      <w:r w:rsidR="00504D11">
        <w:rPr>
          <w:sz w:val="28"/>
          <w:lang w:val="en-US"/>
        </w:rPr>
        <w:t>LACIGF</w:t>
      </w:r>
      <w:r w:rsidR="00E93354" w:rsidRPr="00E93354">
        <w:rPr>
          <w:sz w:val="28"/>
          <w:lang w:val="en-US"/>
        </w:rPr>
        <w:t>2019</w:t>
      </w:r>
      <w:r w:rsidR="00E93354" w:rsidRPr="00E93354">
        <w:rPr>
          <w:sz w:val="28"/>
        </w:rPr>
        <w:br/>
      </w:r>
      <w:r w:rsidR="00504D11">
        <w:rPr>
          <w:sz w:val="28"/>
          <w:lang w:val="en-US"/>
        </w:rPr>
        <w:t>Monday August 5</w:t>
      </w:r>
      <w:r w:rsidR="00E93354" w:rsidRPr="00E93354">
        <w:rPr>
          <w:sz w:val="28"/>
        </w:rPr>
        <w:t>, 2019</w:t>
      </w:r>
      <w:r w:rsidR="00E93354" w:rsidRPr="00E93354">
        <w:rPr>
          <w:sz w:val="28"/>
        </w:rPr>
        <w:br/>
      </w:r>
      <w:r w:rsidR="00504D11">
        <w:rPr>
          <w:sz w:val="28"/>
          <w:lang w:val="en-US"/>
        </w:rPr>
        <w:t>ATIX hotel, La Paz</w:t>
      </w:r>
      <w:r w:rsidR="00E93354" w:rsidRPr="00E93354">
        <w:rPr>
          <w:sz w:val="28"/>
        </w:rPr>
        <w:t xml:space="preserve">, </w:t>
      </w:r>
      <w:r w:rsidR="00504D11">
        <w:rPr>
          <w:sz w:val="28"/>
          <w:lang w:val="en-US"/>
        </w:rPr>
        <w:t>Bolivia</w:t>
      </w:r>
    </w:p>
    <w:p w14:paraId="7673727C" w14:textId="36F9EC6C" w:rsidR="00173CF3" w:rsidRDefault="00173CF3" w:rsidP="00E02398">
      <w:pPr>
        <w:pStyle w:val="Heading2"/>
        <w:jc w:val="center"/>
        <w:rPr>
          <w:lang w:val="en-US"/>
        </w:rPr>
      </w:pPr>
    </w:p>
    <w:p w14:paraId="3D8B16F6" w14:textId="0469BCF7" w:rsidR="00173CF3" w:rsidRPr="00E02398" w:rsidRDefault="00173CF3" w:rsidP="00E93354">
      <w:pPr>
        <w:pStyle w:val="Heading2"/>
        <w:jc w:val="center"/>
        <w:rPr>
          <w:sz w:val="40"/>
        </w:rPr>
      </w:pPr>
      <w:r w:rsidRPr="00E02398">
        <w:rPr>
          <w:sz w:val="40"/>
        </w:rPr>
        <w:t xml:space="preserve">Capacity Building towards a more trusted </w:t>
      </w:r>
      <w:r w:rsidR="00E93354">
        <w:rPr>
          <w:sz w:val="40"/>
        </w:rPr>
        <w:br/>
      </w:r>
      <w:r w:rsidRPr="00E02398">
        <w:rPr>
          <w:sz w:val="40"/>
        </w:rPr>
        <w:t>Internet experience in the region</w:t>
      </w:r>
    </w:p>
    <w:p w14:paraId="381D0768" w14:textId="77777777" w:rsidR="006F7EEA" w:rsidRDefault="006F7EEA" w:rsidP="00E02398">
      <w:pPr>
        <w:jc w:val="center"/>
        <w:rPr>
          <w:b/>
          <w:sz w:val="28"/>
          <w:lang w:val="en-US"/>
        </w:rPr>
      </w:pPr>
    </w:p>
    <w:p w14:paraId="6FC2E0BB" w14:textId="16A0F67E" w:rsidR="00173CF3" w:rsidRPr="00E02398" w:rsidRDefault="00173CF3" w:rsidP="00E02398">
      <w:pPr>
        <w:jc w:val="center"/>
        <w:rPr>
          <w:b/>
          <w:sz w:val="28"/>
          <w:lang w:val="en-US"/>
        </w:rPr>
      </w:pPr>
      <w:r w:rsidRPr="00E02398">
        <w:rPr>
          <w:b/>
          <w:sz w:val="28"/>
          <w:lang w:val="en-US"/>
        </w:rPr>
        <w:t>DRAFT AGENDA</w:t>
      </w:r>
    </w:p>
    <w:tbl>
      <w:tblPr>
        <w:tblStyle w:val="TableGrid"/>
        <w:tblW w:w="0" w:type="auto"/>
        <w:tblLook w:val="04A0" w:firstRow="1" w:lastRow="0" w:firstColumn="1" w:lastColumn="0" w:noHBand="0" w:noVBand="1"/>
      </w:tblPr>
      <w:tblGrid>
        <w:gridCol w:w="877"/>
        <w:gridCol w:w="5072"/>
        <w:gridCol w:w="3067"/>
      </w:tblGrid>
      <w:tr w:rsidR="00173CF3" w14:paraId="05362ED9" w14:textId="77777777" w:rsidTr="00E02398">
        <w:trPr>
          <w:trHeight w:val="357"/>
        </w:trPr>
        <w:tc>
          <w:tcPr>
            <w:tcW w:w="877" w:type="dxa"/>
            <w:shd w:val="clear" w:color="auto" w:fill="D9E2F3" w:themeFill="accent1" w:themeFillTint="33"/>
          </w:tcPr>
          <w:p w14:paraId="4EA632E5" w14:textId="2D6C4E6F" w:rsidR="00173CF3" w:rsidRPr="00D11223" w:rsidRDefault="00173CF3" w:rsidP="00044EE4">
            <w:pPr>
              <w:jc w:val="both"/>
              <w:rPr>
                <w:b/>
                <w:sz w:val="20"/>
                <w:lang w:val="en-US"/>
              </w:rPr>
            </w:pPr>
            <w:r w:rsidRPr="00D11223">
              <w:rPr>
                <w:b/>
                <w:sz w:val="20"/>
                <w:lang w:val="en-US"/>
              </w:rPr>
              <w:t>TIME</w:t>
            </w:r>
          </w:p>
        </w:tc>
        <w:tc>
          <w:tcPr>
            <w:tcW w:w="5072" w:type="dxa"/>
            <w:shd w:val="clear" w:color="auto" w:fill="D9E2F3" w:themeFill="accent1" w:themeFillTint="33"/>
          </w:tcPr>
          <w:p w14:paraId="58FB55EE" w14:textId="1C84048A" w:rsidR="00173CF3" w:rsidRPr="00D11223" w:rsidRDefault="00173CF3" w:rsidP="00044EE4">
            <w:pPr>
              <w:jc w:val="both"/>
              <w:rPr>
                <w:b/>
                <w:sz w:val="20"/>
                <w:lang w:val="en-US"/>
              </w:rPr>
            </w:pPr>
            <w:r w:rsidRPr="00D11223">
              <w:rPr>
                <w:b/>
                <w:sz w:val="20"/>
                <w:lang w:val="en-US"/>
              </w:rPr>
              <w:t>TOPIC(s)</w:t>
            </w:r>
          </w:p>
        </w:tc>
        <w:tc>
          <w:tcPr>
            <w:tcW w:w="3067" w:type="dxa"/>
            <w:shd w:val="clear" w:color="auto" w:fill="D9E2F3" w:themeFill="accent1" w:themeFillTint="33"/>
          </w:tcPr>
          <w:p w14:paraId="3D1C6407" w14:textId="6308A375" w:rsidR="00173CF3" w:rsidRPr="00D11223" w:rsidRDefault="00173CF3" w:rsidP="00044EE4">
            <w:pPr>
              <w:jc w:val="both"/>
              <w:rPr>
                <w:b/>
                <w:sz w:val="20"/>
                <w:lang w:val="en-US"/>
              </w:rPr>
            </w:pPr>
            <w:r w:rsidRPr="00D11223">
              <w:rPr>
                <w:b/>
                <w:sz w:val="20"/>
                <w:lang w:val="en-US"/>
              </w:rPr>
              <w:t>PEOPLE</w:t>
            </w:r>
          </w:p>
        </w:tc>
      </w:tr>
      <w:tr w:rsidR="00173CF3" w14:paraId="6395D7E1" w14:textId="77777777" w:rsidTr="00E02398">
        <w:tc>
          <w:tcPr>
            <w:tcW w:w="877" w:type="dxa"/>
          </w:tcPr>
          <w:p w14:paraId="0AAFE731" w14:textId="7D97A2FC" w:rsidR="00173CF3" w:rsidRPr="00D11223" w:rsidRDefault="00173CF3" w:rsidP="00044EE4">
            <w:pPr>
              <w:jc w:val="both"/>
              <w:rPr>
                <w:b/>
                <w:sz w:val="20"/>
                <w:lang w:val="en-US"/>
              </w:rPr>
            </w:pPr>
            <w:r w:rsidRPr="00D11223">
              <w:rPr>
                <w:b/>
                <w:sz w:val="20"/>
                <w:lang w:val="en-US"/>
              </w:rPr>
              <w:t>09:00</w:t>
            </w:r>
          </w:p>
        </w:tc>
        <w:tc>
          <w:tcPr>
            <w:tcW w:w="5072" w:type="dxa"/>
          </w:tcPr>
          <w:p w14:paraId="19450AA9" w14:textId="71FAD23A" w:rsidR="00173CF3" w:rsidRPr="00D11223" w:rsidRDefault="00173CF3" w:rsidP="00044EE4">
            <w:pPr>
              <w:jc w:val="both"/>
              <w:rPr>
                <w:b/>
                <w:sz w:val="20"/>
                <w:lang w:val="en-US"/>
              </w:rPr>
            </w:pPr>
            <w:r w:rsidRPr="00D11223">
              <w:rPr>
                <w:b/>
                <w:sz w:val="20"/>
                <w:lang w:val="en-US"/>
              </w:rPr>
              <w:t>WELCOME &amp; OPENING</w:t>
            </w:r>
          </w:p>
        </w:tc>
        <w:tc>
          <w:tcPr>
            <w:tcW w:w="3067" w:type="dxa"/>
          </w:tcPr>
          <w:p w14:paraId="08B6B04B" w14:textId="5C6190B0" w:rsidR="00173CF3" w:rsidRDefault="00173CF3" w:rsidP="00F7729D">
            <w:pPr>
              <w:jc w:val="both"/>
              <w:rPr>
                <w:sz w:val="20"/>
                <w:lang w:val="en-US"/>
              </w:rPr>
            </w:pPr>
            <w:r>
              <w:rPr>
                <w:sz w:val="20"/>
                <w:lang w:val="en-US"/>
              </w:rPr>
              <w:t xml:space="preserve">Opening by </w:t>
            </w:r>
            <w:r w:rsidR="00F7729D">
              <w:rPr>
                <w:b/>
                <w:i/>
                <w:sz w:val="20"/>
                <w:lang w:val="en-US"/>
              </w:rPr>
              <w:t>Lito Ibarra</w:t>
            </w:r>
            <w:r w:rsidR="00F7729D" w:rsidRPr="00F7729D">
              <w:rPr>
                <w:bCs/>
                <w:iCs/>
                <w:sz w:val="20"/>
                <w:lang w:val="en-US"/>
              </w:rPr>
              <w:t xml:space="preserve">, intro by </w:t>
            </w:r>
            <w:r w:rsidRPr="006F7EEA">
              <w:rPr>
                <w:b/>
                <w:i/>
                <w:sz w:val="20"/>
                <w:lang w:val="en-US"/>
              </w:rPr>
              <w:t>Maarten Botterman</w:t>
            </w:r>
            <w:r>
              <w:rPr>
                <w:sz w:val="20"/>
                <w:lang w:val="en-US"/>
              </w:rPr>
              <w:t xml:space="preserve"> –GFCE Triple-I</w:t>
            </w:r>
          </w:p>
        </w:tc>
      </w:tr>
      <w:tr w:rsidR="00173CF3" w14:paraId="7897EF30" w14:textId="77777777" w:rsidTr="00E02398">
        <w:tc>
          <w:tcPr>
            <w:tcW w:w="877" w:type="dxa"/>
          </w:tcPr>
          <w:p w14:paraId="3D38FC97" w14:textId="0C54E5C5" w:rsidR="00173CF3" w:rsidRDefault="00173CF3" w:rsidP="00044EE4">
            <w:pPr>
              <w:jc w:val="both"/>
              <w:rPr>
                <w:b/>
                <w:sz w:val="20"/>
                <w:lang w:val="en-US"/>
              </w:rPr>
            </w:pPr>
            <w:r w:rsidRPr="00D11223">
              <w:rPr>
                <w:b/>
                <w:sz w:val="20"/>
                <w:lang w:val="en-US"/>
              </w:rPr>
              <w:t>09:</w:t>
            </w:r>
            <w:r w:rsidR="00F7729D">
              <w:rPr>
                <w:b/>
                <w:sz w:val="20"/>
                <w:lang w:val="en-US"/>
              </w:rPr>
              <w:t>2</w:t>
            </w:r>
            <w:r w:rsidRPr="00D11223">
              <w:rPr>
                <w:b/>
                <w:sz w:val="20"/>
                <w:lang w:val="en-US"/>
              </w:rPr>
              <w:t>0</w:t>
            </w:r>
          </w:p>
          <w:p w14:paraId="60362BC3" w14:textId="77777777" w:rsidR="00A37960" w:rsidRPr="00A37960" w:rsidRDefault="00A37960" w:rsidP="00044EE4">
            <w:pPr>
              <w:jc w:val="both"/>
              <w:rPr>
                <w:sz w:val="20"/>
                <w:lang w:val="en-US"/>
              </w:rPr>
            </w:pPr>
          </w:p>
          <w:p w14:paraId="0687BA25" w14:textId="72551388" w:rsidR="00A37960" w:rsidRPr="00D11223" w:rsidRDefault="00A37960" w:rsidP="00044EE4">
            <w:pPr>
              <w:jc w:val="both"/>
              <w:rPr>
                <w:b/>
                <w:sz w:val="20"/>
                <w:lang w:val="en-US"/>
              </w:rPr>
            </w:pPr>
            <w:r w:rsidRPr="00A37960">
              <w:rPr>
                <w:sz w:val="20"/>
                <w:lang w:val="en-US"/>
              </w:rPr>
              <w:t>~</w:t>
            </w:r>
            <w:r w:rsidR="00F7729D">
              <w:rPr>
                <w:sz w:val="20"/>
                <w:lang w:val="en-US"/>
              </w:rPr>
              <w:t>9</w:t>
            </w:r>
            <w:r w:rsidRPr="00A37960">
              <w:rPr>
                <w:sz w:val="20"/>
                <w:lang w:val="en-US"/>
              </w:rPr>
              <w:t>0 minutes</w:t>
            </w:r>
          </w:p>
        </w:tc>
        <w:tc>
          <w:tcPr>
            <w:tcW w:w="5072" w:type="dxa"/>
          </w:tcPr>
          <w:p w14:paraId="669982DC" w14:textId="0260FDA1" w:rsidR="00173CF3" w:rsidRPr="00D11223" w:rsidRDefault="00173CF3" w:rsidP="00044EE4">
            <w:pPr>
              <w:jc w:val="both"/>
              <w:rPr>
                <w:b/>
                <w:sz w:val="20"/>
                <w:lang w:val="en-US"/>
              </w:rPr>
            </w:pPr>
            <w:r w:rsidRPr="00D11223">
              <w:rPr>
                <w:b/>
                <w:sz w:val="20"/>
                <w:lang w:val="en-US"/>
              </w:rPr>
              <w:t xml:space="preserve">BLOCK I </w:t>
            </w:r>
            <w:r w:rsidR="00586E64" w:rsidRPr="00D11223">
              <w:rPr>
                <w:b/>
                <w:sz w:val="20"/>
                <w:lang w:val="en-US"/>
              </w:rPr>
              <w:t xml:space="preserve">- </w:t>
            </w:r>
            <w:r w:rsidRPr="00D11223">
              <w:rPr>
                <w:b/>
                <w:sz w:val="20"/>
                <w:lang w:val="en-US"/>
              </w:rPr>
              <w:t>Better Use of Today’s Open Internet Standards</w:t>
            </w:r>
          </w:p>
          <w:p w14:paraId="00ADDB69" w14:textId="568F1E64" w:rsidR="00173CF3" w:rsidRDefault="00173CF3" w:rsidP="00044EE4">
            <w:pPr>
              <w:jc w:val="both"/>
              <w:rPr>
                <w:sz w:val="20"/>
                <w:lang w:val="en-US"/>
              </w:rPr>
            </w:pPr>
          </w:p>
          <w:p w14:paraId="1FFCC408" w14:textId="0AA82D02" w:rsidR="00173CF3" w:rsidRDefault="00EE54E4" w:rsidP="00586E64">
            <w:pPr>
              <w:rPr>
                <w:sz w:val="20"/>
                <w:lang w:val="en-US"/>
              </w:rPr>
            </w:pPr>
            <w:r>
              <w:rPr>
                <w:sz w:val="20"/>
                <w:lang w:val="en-US"/>
              </w:rPr>
              <w:t>P</w:t>
            </w:r>
            <w:r w:rsidRPr="00EE54E4">
              <w:rPr>
                <w:sz w:val="20"/>
                <w:lang w:val="en-US"/>
              </w:rPr>
              <w:t>resenting and discuss</w:t>
            </w:r>
            <w:r w:rsidR="00586E64">
              <w:rPr>
                <w:sz w:val="20"/>
                <w:lang w:val="en-US"/>
              </w:rPr>
              <w:t>ion on</w:t>
            </w:r>
            <w:r w:rsidRPr="00EE54E4">
              <w:rPr>
                <w:sz w:val="20"/>
                <w:lang w:val="en-US"/>
              </w:rPr>
              <w:t xml:space="preserve"> the use and usefulness of Open Internet Standards such as DNSSEC</w:t>
            </w:r>
            <w:r w:rsidR="00586E64">
              <w:rPr>
                <w:sz w:val="20"/>
                <w:lang w:val="en-US"/>
              </w:rPr>
              <w:t>/</w:t>
            </w:r>
            <w:r w:rsidRPr="00EE54E4">
              <w:rPr>
                <w:sz w:val="20"/>
                <w:lang w:val="en-US"/>
              </w:rPr>
              <w:t>TLS</w:t>
            </w:r>
            <w:r w:rsidR="00586E64">
              <w:rPr>
                <w:sz w:val="20"/>
                <w:lang w:val="en-US"/>
              </w:rPr>
              <w:t>/</w:t>
            </w:r>
            <w:r w:rsidRPr="00EE54E4">
              <w:rPr>
                <w:sz w:val="20"/>
                <w:lang w:val="en-US"/>
              </w:rPr>
              <w:t xml:space="preserve">DANE, </w:t>
            </w:r>
            <w:r w:rsidR="00586E64">
              <w:rPr>
                <w:sz w:val="20"/>
                <w:lang w:val="en-US"/>
              </w:rPr>
              <w:t xml:space="preserve">RPKI/ROA, </w:t>
            </w:r>
            <w:r w:rsidRPr="00EE54E4">
              <w:rPr>
                <w:sz w:val="20"/>
                <w:lang w:val="en-US"/>
              </w:rPr>
              <w:t>DMARC</w:t>
            </w:r>
            <w:r w:rsidR="00586E64">
              <w:rPr>
                <w:sz w:val="20"/>
                <w:lang w:val="en-US"/>
              </w:rPr>
              <w:t>/</w:t>
            </w:r>
            <w:r w:rsidRPr="00EE54E4">
              <w:rPr>
                <w:sz w:val="20"/>
                <w:lang w:val="en-US"/>
              </w:rPr>
              <w:t>DKIM</w:t>
            </w:r>
            <w:r w:rsidR="00586E64">
              <w:rPr>
                <w:sz w:val="20"/>
                <w:lang w:val="en-US"/>
              </w:rPr>
              <w:t>/</w:t>
            </w:r>
            <w:r w:rsidRPr="00EE54E4">
              <w:rPr>
                <w:sz w:val="20"/>
                <w:lang w:val="en-US"/>
              </w:rPr>
              <w:t>SPF and IPv6</w:t>
            </w:r>
          </w:p>
        </w:tc>
        <w:tc>
          <w:tcPr>
            <w:tcW w:w="3067" w:type="dxa"/>
          </w:tcPr>
          <w:p w14:paraId="3EF92F4A" w14:textId="2F1FAA2A" w:rsidR="00173CF3" w:rsidRDefault="00586E64" w:rsidP="00586E64">
            <w:pPr>
              <w:rPr>
                <w:sz w:val="20"/>
                <w:lang w:val="en-US"/>
              </w:rPr>
            </w:pPr>
            <w:r>
              <w:rPr>
                <w:sz w:val="20"/>
                <w:lang w:val="en-US"/>
              </w:rPr>
              <w:t>Introductions by</w:t>
            </w:r>
            <w:r w:rsidR="00F7729D">
              <w:rPr>
                <w:sz w:val="20"/>
                <w:lang w:val="en-US"/>
              </w:rPr>
              <w:t xml:space="preserve"> </w:t>
            </w:r>
            <w:r w:rsidR="00F7729D" w:rsidRPr="00FD2E36">
              <w:rPr>
                <w:b/>
                <w:bCs/>
                <w:i/>
                <w:iCs/>
                <w:sz w:val="20"/>
                <w:lang w:val="en-US"/>
              </w:rPr>
              <w:t>Daniel Fink</w:t>
            </w:r>
            <w:r w:rsidR="00F7729D">
              <w:rPr>
                <w:sz w:val="20"/>
                <w:lang w:val="en-US"/>
              </w:rPr>
              <w:t xml:space="preserve">, </w:t>
            </w:r>
            <w:r w:rsidR="00FD2E36">
              <w:rPr>
                <w:sz w:val="20"/>
                <w:lang w:val="en-US"/>
              </w:rPr>
              <w:t>(</w:t>
            </w:r>
            <w:r w:rsidR="00F7729D">
              <w:rPr>
                <w:sz w:val="20"/>
                <w:lang w:val="en-US"/>
              </w:rPr>
              <w:t>ICANN</w:t>
            </w:r>
            <w:r w:rsidR="00FD2E36">
              <w:rPr>
                <w:sz w:val="20"/>
                <w:lang w:val="en-US"/>
              </w:rPr>
              <w:t xml:space="preserve">), </w:t>
            </w:r>
            <w:r w:rsidR="00F7729D">
              <w:rPr>
                <w:sz w:val="20"/>
                <w:lang w:val="en-US"/>
              </w:rPr>
              <w:t xml:space="preserve">and  </w:t>
            </w:r>
            <w:r w:rsidR="00FD2E36" w:rsidRPr="00FD2E36">
              <w:rPr>
                <w:b/>
                <w:bCs/>
                <w:i/>
                <w:iCs/>
                <w:sz w:val="20"/>
                <w:lang w:val="en-US"/>
              </w:rPr>
              <w:t>Lia Solis</w:t>
            </w:r>
            <w:r w:rsidR="00FD2E36">
              <w:rPr>
                <w:sz w:val="20"/>
                <w:lang w:val="en-US"/>
              </w:rPr>
              <w:t xml:space="preserve"> (LACNOG, ISOC Bolivia)</w:t>
            </w:r>
            <w:r w:rsidR="00F7729D">
              <w:rPr>
                <w:sz w:val="20"/>
                <w:lang w:val="en-US"/>
              </w:rPr>
              <w:t>,</w:t>
            </w:r>
            <w:r w:rsidR="00E41805">
              <w:rPr>
                <w:sz w:val="20"/>
                <w:lang w:val="en-US"/>
              </w:rPr>
              <w:t xml:space="preserve"> specific contributions by</w:t>
            </w:r>
            <w:r w:rsidR="00F7729D">
              <w:rPr>
                <w:sz w:val="20"/>
                <w:lang w:val="en-US"/>
              </w:rPr>
              <w:t xml:space="preserve"> </w:t>
            </w:r>
            <w:r w:rsidR="006F7EEA">
              <w:rPr>
                <w:sz w:val="20"/>
                <w:lang w:val="en-US"/>
              </w:rPr>
              <w:t xml:space="preserve"> </w:t>
            </w:r>
            <w:r w:rsidR="00E41805" w:rsidRPr="00300B05">
              <w:rPr>
                <w:b/>
                <w:bCs/>
                <w:i/>
                <w:iCs/>
                <w:sz w:val="20"/>
                <w:lang w:val="en-US"/>
              </w:rPr>
              <w:t xml:space="preserve">Gerardo Rada </w:t>
            </w:r>
            <w:r w:rsidR="00E41805">
              <w:rPr>
                <w:sz w:val="20"/>
                <w:lang w:val="en-US"/>
              </w:rPr>
              <w:t xml:space="preserve">(LACNIC) </w:t>
            </w:r>
            <w:r w:rsidR="00E41805">
              <w:rPr>
                <w:sz w:val="20"/>
                <w:lang w:val="en-US"/>
              </w:rPr>
              <w:t xml:space="preserve">on RPKI and </w:t>
            </w:r>
            <w:bookmarkStart w:id="0" w:name="_GoBack"/>
            <w:bookmarkEnd w:id="0"/>
            <w:r>
              <w:rPr>
                <w:sz w:val="20"/>
                <w:lang w:val="en-US"/>
              </w:rPr>
              <w:t>participation by all</w:t>
            </w:r>
            <w:r w:rsidR="006F7EEA">
              <w:rPr>
                <w:sz w:val="20"/>
                <w:lang w:val="en-US"/>
              </w:rPr>
              <w:t>.</w:t>
            </w:r>
          </w:p>
        </w:tc>
      </w:tr>
      <w:tr w:rsidR="00173CF3" w:rsidRPr="00D11223" w14:paraId="516B2480" w14:textId="77777777" w:rsidTr="00E02398">
        <w:tc>
          <w:tcPr>
            <w:tcW w:w="877" w:type="dxa"/>
            <w:shd w:val="clear" w:color="auto" w:fill="D9E2F3" w:themeFill="accent1" w:themeFillTint="33"/>
          </w:tcPr>
          <w:p w14:paraId="77C00550" w14:textId="48D7A452" w:rsidR="00173CF3" w:rsidRPr="00D11223" w:rsidRDefault="00173CF3" w:rsidP="00044EE4">
            <w:pPr>
              <w:jc w:val="both"/>
              <w:rPr>
                <w:i/>
                <w:sz w:val="20"/>
                <w:lang w:val="en-US"/>
              </w:rPr>
            </w:pPr>
          </w:p>
        </w:tc>
        <w:tc>
          <w:tcPr>
            <w:tcW w:w="5072" w:type="dxa"/>
            <w:shd w:val="clear" w:color="auto" w:fill="D9E2F3" w:themeFill="accent1" w:themeFillTint="33"/>
          </w:tcPr>
          <w:p w14:paraId="1C98B817" w14:textId="0CEF9413" w:rsidR="00173CF3" w:rsidRPr="00D11223" w:rsidRDefault="00586E64" w:rsidP="00D11223">
            <w:pPr>
              <w:jc w:val="center"/>
              <w:rPr>
                <w:i/>
                <w:sz w:val="20"/>
                <w:lang w:val="en-US"/>
              </w:rPr>
            </w:pPr>
            <w:r w:rsidRPr="00D11223">
              <w:rPr>
                <w:i/>
                <w:sz w:val="20"/>
                <w:lang w:val="en-US"/>
              </w:rPr>
              <w:t>Coffee/tea break</w:t>
            </w:r>
          </w:p>
        </w:tc>
        <w:tc>
          <w:tcPr>
            <w:tcW w:w="3067" w:type="dxa"/>
            <w:shd w:val="clear" w:color="auto" w:fill="D9E2F3" w:themeFill="accent1" w:themeFillTint="33"/>
          </w:tcPr>
          <w:p w14:paraId="29DAFEBB" w14:textId="77777777" w:rsidR="00173CF3" w:rsidRPr="00D11223" w:rsidRDefault="00173CF3" w:rsidP="00044EE4">
            <w:pPr>
              <w:jc w:val="both"/>
              <w:rPr>
                <w:i/>
                <w:sz w:val="20"/>
                <w:lang w:val="en-US"/>
              </w:rPr>
            </w:pPr>
          </w:p>
        </w:tc>
      </w:tr>
      <w:tr w:rsidR="00173CF3" w14:paraId="70128212" w14:textId="77777777" w:rsidTr="00E02398">
        <w:tc>
          <w:tcPr>
            <w:tcW w:w="877" w:type="dxa"/>
          </w:tcPr>
          <w:p w14:paraId="166410CE" w14:textId="4652F839" w:rsidR="00173CF3" w:rsidRDefault="00586E64" w:rsidP="00044EE4">
            <w:pPr>
              <w:jc w:val="both"/>
              <w:rPr>
                <w:sz w:val="20"/>
                <w:lang w:val="en-US"/>
              </w:rPr>
            </w:pPr>
            <w:r>
              <w:rPr>
                <w:sz w:val="20"/>
                <w:lang w:val="en-US"/>
              </w:rPr>
              <w:t>11:2</w:t>
            </w:r>
            <w:r w:rsidR="00D11223">
              <w:rPr>
                <w:sz w:val="20"/>
                <w:lang w:val="en-US"/>
              </w:rPr>
              <w:t>5</w:t>
            </w:r>
          </w:p>
        </w:tc>
        <w:tc>
          <w:tcPr>
            <w:tcW w:w="5072" w:type="dxa"/>
          </w:tcPr>
          <w:p w14:paraId="2C254BE6" w14:textId="77777777" w:rsidR="00586E64" w:rsidRDefault="00586E64" w:rsidP="00044EE4">
            <w:pPr>
              <w:jc w:val="both"/>
              <w:rPr>
                <w:sz w:val="20"/>
                <w:lang w:val="en-US"/>
              </w:rPr>
            </w:pPr>
            <w:r>
              <w:rPr>
                <w:sz w:val="20"/>
                <w:lang w:val="en-US"/>
              </w:rPr>
              <w:t xml:space="preserve">BLOCK II - </w:t>
            </w:r>
            <w:r w:rsidRPr="00586E64">
              <w:rPr>
                <w:sz w:val="20"/>
                <w:lang w:val="en-US"/>
              </w:rPr>
              <w:t>Inspiration from Good Practice Actions</w:t>
            </w:r>
          </w:p>
          <w:p w14:paraId="2749EC41" w14:textId="77777777" w:rsidR="00586E64" w:rsidRDefault="00586E64" w:rsidP="00044EE4">
            <w:pPr>
              <w:jc w:val="both"/>
              <w:rPr>
                <w:sz w:val="20"/>
                <w:lang w:val="en-US"/>
              </w:rPr>
            </w:pPr>
          </w:p>
          <w:p w14:paraId="17E55B32" w14:textId="5B73F5C3" w:rsidR="00586E64" w:rsidRDefault="00586E64" w:rsidP="00044EE4">
            <w:pPr>
              <w:jc w:val="both"/>
              <w:rPr>
                <w:sz w:val="20"/>
                <w:lang w:val="en-US"/>
              </w:rPr>
            </w:pPr>
            <w:r>
              <w:rPr>
                <w:sz w:val="20"/>
                <w:lang w:val="en-US"/>
              </w:rPr>
              <w:t>Presentation and discussion of</w:t>
            </w:r>
            <w:r w:rsidRPr="00586E64">
              <w:rPr>
                <w:sz w:val="20"/>
                <w:lang w:val="en-US"/>
              </w:rPr>
              <w:t xml:space="preserve"> a number of global good practices and good practices from the region that are deemed potentially relevant for capacity building and to inspire action in the region</w:t>
            </w:r>
          </w:p>
        </w:tc>
        <w:tc>
          <w:tcPr>
            <w:tcW w:w="3067" w:type="dxa"/>
          </w:tcPr>
          <w:p w14:paraId="54E85505" w14:textId="77777777" w:rsidR="00173CF3" w:rsidRDefault="00173CF3" w:rsidP="00044EE4">
            <w:pPr>
              <w:jc w:val="both"/>
              <w:rPr>
                <w:sz w:val="20"/>
                <w:lang w:val="en-US"/>
              </w:rPr>
            </w:pPr>
          </w:p>
        </w:tc>
      </w:tr>
      <w:tr w:rsidR="00173CF3" w14:paraId="763DBD46" w14:textId="77777777" w:rsidTr="00E02398">
        <w:tc>
          <w:tcPr>
            <w:tcW w:w="877" w:type="dxa"/>
          </w:tcPr>
          <w:p w14:paraId="6BC0DF6D" w14:textId="77777777" w:rsidR="00173CF3" w:rsidRDefault="00586E64" w:rsidP="00044EE4">
            <w:pPr>
              <w:jc w:val="both"/>
              <w:rPr>
                <w:sz w:val="20"/>
                <w:lang w:val="en-US"/>
              </w:rPr>
            </w:pPr>
            <w:proofErr w:type="spellStart"/>
            <w:r>
              <w:rPr>
                <w:sz w:val="20"/>
                <w:lang w:val="en-US"/>
              </w:rPr>
              <w:t>II.a</w:t>
            </w:r>
            <w:proofErr w:type="spellEnd"/>
          </w:p>
          <w:p w14:paraId="2B11356F" w14:textId="77777777" w:rsidR="00A37960" w:rsidRDefault="00A37960" w:rsidP="00044EE4">
            <w:pPr>
              <w:jc w:val="both"/>
              <w:rPr>
                <w:sz w:val="20"/>
                <w:lang w:val="en-US"/>
              </w:rPr>
            </w:pPr>
          </w:p>
          <w:p w14:paraId="1114E3E7" w14:textId="1B8D59CB" w:rsidR="00A37960" w:rsidRDefault="00A37960" w:rsidP="00044EE4">
            <w:pPr>
              <w:jc w:val="both"/>
              <w:rPr>
                <w:sz w:val="20"/>
                <w:lang w:val="en-US"/>
              </w:rPr>
            </w:pPr>
            <w:r>
              <w:rPr>
                <w:sz w:val="20"/>
                <w:lang w:val="en-US"/>
              </w:rPr>
              <w:t>~</w:t>
            </w:r>
            <w:r w:rsidR="00F7729D">
              <w:rPr>
                <w:sz w:val="20"/>
                <w:lang w:val="en-US"/>
              </w:rPr>
              <w:t>60</w:t>
            </w:r>
            <w:r>
              <w:rPr>
                <w:sz w:val="20"/>
                <w:lang w:val="en-US"/>
              </w:rPr>
              <w:t xml:space="preserve"> minutes</w:t>
            </w:r>
          </w:p>
        </w:tc>
        <w:tc>
          <w:tcPr>
            <w:tcW w:w="5072" w:type="dxa"/>
          </w:tcPr>
          <w:p w14:paraId="577FDED4" w14:textId="39B28581" w:rsidR="00586E64" w:rsidRPr="00D11223" w:rsidRDefault="00F7729D" w:rsidP="00044EE4">
            <w:pPr>
              <w:jc w:val="both"/>
              <w:rPr>
                <w:b/>
                <w:sz w:val="20"/>
                <w:lang w:val="en-US"/>
              </w:rPr>
            </w:pPr>
            <w:r>
              <w:rPr>
                <w:b/>
                <w:sz w:val="20"/>
                <w:lang w:val="en-US"/>
              </w:rPr>
              <w:t>Anti-abuse work</w:t>
            </w:r>
          </w:p>
          <w:p w14:paraId="5A8EE446" w14:textId="77777777" w:rsidR="00586E64" w:rsidRDefault="00586E64" w:rsidP="00044EE4">
            <w:pPr>
              <w:jc w:val="both"/>
              <w:rPr>
                <w:sz w:val="20"/>
                <w:lang w:val="en-US"/>
              </w:rPr>
            </w:pPr>
          </w:p>
          <w:p w14:paraId="6977D607" w14:textId="3EDB268F" w:rsidR="00173CF3" w:rsidRDefault="00F7729D" w:rsidP="00044EE4">
            <w:pPr>
              <w:jc w:val="both"/>
              <w:rPr>
                <w:sz w:val="20"/>
                <w:lang w:val="en-US"/>
              </w:rPr>
            </w:pPr>
            <w:r>
              <w:rPr>
                <w:sz w:val="20"/>
                <w:lang w:val="en-US"/>
              </w:rPr>
              <w:t>The Internet is not good or bad in itself: it is how it is used that matters. Early detection of abuse (whether purposefully or by mistake) will help to contain damage by being able to alert users and actively take measures against the abuse.  G</w:t>
            </w:r>
            <w:r w:rsidRPr="00F7729D">
              <w:rPr>
                <w:sz w:val="20"/>
                <w:lang w:val="en-US"/>
              </w:rPr>
              <w:t>lobally, and in the region, working groups have been set up to actively detect and fight abuse by raising awareness on the key issues at hand, and take action to fight this abuse, together</w:t>
            </w:r>
            <w:r>
              <w:rPr>
                <w:sz w:val="20"/>
                <w:lang w:val="en-US"/>
              </w:rPr>
              <w:t xml:space="preserve"> (#LACAAWG; #M3AAWG; #DAAR; </w:t>
            </w:r>
            <w:proofErr w:type="spellStart"/>
            <w:r>
              <w:rPr>
                <w:sz w:val="20"/>
                <w:lang w:val="en-US"/>
              </w:rPr>
              <w:t>etc</w:t>
            </w:r>
            <w:proofErr w:type="spellEnd"/>
            <w:r>
              <w:rPr>
                <w:sz w:val="20"/>
                <w:lang w:val="en-US"/>
              </w:rPr>
              <w:t>)</w:t>
            </w:r>
          </w:p>
        </w:tc>
        <w:tc>
          <w:tcPr>
            <w:tcW w:w="3067" w:type="dxa"/>
          </w:tcPr>
          <w:p w14:paraId="355AC4D4" w14:textId="3AEBEAD3" w:rsidR="00586E64" w:rsidRDefault="00F7729D" w:rsidP="00044EE4">
            <w:pPr>
              <w:jc w:val="both"/>
              <w:rPr>
                <w:sz w:val="20"/>
                <w:lang w:val="en-US"/>
              </w:rPr>
            </w:pPr>
            <w:proofErr w:type="spellStart"/>
            <w:r w:rsidRPr="00FD2E36">
              <w:rPr>
                <w:b/>
                <w:bCs/>
                <w:i/>
                <w:iCs/>
                <w:sz w:val="20"/>
                <w:lang w:val="en-US"/>
              </w:rPr>
              <w:t>Lucimara</w:t>
            </w:r>
            <w:proofErr w:type="spellEnd"/>
            <w:r w:rsidRPr="00FD2E36">
              <w:rPr>
                <w:b/>
                <w:bCs/>
                <w:i/>
                <w:iCs/>
                <w:sz w:val="20"/>
                <w:lang w:val="en-US"/>
              </w:rPr>
              <w:t xml:space="preserve"> </w:t>
            </w:r>
            <w:proofErr w:type="spellStart"/>
            <w:r w:rsidRPr="00FD2E36">
              <w:rPr>
                <w:b/>
                <w:bCs/>
                <w:i/>
                <w:iCs/>
                <w:sz w:val="20"/>
                <w:lang w:val="en-US"/>
              </w:rPr>
              <w:t>Desidera</w:t>
            </w:r>
            <w:proofErr w:type="spellEnd"/>
            <w:r w:rsidRPr="00F7729D">
              <w:rPr>
                <w:sz w:val="20"/>
                <w:lang w:val="en-US"/>
              </w:rPr>
              <w:t xml:space="preserve"> (Chair, LAC AAWG; Member, M3AAWG) will provide a background on work currently going on in the region and world-wide, and will explain how other stakeholders can benefit from this, and contribute to this. </w:t>
            </w:r>
            <w:r w:rsidRPr="00FD2E36">
              <w:rPr>
                <w:b/>
                <w:bCs/>
                <w:i/>
                <w:iCs/>
                <w:sz w:val="20"/>
                <w:lang w:val="en-US"/>
              </w:rPr>
              <w:t>Daniel Fink</w:t>
            </w:r>
            <w:r w:rsidRPr="00F7729D">
              <w:rPr>
                <w:sz w:val="20"/>
                <w:lang w:val="en-US"/>
              </w:rPr>
              <w:t xml:space="preserve"> (ICANN, DAAR) will talk about ICANN’s activities in fighting abuse in the DNS industry, and </w:t>
            </w:r>
            <w:r w:rsidR="00FD2E36" w:rsidRPr="00FD2E36">
              <w:rPr>
                <w:b/>
                <w:bCs/>
                <w:i/>
                <w:iCs/>
                <w:sz w:val="20"/>
                <w:lang w:val="en-US"/>
              </w:rPr>
              <w:t>Israel Rosas</w:t>
            </w:r>
            <w:r w:rsidR="00FD2E36">
              <w:rPr>
                <w:sz w:val="20"/>
                <w:lang w:val="en-US"/>
              </w:rPr>
              <w:t xml:space="preserve"> (</w:t>
            </w:r>
            <w:r w:rsidRPr="00F7729D">
              <w:rPr>
                <w:sz w:val="20"/>
                <w:lang w:val="en-US"/>
              </w:rPr>
              <w:t>ISOC</w:t>
            </w:r>
            <w:r w:rsidR="00FD2E36">
              <w:rPr>
                <w:sz w:val="20"/>
                <w:lang w:val="en-US"/>
              </w:rPr>
              <w:t>, MANRS)</w:t>
            </w:r>
            <w:r w:rsidRPr="00F7729D">
              <w:rPr>
                <w:sz w:val="20"/>
                <w:lang w:val="en-US"/>
              </w:rPr>
              <w:t xml:space="preserve"> will talk about the importance of MANRS;</w:t>
            </w:r>
            <w:r>
              <w:rPr>
                <w:sz w:val="20"/>
                <w:lang w:val="en-US"/>
              </w:rPr>
              <w:t xml:space="preserve"> </w:t>
            </w:r>
            <w:r w:rsidR="00586E64">
              <w:rPr>
                <w:sz w:val="20"/>
                <w:lang w:val="en-US"/>
              </w:rPr>
              <w:t>Actors in the region are invited to share their experiences and engage in the discussion.</w:t>
            </w:r>
          </w:p>
        </w:tc>
      </w:tr>
      <w:tr w:rsidR="00E75595" w:rsidRPr="00E75595" w14:paraId="6B54ACCE" w14:textId="77777777" w:rsidTr="00E02398">
        <w:trPr>
          <w:trHeight w:val="416"/>
        </w:trPr>
        <w:tc>
          <w:tcPr>
            <w:tcW w:w="877" w:type="dxa"/>
            <w:shd w:val="clear" w:color="auto" w:fill="D9E2F3" w:themeFill="accent1" w:themeFillTint="33"/>
          </w:tcPr>
          <w:p w14:paraId="4EAB28B5" w14:textId="578ACEF0" w:rsidR="00E75595" w:rsidRPr="00E75595" w:rsidRDefault="0025286B" w:rsidP="00044EE4">
            <w:pPr>
              <w:jc w:val="both"/>
              <w:rPr>
                <w:i/>
                <w:sz w:val="20"/>
                <w:lang w:val="en-US"/>
              </w:rPr>
            </w:pPr>
            <w:r>
              <w:rPr>
                <w:i/>
                <w:sz w:val="20"/>
                <w:lang w:val="en-US"/>
              </w:rPr>
              <w:t>12:</w:t>
            </w:r>
            <w:r w:rsidR="00F7729D">
              <w:rPr>
                <w:i/>
                <w:sz w:val="20"/>
                <w:lang w:val="en-US"/>
              </w:rPr>
              <w:t>3</w:t>
            </w:r>
            <w:r>
              <w:rPr>
                <w:i/>
                <w:sz w:val="20"/>
                <w:lang w:val="en-US"/>
              </w:rPr>
              <w:t>0</w:t>
            </w:r>
          </w:p>
        </w:tc>
        <w:tc>
          <w:tcPr>
            <w:tcW w:w="5072" w:type="dxa"/>
            <w:shd w:val="clear" w:color="auto" w:fill="D9E2F3" w:themeFill="accent1" w:themeFillTint="33"/>
          </w:tcPr>
          <w:p w14:paraId="174579A7" w14:textId="6148E910" w:rsidR="00E75595" w:rsidRPr="00E75595" w:rsidRDefault="00E75595" w:rsidP="00E75595">
            <w:pPr>
              <w:jc w:val="center"/>
              <w:rPr>
                <w:i/>
                <w:sz w:val="20"/>
                <w:lang w:val="en-US"/>
              </w:rPr>
            </w:pPr>
            <w:r w:rsidRPr="00E75595">
              <w:rPr>
                <w:i/>
                <w:sz w:val="20"/>
                <w:lang w:val="en-US"/>
              </w:rPr>
              <w:t xml:space="preserve">Lunch </w:t>
            </w:r>
          </w:p>
        </w:tc>
        <w:tc>
          <w:tcPr>
            <w:tcW w:w="3067" w:type="dxa"/>
            <w:shd w:val="clear" w:color="auto" w:fill="D9E2F3" w:themeFill="accent1" w:themeFillTint="33"/>
          </w:tcPr>
          <w:p w14:paraId="5F58C399" w14:textId="68EB83CD" w:rsidR="00E75595" w:rsidRPr="00E75595" w:rsidRDefault="00F7729D" w:rsidP="00044EE4">
            <w:pPr>
              <w:jc w:val="both"/>
              <w:rPr>
                <w:i/>
                <w:sz w:val="20"/>
                <w:lang w:val="en-US"/>
              </w:rPr>
            </w:pPr>
            <w:r>
              <w:rPr>
                <w:i/>
                <w:sz w:val="20"/>
                <w:lang w:val="en-US"/>
              </w:rPr>
              <w:t>Complementary for all participants</w:t>
            </w:r>
          </w:p>
        </w:tc>
      </w:tr>
      <w:tr w:rsidR="00173CF3" w14:paraId="411E1A00" w14:textId="77777777" w:rsidTr="00E02398">
        <w:tc>
          <w:tcPr>
            <w:tcW w:w="877" w:type="dxa"/>
          </w:tcPr>
          <w:p w14:paraId="1FD97D3B" w14:textId="3B2DA613" w:rsidR="00E75595" w:rsidRDefault="00E75595" w:rsidP="00044EE4">
            <w:pPr>
              <w:jc w:val="both"/>
              <w:rPr>
                <w:sz w:val="20"/>
                <w:lang w:val="en-US"/>
              </w:rPr>
            </w:pPr>
            <w:r>
              <w:rPr>
                <w:sz w:val="20"/>
                <w:lang w:val="en-US"/>
              </w:rPr>
              <w:t>13:</w:t>
            </w:r>
            <w:r w:rsidR="00F7729D">
              <w:rPr>
                <w:sz w:val="20"/>
                <w:lang w:val="en-US"/>
              </w:rPr>
              <w:t>30</w:t>
            </w:r>
          </w:p>
          <w:p w14:paraId="7C906C09" w14:textId="77777777" w:rsidR="00E75595" w:rsidRDefault="00E75595" w:rsidP="00044EE4">
            <w:pPr>
              <w:jc w:val="both"/>
              <w:rPr>
                <w:sz w:val="20"/>
                <w:lang w:val="en-US"/>
              </w:rPr>
            </w:pPr>
          </w:p>
          <w:p w14:paraId="0781C0D0" w14:textId="75A60165" w:rsidR="00173CF3" w:rsidRDefault="00D11223" w:rsidP="00044EE4">
            <w:pPr>
              <w:jc w:val="both"/>
              <w:rPr>
                <w:sz w:val="20"/>
                <w:lang w:val="en-US"/>
              </w:rPr>
            </w:pPr>
            <w:proofErr w:type="spellStart"/>
            <w:r>
              <w:rPr>
                <w:sz w:val="20"/>
                <w:lang w:val="en-US"/>
              </w:rPr>
              <w:t>II.b</w:t>
            </w:r>
            <w:proofErr w:type="spellEnd"/>
          </w:p>
          <w:p w14:paraId="449541A6" w14:textId="77777777" w:rsidR="00A37960" w:rsidRDefault="00A37960" w:rsidP="00044EE4">
            <w:pPr>
              <w:jc w:val="both"/>
              <w:rPr>
                <w:sz w:val="20"/>
                <w:lang w:val="en-US"/>
              </w:rPr>
            </w:pPr>
          </w:p>
          <w:p w14:paraId="3993127A" w14:textId="435E9FF4" w:rsidR="00A37960" w:rsidRDefault="00A37960" w:rsidP="00044EE4">
            <w:pPr>
              <w:jc w:val="both"/>
              <w:rPr>
                <w:sz w:val="20"/>
                <w:lang w:val="en-US"/>
              </w:rPr>
            </w:pPr>
            <w:r>
              <w:rPr>
                <w:sz w:val="20"/>
                <w:lang w:val="en-US"/>
              </w:rPr>
              <w:t>~</w:t>
            </w:r>
            <w:r w:rsidR="00AE2855">
              <w:rPr>
                <w:sz w:val="20"/>
                <w:lang w:val="en-US"/>
              </w:rPr>
              <w:t>30</w:t>
            </w:r>
            <w:r>
              <w:rPr>
                <w:sz w:val="20"/>
                <w:lang w:val="en-US"/>
              </w:rPr>
              <w:t xml:space="preserve"> minutes</w:t>
            </w:r>
          </w:p>
        </w:tc>
        <w:tc>
          <w:tcPr>
            <w:tcW w:w="5072" w:type="dxa"/>
          </w:tcPr>
          <w:p w14:paraId="2CA40719" w14:textId="13E75EE2" w:rsidR="00173CF3" w:rsidRPr="00A37960" w:rsidRDefault="00F7729D" w:rsidP="00E75595">
            <w:pPr>
              <w:rPr>
                <w:b/>
                <w:sz w:val="20"/>
                <w:lang w:val="en-US"/>
              </w:rPr>
            </w:pPr>
            <w:r>
              <w:rPr>
                <w:b/>
                <w:sz w:val="20"/>
                <w:lang w:val="en-US"/>
              </w:rPr>
              <w:t>CERT collaboration</w:t>
            </w:r>
          </w:p>
          <w:p w14:paraId="44B0926F" w14:textId="6D7EC1EE" w:rsidR="00D11223" w:rsidRDefault="00AE2855" w:rsidP="00E75595">
            <w:pPr>
              <w:rPr>
                <w:sz w:val="20"/>
                <w:lang w:val="en-US"/>
              </w:rPr>
            </w:pPr>
            <w:r>
              <w:rPr>
                <w:sz w:val="20"/>
                <w:lang w:val="en-US"/>
              </w:rPr>
              <w:t xml:space="preserve">CSIRTs play a major role in fighting abuse. For CSIRT collaboration, trust is key. What are today </w:t>
            </w:r>
            <w:r w:rsidRPr="00AE2855">
              <w:rPr>
                <w:sz w:val="20"/>
                <w:lang w:val="en-US"/>
              </w:rPr>
              <w:t xml:space="preserve">key CERT concerns and activities, how </w:t>
            </w:r>
            <w:r>
              <w:rPr>
                <w:sz w:val="20"/>
                <w:lang w:val="en-US"/>
              </w:rPr>
              <w:t xml:space="preserve">can </w:t>
            </w:r>
            <w:r w:rsidRPr="00AE2855">
              <w:rPr>
                <w:sz w:val="20"/>
                <w:lang w:val="en-US"/>
              </w:rPr>
              <w:t xml:space="preserve">stakeholders benefit, and what </w:t>
            </w:r>
            <w:r>
              <w:rPr>
                <w:sz w:val="20"/>
                <w:lang w:val="en-US"/>
              </w:rPr>
              <w:t>stakeholders</w:t>
            </w:r>
            <w:r w:rsidRPr="00AE2855">
              <w:rPr>
                <w:sz w:val="20"/>
                <w:lang w:val="en-US"/>
              </w:rPr>
              <w:t xml:space="preserve"> do to help</w:t>
            </w:r>
            <w:r>
              <w:rPr>
                <w:sz w:val="20"/>
                <w:lang w:val="en-US"/>
              </w:rPr>
              <w:t>?</w:t>
            </w:r>
          </w:p>
          <w:p w14:paraId="5A38A976" w14:textId="7E0474CF" w:rsidR="00D11223" w:rsidRDefault="00D11223" w:rsidP="00E75595">
            <w:pPr>
              <w:rPr>
                <w:sz w:val="20"/>
                <w:lang w:val="en-US"/>
              </w:rPr>
            </w:pPr>
          </w:p>
        </w:tc>
        <w:tc>
          <w:tcPr>
            <w:tcW w:w="3067" w:type="dxa"/>
          </w:tcPr>
          <w:p w14:paraId="4AC9F739" w14:textId="4769FF47" w:rsidR="00A37960" w:rsidRDefault="00AE2855" w:rsidP="00E75595">
            <w:pPr>
              <w:rPr>
                <w:sz w:val="20"/>
                <w:lang w:val="en-US"/>
              </w:rPr>
            </w:pPr>
            <w:proofErr w:type="spellStart"/>
            <w:r w:rsidRPr="00FD2E36">
              <w:rPr>
                <w:b/>
                <w:bCs/>
                <w:i/>
                <w:iCs/>
                <w:sz w:val="20"/>
                <w:lang w:val="en-US"/>
              </w:rPr>
              <w:t>Lucimera</w:t>
            </w:r>
            <w:proofErr w:type="spellEnd"/>
            <w:r w:rsidRPr="00FD2E36">
              <w:rPr>
                <w:b/>
                <w:bCs/>
                <w:i/>
                <w:iCs/>
                <w:sz w:val="20"/>
                <w:lang w:val="en-US"/>
              </w:rPr>
              <w:t xml:space="preserve"> </w:t>
            </w:r>
            <w:proofErr w:type="spellStart"/>
            <w:r w:rsidRPr="00FD2E36">
              <w:rPr>
                <w:b/>
                <w:bCs/>
                <w:i/>
                <w:iCs/>
                <w:sz w:val="20"/>
                <w:lang w:val="en-US"/>
              </w:rPr>
              <w:t>Desidera</w:t>
            </w:r>
            <w:proofErr w:type="spellEnd"/>
            <w:r>
              <w:rPr>
                <w:sz w:val="20"/>
                <w:lang w:val="en-US"/>
              </w:rPr>
              <w:t xml:space="preserve"> (</w:t>
            </w:r>
            <w:r w:rsidR="0016731B" w:rsidRPr="0016731B">
              <w:rPr>
                <w:sz w:val="20"/>
                <w:lang w:val="en-US"/>
              </w:rPr>
              <w:t>Member of CERT.br/NIC.br</w:t>
            </w:r>
            <w:r>
              <w:rPr>
                <w:sz w:val="20"/>
                <w:lang w:val="en-US"/>
              </w:rPr>
              <w:t xml:space="preserve"> and FIRST), will explore this together with other CERT Members. All </w:t>
            </w:r>
            <w:r w:rsidR="00FD2E36">
              <w:rPr>
                <w:sz w:val="20"/>
                <w:lang w:val="en-US"/>
              </w:rPr>
              <w:t>p</w:t>
            </w:r>
            <w:r w:rsidR="00A37960">
              <w:rPr>
                <w:sz w:val="20"/>
                <w:lang w:val="en-US"/>
              </w:rPr>
              <w:t xml:space="preserve">articipants are invited to </w:t>
            </w:r>
            <w:r>
              <w:rPr>
                <w:sz w:val="20"/>
                <w:lang w:val="en-US"/>
              </w:rPr>
              <w:t xml:space="preserve">join the discussion </w:t>
            </w:r>
            <w:r>
              <w:rPr>
                <w:sz w:val="20"/>
                <w:lang w:val="en-US"/>
              </w:rPr>
              <w:lastRenderedPageBreak/>
              <w:t xml:space="preserve">and </w:t>
            </w:r>
            <w:r w:rsidR="00A37960">
              <w:rPr>
                <w:sz w:val="20"/>
                <w:lang w:val="en-US"/>
              </w:rPr>
              <w:t>explore opportunities for joint action.</w:t>
            </w:r>
          </w:p>
        </w:tc>
      </w:tr>
      <w:tr w:rsidR="00A37960" w14:paraId="37AD9AC5" w14:textId="77777777" w:rsidTr="00E02398">
        <w:tc>
          <w:tcPr>
            <w:tcW w:w="877" w:type="dxa"/>
          </w:tcPr>
          <w:p w14:paraId="783D3789" w14:textId="2E17C39B" w:rsidR="00E75595" w:rsidRDefault="00E75595" w:rsidP="00044EE4">
            <w:pPr>
              <w:jc w:val="both"/>
              <w:rPr>
                <w:sz w:val="20"/>
                <w:lang w:val="en-US"/>
              </w:rPr>
            </w:pPr>
            <w:r>
              <w:rPr>
                <w:sz w:val="20"/>
                <w:lang w:val="en-US"/>
              </w:rPr>
              <w:lastRenderedPageBreak/>
              <w:t>1</w:t>
            </w:r>
            <w:r w:rsidR="00AE2855">
              <w:rPr>
                <w:sz w:val="20"/>
                <w:lang w:val="en-US"/>
              </w:rPr>
              <w:t>4</w:t>
            </w:r>
            <w:r>
              <w:rPr>
                <w:sz w:val="20"/>
                <w:lang w:val="en-US"/>
              </w:rPr>
              <w:t>:00</w:t>
            </w:r>
          </w:p>
          <w:p w14:paraId="789B52EE" w14:textId="77777777" w:rsidR="00E75595" w:rsidRDefault="00E75595" w:rsidP="00044EE4">
            <w:pPr>
              <w:jc w:val="both"/>
              <w:rPr>
                <w:sz w:val="20"/>
                <w:lang w:val="en-US"/>
              </w:rPr>
            </w:pPr>
          </w:p>
          <w:p w14:paraId="1D1FA641" w14:textId="63DB8C1E" w:rsidR="00A37960" w:rsidRDefault="00A37960" w:rsidP="00044EE4">
            <w:pPr>
              <w:jc w:val="both"/>
              <w:rPr>
                <w:sz w:val="20"/>
                <w:lang w:val="en-US"/>
              </w:rPr>
            </w:pPr>
            <w:proofErr w:type="spellStart"/>
            <w:r>
              <w:rPr>
                <w:sz w:val="20"/>
                <w:lang w:val="en-US"/>
              </w:rPr>
              <w:t>II.d</w:t>
            </w:r>
            <w:proofErr w:type="spellEnd"/>
          </w:p>
          <w:p w14:paraId="352BB547" w14:textId="77777777" w:rsidR="00A37960" w:rsidRDefault="00A37960" w:rsidP="00044EE4">
            <w:pPr>
              <w:jc w:val="both"/>
              <w:rPr>
                <w:sz w:val="20"/>
                <w:lang w:val="en-US"/>
              </w:rPr>
            </w:pPr>
          </w:p>
          <w:p w14:paraId="456B8AC4" w14:textId="0A8E5BF1" w:rsidR="00E75595" w:rsidRDefault="00E75595" w:rsidP="00E75595">
            <w:pPr>
              <w:rPr>
                <w:sz w:val="20"/>
                <w:lang w:val="en-US"/>
              </w:rPr>
            </w:pPr>
            <w:r>
              <w:rPr>
                <w:sz w:val="20"/>
                <w:lang w:val="en-US"/>
              </w:rPr>
              <w:t xml:space="preserve">~ </w:t>
            </w:r>
            <w:r w:rsidR="00AE2855">
              <w:rPr>
                <w:sz w:val="20"/>
                <w:lang w:val="en-US"/>
              </w:rPr>
              <w:t>6</w:t>
            </w:r>
            <w:r>
              <w:rPr>
                <w:sz w:val="20"/>
                <w:lang w:val="en-US"/>
              </w:rPr>
              <w:t>0 minutes</w:t>
            </w:r>
          </w:p>
        </w:tc>
        <w:tc>
          <w:tcPr>
            <w:tcW w:w="5072" w:type="dxa"/>
          </w:tcPr>
          <w:p w14:paraId="4F664559" w14:textId="77777777" w:rsidR="00A37960" w:rsidRPr="00E02398" w:rsidRDefault="00E75595" w:rsidP="00E02398">
            <w:pPr>
              <w:rPr>
                <w:b/>
                <w:sz w:val="20"/>
                <w:lang w:val="en-US"/>
              </w:rPr>
            </w:pPr>
            <w:r w:rsidRPr="00E02398">
              <w:rPr>
                <w:b/>
                <w:sz w:val="20"/>
                <w:lang w:val="en-US"/>
              </w:rPr>
              <w:t>Secure IoT deployment: global insights in the way forward</w:t>
            </w:r>
          </w:p>
          <w:p w14:paraId="28FFB1A7" w14:textId="29B8CF5C" w:rsidR="00E75595" w:rsidRDefault="00E75595" w:rsidP="00E02398">
            <w:pPr>
              <w:rPr>
                <w:sz w:val="20"/>
                <w:lang w:val="en-US"/>
              </w:rPr>
            </w:pPr>
          </w:p>
          <w:p w14:paraId="49B749BC" w14:textId="5A02B8C4" w:rsidR="00E75595" w:rsidRDefault="00E75595" w:rsidP="00E02398">
            <w:pPr>
              <w:rPr>
                <w:sz w:val="20"/>
                <w:lang w:val="en-US"/>
              </w:rPr>
            </w:pPr>
            <w:r w:rsidRPr="00E75595">
              <w:rPr>
                <w:sz w:val="20"/>
                <w:lang w:val="en-US"/>
              </w:rPr>
              <w:t>This presentation will cover some guidelines and recommendations from practice that Internet users, governments and IoT manufacturers can follow to secure the Internet of Things</w:t>
            </w:r>
            <w:r>
              <w:rPr>
                <w:sz w:val="20"/>
                <w:lang w:val="en-US"/>
              </w:rPr>
              <w:t>, based on recent work by ISOC and the IGF Dynamic Coalition on IoT.</w:t>
            </w:r>
          </w:p>
        </w:tc>
        <w:tc>
          <w:tcPr>
            <w:tcW w:w="3067" w:type="dxa"/>
          </w:tcPr>
          <w:p w14:paraId="43765D1C" w14:textId="2F352056" w:rsidR="00A37960" w:rsidRDefault="00AE2855" w:rsidP="00E02398">
            <w:pPr>
              <w:rPr>
                <w:sz w:val="20"/>
                <w:lang w:val="en-US"/>
              </w:rPr>
            </w:pPr>
            <w:r>
              <w:rPr>
                <w:b/>
                <w:i/>
                <w:sz w:val="20"/>
                <w:lang w:val="en-US"/>
              </w:rPr>
              <w:t>Sebastian Bellagamba</w:t>
            </w:r>
            <w:r w:rsidR="00E75595">
              <w:rPr>
                <w:sz w:val="20"/>
                <w:lang w:val="en-US"/>
              </w:rPr>
              <w:t xml:space="preserve"> – Internet Society; </w:t>
            </w:r>
            <w:r w:rsidR="00E75595" w:rsidRPr="006F7EEA">
              <w:rPr>
                <w:b/>
                <w:i/>
                <w:sz w:val="20"/>
                <w:lang w:val="en-US"/>
              </w:rPr>
              <w:t>Maarten Botterman</w:t>
            </w:r>
            <w:r w:rsidR="00E75595">
              <w:rPr>
                <w:sz w:val="20"/>
                <w:lang w:val="en-US"/>
              </w:rPr>
              <w:t xml:space="preserve"> – IGF DC IoT</w:t>
            </w:r>
          </w:p>
          <w:p w14:paraId="35D5434E" w14:textId="77777777" w:rsidR="00E75595" w:rsidRDefault="00E75595" w:rsidP="00E02398">
            <w:pPr>
              <w:rPr>
                <w:sz w:val="20"/>
                <w:lang w:val="en-US"/>
              </w:rPr>
            </w:pPr>
          </w:p>
          <w:p w14:paraId="1794848C" w14:textId="235D81CF" w:rsidR="00E75595" w:rsidRDefault="00E75595" w:rsidP="00E02398">
            <w:pPr>
              <w:rPr>
                <w:sz w:val="20"/>
                <w:lang w:val="en-US"/>
              </w:rPr>
            </w:pPr>
            <w:r>
              <w:rPr>
                <w:sz w:val="20"/>
                <w:lang w:val="en-US"/>
              </w:rPr>
              <w:t>Participants are invited to share their concerns and insights with regards to implementation of IoT as a “safe enabler” of benefit.</w:t>
            </w:r>
          </w:p>
        </w:tc>
      </w:tr>
      <w:tr w:rsidR="00AE2855" w14:paraId="6BF07843" w14:textId="77777777" w:rsidTr="00F66520">
        <w:tc>
          <w:tcPr>
            <w:tcW w:w="877" w:type="dxa"/>
          </w:tcPr>
          <w:p w14:paraId="2AFB1540" w14:textId="77777777" w:rsidR="00AE2855" w:rsidRDefault="00AE2855" w:rsidP="00F66520">
            <w:pPr>
              <w:jc w:val="both"/>
              <w:rPr>
                <w:sz w:val="20"/>
                <w:lang w:val="en-US"/>
              </w:rPr>
            </w:pPr>
            <w:proofErr w:type="spellStart"/>
            <w:r>
              <w:rPr>
                <w:sz w:val="20"/>
                <w:lang w:val="en-US"/>
              </w:rPr>
              <w:t>II.c</w:t>
            </w:r>
            <w:proofErr w:type="spellEnd"/>
          </w:p>
          <w:p w14:paraId="7D6AFC48" w14:textId="77777777" w:rsidR="00AE2855" w:rsidRDefault="00AE2855" w:rsidP="00F66520">
            <w:pPr>
              <w:jc w:val="both"/>
              <w:rPr>
                <w:sz w:val="20"/>
                <w:lang w:val="en-US"/>
              </w:rPr>
            </w:pPr>
          </w:p>
          <w:p w14:paraId="0C5D53AA" w14:textId="77777777" w:rsidR="00AE2855" w:rsidRDefault="00AE2855" w:rsidP="00F66520">
            <w:pPr>
              <w:jc w:val="both"/>
              <w:rPr>
                <w:sz w:val="20"/>
                <w:lang w:val="en-US"/>
              </w:rPr>
            </w:pPr>
            <w:r>
              <w:rPr>
                <w:sz w:val="20"/>
                <w:lang w:val="en-US"/>
              </w:rPr>
              <w:t>~30 minutes</w:t>
            </w:r>
          </w:p>
        </w:tc>
        <w:tc>
          <w:tcPr>
            <w:tcW w:w="5072" w:type="dxa"/>
          </w:tcPr>
          <w:p w14:paraId="4979D6E2" w14:textId="6F135BF5" w:rsidR="00AE2855" w:rsidRDefault="00AE2855" w:rsidP="00F66520">
            <w:pPr>
              <w:rPr>
                <w:sz w:val="20"/>
                <w:lang w:val="en-US"/>
              </w:rPr>
            </w:pPr>
            <w:r>
              <w:rPr>
                <w:sz w:val="20"/>
                <w:lang w:val="en-US"/>
              </w:rPr>
              <w:t>Other exemplary practice</w:t>
            </w:r>
          </w:p>
          <w:p w14:paraId="367661AF" w14:textId="0E89572E" w:rsidR="00AE2855" w:rsidRDefault="00AE2855" w:rsidP="00F66520">
            <w:pPr>
              <w:rPr>
                <w:sz w:val="20"/>
                <w:lang w:val="en-US"/>
              </w:rPr>
            </w:pPr>
          </w:p>
          <w:p w14:paraId="2C9F42EB" w14:textId="17C0936F" w:rsidR="00AE2855" w:rsidRDefault="00AE2855" w:rsidP="00AE2855">
            <w:pPr>
              <w:pStyle w:val="ListParagraph"/>
              <w:numPr>
                <w:ilvl w:val="0"/>
                <w:numId w:val="5"/>
              </w:numPr>
              <w:rPr>
                <w:sz w:val="20"/>
                <w:lang w:val="en-US"/>
              </w:rPr>
            </w:pPr>
            <w:r w:rsidRPr="00AE2855">
              <w:rPr>
                <w:sz w:val="20"/>
                <w:lang w:val="en-US"/>
              </w:rPr>
              <w:t xml:space="preserve">National DNSSEC introductions; </w:t>
            </w:r>
          </w:p>
          <w:p w14:paraId="51E4D680" w14:textId="072399EF" w:rsidR="00AE2855" w:rsidRDefault="00AE2855" w:rsidP="00AE2855">
            <w:pPr>
              <w:pStyle w:val="ListParagraph"/>
              <w:numPr>
                <w:ilvl w:val="0"/>
                <w:numId w:val="5"/>
              </w:numPr>
              <w:rPr>
                <w:sz w:val="20"/>
                <w:lang w:val="en-US"/>
              </w:rPr>
            </w:pPr>
            <w:r>
              <w:rPr>
                <w:sz w:val="20"/>
                <w:lang w:val="en-US"/>
              </w:rPr>
              <w:t>Internet.NL</w:t>
            </w:r>
          </w:p>
          <w:p w14:paraId="7BD51FBE" w14:textId="11E9673F" w:rsidR="00AE2855" w:rsidRPr="00AE2855" w:rsidRDefault="00AE2855" w:rsidP="00AE2855">
            <w:pPr>
              <w:pStyle w:val="ListParagraph"/>
              <w:numPr>
                <w:ilvl w:val="0"/>
                <w:numId w:val="5"/>
              </w:numPr>
              <w:rPr>
                <w:sz w:val="20"/>
                <w:lang w:val="en-US"/>
              </w:rPr>
            </w:pPr>
            <w:r>
              <w:rPr>
                <w:sz w:val="20"/>
                <w:lang w:val="en-US"/>
              </w:rPr>
              <w:t>…</w:t>
            </w:r>
          </w:p>
          <w:p w14:paraId="74D6EE23" w14:textId="422A9E0C" w:rsidR="00AE2855" w:rsidRDefault="00AE2855" w:rsidP="00F66520">
            <w:pPr>
              <w:rPr>
                <w:sz w:val="20"/>
                <w:lang w:val="en-US"/>
              </w:rPr>
            </w:pPr>
          </w:p>
        </w:tc>
        <w:tc>
          <w:tcPr>
            <w:tcW w:w="3067" w:type="dxa"/>
          </w:tcPr>
          <w:p w14:paraId="1E84BAD9" w14:textId="0798E216" w:rsidR="00AE2855" w:rsidRDefault="00AE2855" w:rsidP="00F66520">
            <w:pPr>
              <w:rPr>
                <w:sz w:val="20"/>
                <w:lang w:val="en-US"/>
              </w:rPr>
            </w:pPr>
            <w:r>
              <w:rPr>
                <w:sz w:val="20"/>
                <w:lang w:val="en-US"/>
              </w:rPr>
              <w:t>Speakers to be announced</w:t>
            </w:r>
          </w:p>
          <w:p w14:paraId="6A62D876" w14:textId="77777777" w:rsidR="00AE2855" w:rsidRDefault="00AE2855" w:rsidP="00F66520">
            <w:pPr>
              <w:rPr>
                <w:sz w:val="20"/>
                <w:lang w:val="en-US"/>
              </w:rPr>
            </w:pPr>
          </w:p>
          <w:p w14:paraId="6500D4CC" w14:textId="77777777" w:rsidR="00AE2855" w:rsidRDefault="00AE2855" w:rsidP="00F66520">
            <w:pPr>
              <w:rPr>
                <w:sz w:val="20"/>
                <w:lang w:val="en-US"/>
              </w:rPr>
            </w:pPr>
            <w:r>
              <w:rPr>
                <w:sz w:val="20"/>
                <w:lang w:val="en-US"/>
              </w:rPr>
              <w:t>Participants are invited to discuss the proposed way forward, and what role for MANRS in the region.</w:t>
            </w:r>
          </w:p>
        </w:tc>
      </w:tr>
      <w:tr w:rsidR="0025286B" w:rsidRPr="00E75595" w14:paraId="7BDA8F41" w14:textId="77777777" w:rsidTr="00BE5D1A">
        <w:tc>
          <w:tcPr>
            <w:tcW w:w="877" w:type="dxa"/>
            <w:shd w:val="clear" w:color="auto" w:fill="D9E2F3" w:themeFill="accent1" w:themeFillTint="33"/>
          </w:tcPr>
          <w:p w14:paraId="6F702C53" w14:textId="48EAC863" w:rsidR="0025286B" w:rsidRPr="00E75595" w:rsidRDefault="0025286B" w:rsidP="00BE5D1A">
            <w:pPr>
              <w:jc w:val="both"/>
              <w:rPr>
                <w:i/>
                <w:sz w:val="20"/>
                <w:lang w:val="en-US"/>
              </w:rPr>
            </w:pPr>
            <w:r>
              <w:rPr>
                <w:i/>
                <w:sz w:val="20"/>
                <w:lang w:val="en-US"/>
              </w:rPr>
              <w:t xml:space="preserve">15:30 </w:t>
            </w:r>
          </w:p>
        </w:tc>
        <w:tc>
          <w:tcPr>
            <w:tcW w:w="5072" w:type="dxa"/>
            <w:shd w:val="clear" w:color="auto" w:fill="D9E2F3" w:themeFill="accent1" w:themeFillTint="33"/>
          </w:tcPr>
          <w:p w14:paraId="3D6157E7" w14:textId="452DE893" w:rsidR="0025286B" w:rsidRPr="00E75595" w:rsidRDefault="0025286B" w:rsidP="00BE5D1A">
            <w:pPr>
              <w:jc w:val="center"/>
              <w:rPr>
                <w:i/>
                <w:sz w:val="20"/>
                <w:lang w:val="en-US"/>
              </w:rPr>
            </w:pPr>
            <w:r w:rsidRPr="00E75595">
              <w:rPr>
                <w:i/>
                <w:sz w:val="20"/>
                <w:lang w:val="en-US"/>
              </w:rPr>
              <w:t>Coffee/tea</w:t>
            </w:r>
          </w:p>
        </w:tc>
        <w:tc>
          <w:tcPr>
            <w:tcW w:w="3067" w:type="dxa"/>
            <w:shd w:val="clear" w:color="auto" w:fill="D9E2F3" w:themeFill="accent1" w:themeFillTint="33"/>
          </w:tcPr>
          <w:p w14:paraId="5A75FF93" w14:textId="77777777" w:rsidR="0025286B" w:rsidRPr="00E75595" w:rsidRDefault="0025286B" w:rsidP="00BE5D1A">
            <w:pPr>
              <w:rPr>
                <w:i/>
                <w:sz w:val="20"/>
                <w:lang w:val="en-US"/>
              </w:rPr>
            </w:pPr>
          </w:p>
        </w:tc>
      </w:tr>
      <w:tr w:rsidR="00A37960" w14:paraId="733BB217" w14:textId="77777777" w:rsidTr="00E02398">
        <w:tc>
          <w:tcPr>
            <w:tcW w:w="877" w:type="dxa"/>
          </w:tcPr>
          <w:p w14:paraId="204C6C3A" w14:textId="77777777" w:rsidR="0025286B" w:rsidRDefault="0025286B" w:rsidP="00044EE4">
            <w:pPr>
              <w:jc w:val="both"/>
              <w:rPr>
                <w:sz w:val="20"/>
                <w:lang w:val="en-US"/>
              </w:rPr>
            </w:pPr>
            <w:r>
              <w:rPr>
                <w:sz w:val="20"/>
                <w:lang w:val="en-US"/>
              </w:rPr>
              <w:t>16:00</w:t>
            </w:r>
          </w:p>
          <w:p w14:paraId="61EC59FC" w14:textId="77777777" w:rsidR="0025286B" w:rsidRDefault="0025286B" w:rsidP="00044EE4">
            <w:pPr>
              <w:jc w:val="both"/>
              <w:rPr>
                <w:sz w:val="20"/>
                <w:lang w:val="en-US"/>
              </w:rPr>
            </w:pPr>
          </w:p>
          <w:p w14:paraId="74E37E9E" w14:textId="149637EE" w:rsidR="00A37960" w:rsidRPr="00E02398" w:rsidRDefault="00E75595" w:rsidP="00044EE4">
            <w:pPr>
              <w:jc w:val="both"/>
              <w:rPr>
                <w:sz w:val="20"/>
                <w:lang w:val="en-US"/>
              </w:rPr>
            </w:pPr>
            <w:r w:rsidRPr="00E02398">
              <w:rPr>
                <w:sz w:val="20"/>
                <w:lang w:val="en-US"/>
              </w:rPr>
              <w:t>III</w:t>
            </w:r>
          </w:p>
          <w:p w14:paraId="26192913" w14:textId="79C97436" w:rsidR="00E75595" w:rsidRDefault="00E75595" w:rsidP="00044EE4">
            <w:pPr>
              <w:jc w:val="both"/>
              <w:rPr>
                <w:sz w:val="20"/>
                <w:lang w:val="en-US"/>
              </w:rPr>
            </w:pPr>
          </w:p>
          <w:p w14:paraId="407C3048" w14:textId="5410DCD9" w:rsidR="00E75595" w:rsidRDefault="00E75595" w:rsidP="00044EE4">
            <w:pPr>
              <w:jc w:val="both"/>
              <w:rPr>
                <w:sz w:val="20"/>
                <w:lang w:val="en-US"/>
              </w:rPr>
            </w:pPr>
            <w:r>
              <w:rPr>
                <w:sz w:val="20"/>
                <w:lang w:val="en-US"/>
              </w:rPr>
              <w:t>~90 minutes</w:t>
            </w:r>
          </w:p>
          <w:p w14:paraId="1464928E" w14:textId="567D75B3" w:rsidR="00E75595" w:rsidRDefault="00E75595" w:rsidP="00044EE4">
            <w:pPr>
              <w:jc w:val="both"/>
              <w:rPr>
                <w:sz w:val="20"/>
                <w:lang w:val="en-US"/>
              </w:rPr>
            </w:pPr>
          </w:p>
        </w:tc>
        <w:tc>
          <w:tcPr>
            <w:tcW w:w="5072" w:type="dxa"/>
          </w:tcPr>
          <w:p w14:paraId="0583A577" w14:textId="3C30D402" w:rsidR="00A37960" w:rsidRPr="00E02398" w:rsidRDefault="00E02398" w:rsidP="00E02398">
            <w:pPr>
              <w:rPr>
                <w:b/>
                <w:sz w:val="20"/>
                <w:lang w:val="en-US"/>
              </w:rPr>
            </w:pPr>
            <w:r w:rsidRPr="00E02398">
              <w:rPr>
                <w:b/>
                <w:sz w:val="20"/>
                <w:lang w:val="en-US"/>
              </w:rPr>
              <w:t>Block III: Planning for a More Trusted Internet: Marketplace for Action</w:t>
            </w:r>
          </w:p>
          <w:p w14:paraId="20406809" w14:textId="77777777" w:rsidR="00E02398" w:rsidRDefault="00E02398" w:rsidP="00E02398">
            <w:pPr>
              <w:rPr>
                <w:sz w:val="20"/>
                <w:lang w:val="en-US"/>
              </w:rPr>
            </w:pPr>
          </w:p>
          <w:p w14:paraId="71570C54" w14:textId="4E5D9616" w:rsidR="00E02398" w:rsidRDefault="00E02398" w:rsidP="00E02398">
            <w:pPr>
              <w:rPr>
                <w:sz w:val="20"/>
                <w:lang w:val="en-US"/>
              </w:rPr>
            </w:pPr>
            <w:r w:rsidRPr="00E02398">
              <w:rPr>
                <w:sz w:val="20"/>
                <w:lang w:val="en-US"/>
              </w:rPr>
              <w:t>During this block, conclusions will be drawn and possible actions will be developed aimed at increasing trust in the use of Internet and email in the region. This will be a facilitated brainstorming</w:t>
            </w:r>
            <w:r>
              <w:rPr>
                <w:sz w:val="20"/>
                <w:lang w:val="en-US"/>
              </w:rPr>
              <w:t>.</w:t>
            </w:r>
          </w:p>
        </w:tc>
        <w:tc>
          <w:tcPr>
            <w:tcW w:w="3067" w:type="dxa"/>
          </w:tcPr>
          <w:p w14:paraId="25371FA6" w14:textId="69678E43" w:rsidR="00A37960" w:rsidRDefault="00E02398" w:rsidP="00E02398">
            <w:pPr>
              <w:rPr>
                <w:sz w:val="20"/>
                <w:lang w:val="en-US"/>
              </w:rPr>
            </w:pPr>
            <w:proofErr w:type="spellStart"/>
            <w:r>
              <w:rPr>
                <w:sz w:val="20"/>
                <w:lang w:val="en-US"/>
              </w:rPr>
              <w:t>Failitated</w:t>
            </w:r>
            <w:proofErr w:type="spellEnd"/>
            <w:r>
              <w:rPr>
                <w:sz w:val="20"/>
                <w:lang w:val="en-US"/>
              </w:rPr>
              <w:t xml:space="preserve"> by </w:t>
            </w:r>
            <w:r w:rsidRPr="006F7EEA">
              <w:rPr>
                <w:b/>
                <w:i/>
                <w:sz w:val="20"/>
                <w:lang w:val="en-US"/>
              </w:rPr>
              <w:t>Maarten Botterman</w:t>
            </w:r>
            <w:r>
              <w:rPr>
                <w:sz w:val="20"/>
                <w:lang w:val="en-US"/>
              </w:rPr>
              <w:t xml:space="preserve">, and </w:t>
            </w:r>
            <w:r w:rsidR="00AE2855">
              <w:rPr>
                <w:b/>
                <w:i/>
                <w:sz w:val="20"/>
                <w:lang w:val="en-US"/>
              </w:rPr>
              <w:t xml:space="preserve">Lito Ibarra </w:t>
            </w:r>
          </w:p>
          <w:p w14:paraId="1A4B801C" w14:textId="50893E51" w:rsidR="00E02398" w:rsidRDefault="00E02398" w:rsidP="00E02398">
            <w:pPr>
              <w:rPr>
                <w:sz w:val="20"/>
                <w:lang w:val="en-US"/>
              </w:rPr>
            </w:pPr>
          </w:p>
          <w:p w14:paraId="3380E771" w14:textId="3EC695E5" w:rsidR="00E02398" w:rsidRDefault="00E02398" w:rsidP="00E02398">
            <w:pPr>
              <w:rPr>
                <w:sz w:val="20"/>
                <w:lang w:val="en-US"/>
              </w:rPr>
            </w:pPr>
            <w:r>
              <w:rPr>
                <w:sz w:val="20"/>
                <w:lang w:val="en-US"/>
              </w:rPr>
              <w:t xml:space="preserve">Participants are invited to suggest actions and ways forward, and are asked to commit to actions of their specific interest. </w:t>
            </w:r>
          </w:p>
        </w:tc>
      </w:tr>
      <w:tr w:rsidR="00E02398" w14:paraId="2DB68727" w14:textId="77777777" w:rsidTr="00E02398">
        <w:tc>
          <w:tcPr>
            <w:tcW w:w="877" w:type="dxa"/>
          </w:tcPr>
          <w:p w14:paraId="10E86098" w14:textId="77777777" w:rsidR="00E02398" w:rsidRDefault="00E02398" w:rsidP="00044EE4">
            <w:pPr>
              <w:jc w:val="both"/>
              <w:rPr>
                <w:sz w:val="20"/>
                <w:lang w:val="en-US"/>
              </w:rPr>
            </w:pPr>
            <w:r>
              <w:rPr>
                <w:sz w:val="20"/>
                <w:lang w:val="en-US"/>
              </w:rPr>
              <w:t>17:</w:t>
            </w:r>
            <w:r w:rsidR="00FD2E36">
              <w:rPr>
                <w:sz w:val="20"/>
                <w:lang w:val="en-US"/>
              </w:rPr>
              <w:t>3</w:t>
            </w:r>
            <w:r>
              <w:rPr>
                <w:sz w:val="20"/>
                <w:lang w:val="en-US"/>
              </w:rPr>
              <w:t>0</w:t>
            </w:r>
          </w:p>
          <w:p w14:paraId="34348567" w14:textId="77777777" w:rsidR="00FD2E36" w:rsidRDefault="00FD2E36" w:rsidP="00044EE4">
            <w:pPr>
              <w:jc w:val="both"/>
              <w:rPr>
                <w:sz w:val="20"/>
                <w:lang w:val="en-US"/>
              </w:rPr>
            </w:pPr>
          </w:p>
          <w:p w14:paraId="736A9B15" w14:textId="447A7A7C" w:rsidR="00FD2E36" w:rsidRDefault="00FD2E36" w:rsidP="00044EE4">
            <w:pPr>
              <w:jc w:val="both"/>
              <w:rPr>
                <w:sz w:val="20"/>
                <w:lang w:val="en-US"/>
              </w:rPr>
            </w:pPr>
            <w:r>
              <w:rPr>
                <w:sz w:val="20"/>
                <w:lang w:val="en-US"/>
              </w:rPr>
              <w:t>~5 minutes</w:t>
            </w:r>
          </w:p>
        </w:tc>
        <w:tc>
          <w:tcPr>
            <w:tcW w:w="5072" w:type="dxa"/>
          </w:tcPr>
          <w:p w14:paraId="3068161E" w14:textId="5A8DA36D" w:rsidR="00E02398" w:rsidRPr="00E02398" w:rsidRDefault="00E02398" w:rsidP="00E02398">
            <w:pPr>
              <w:rPr>
                <w:b/>
                <w:sz w:val="20"/>
                <w:lang w:val="en-US"/>
              </w:rPr>
            </w:pPr>
            <w:r w:rsidRPr="00E02398">
              <w:rPr>
                <w:b/>
                <w:sz w:val="20"/>
                <w:lang w:val="en-US"/>
              </w:rPr>
              <w:t xml:space="preserve">Conclusions and closure </w:t>
            </w:r>
          </w:p>
          <w:p w14:paraId="43B4ADEA" w14:textId="71F84C08" w:rsidR="00E02398" w:rsidRDefault="00E02398" w:rsidP="00E02398">
            <w:pPr>
              <w:rPr>
                <w:sz w:val="20"/>
                <w:lang w:val="en-US"/>
              </w:rPr>
            </w:pPr>
          </w:p>
          <w:p w14:paraId="3F5A068E" w14:textId="77777777" w:rsidR="00E02398" w:rsidRDefault="00E02398" w:rsidP="00E02398">
            <w:pPr>
              <w:rPr>
                <w:sz w:val="20"/>
                <w:lang w:val="en-US"/>
              </w:rPr>
            </w:pPr>
            <w:r>
              <w:rPr>
                <w:sz w:val="20"/>
                <w:lang w:val="en-US"/>
              </w:rPr>
              <w:t>The main insights gained and actions agreed will be summarized, including a poll on the interest to repeat this workshop in 2020.</w:t>
            </w:r>
          </w:p>
          <w:p w14:paraId="5BCC65B2" w14:textId="796C0072" w:rsidR="00162793" w:rsidRPr="00E02398" w:rsidRDefault="00162793" w:rsidP="00E02398">
            <w:pPr>
              <w:rPr>
                <w:sz w:val="20"/>
                <w:lang w:val="en-US"/>
              </w:rPr>
            </w:pPr>
          </w:p>
        </w:tc>
        <w:tc>
          <w:tcPr>
            <w:tcW w:w="3067" w:type="dxa"/>
          </w:tcPr>
          <w:p w14:paraId="4B6646CA" w14:textId="13C9A48E" w:rsidR="00E02398" w:rsidRDefault="00E02398" w:rsidP="00E02398">
            <w:pPr>
              <w:rPr>
                <w:sz w:val="20"/>
                <w:lang w:val="en-US"/>
              </w:rPr>
            </w:pPr>
            <w:r w:rsidRPr="006F7EEA">
              <w:rPr>
                <w:b/>
                <w:i/>
                <w:sz w:val="20"/>
                <w:lang w:val="en-US"/>
              </w:rPr>
              <w:t>Maarten Botterman</w:t>
            </w:r>
            <w:r>
              <w:rPr>
                <w:sz w:val="20"/>
                <w:lang w:val="en-US"/>
              </w:rPr>
              <w:t xml:space="preserve"> and </w:t>
            </w:r>
            <w:r w:rsidR="00AE2855">
              <w:rPr>
                <w:b/>
                <w:i/>
                <w:sz w:val="20"/>
                <w:lang w:val="en-US"/>
              </w:rPr>
              <w:t>Lito Ibarra</w:t>
            </w:r>
            <w:r w:rsidR="00AE2855">
              <w:rPr>
                <w:sz w:val="20"/>
                <w:lang w:val="en-US"/>
              </w:rPr>
              <w:t xml:space="preserve"> </w:t>
            </w:r>
          </w:p>
        </w:tc>
      </w:tr>
    </w:tbl>
    <w:p w14:paraId="7E25EED8" w14:textId="4F838F30" w:rsidR="00173CF3" w:rsidRDefault="00173CF3" w:rsidP="00044EE4">
      <w:pPr>
        <w:jc w:val="both"/>
        <w:rPr>
          <w:sz w:val="20"/>
          <w:lang w:val="en-US"/>
        </w:rPr>
      </w:pPr>
    </w:p>
    <w:p w14:paraId="22F2E31A" w14:textId="72D1949B" w:rsidR="00E93354" w:rsidRPr="006F7EEA" w:rsidRDefault="00E93354" w:rsidP="00E93354">
      <w:pPr>
        <w:rPr>
          <w:lang w:val="en-US"/>
        </w:rPr>
      </w:pPr>
      <w:r w:rsidRPr="006F7EEA">
        <w:t>This workshop is initiated by the Global Forum for Cyber Expertise (</w:t>
      </w:r>
      <w:hyperlink r:id="rId7" w:history="1">
        <w:r w:rsidRPr="006F7EEA">
          <w:rPr>
            <w:rStyle w:val="Hyperlink"/>
          </w:rPr>
          <w:t>https://www.thegfce.com</w:t>
        </w:r>
      </w:hyperlink>
      <w:r w:rsidRPr="006F7EEA">
        <w:t>)</w:t>
      </w:r>
      <w:r w:rsidRPr="006F7EEA">
        <w:rPr>
          <w:lang w:val="en-US"/>
        </w:rPr>
        <w:t xml:space="preserve"> </w:t>
      </w:r>
      <w:r w:rsidRPr="006F7EEA">
        <w:t xml:space="preserve">and is supported by </w:t>
      </w:r>
      <w:r w:rsidR="00AE2855">
        <w:rPr>
          <w:lang w:val="en-US"/>
        </w:rPr>
        <w:t>LACIGF (</w:t>
      </w:r>
      <w:hyperlink r:id="rId8" w:history="1">
        <w:r w:rsidR="00AE2855" w:rsidRPr="008E67FB">
          <w:rPr>
            <w:rStyle w:val="Hyperlink"/>
            <w:lang w:val="en-US"/>
          </w:rPr>
          <w:t>https://lacigf.org/</w:t>
        </w:r>
      </w:hyperlink>
      <w:r w:rsidR="00AE2855">
        <w:rPr>
          <w:lang w:val="en-US"/>
        </w:rPr>
        <w:t>), LACTLD (</w:t>
      </w:r>
      <w:hyperlink r:id="rId9" w:history="1">
        <w:r w:rsidR="00AE2855" w:rsidRPr="008E67FB">
          <w:rPr>
            <w:rStyle w:val="Hyperlink"/>
            <w:lang w:val="en-US"/>
          </w:rPr>
          <w:t>https://www.lactld.org/</w:t>
        </w:r>
      </w:hyperlink>
      <w:r w:rsidR="00AE2855">
        <w:rPr>
          <w:lang w:val="en-US"/>
        </w:rPr>
        <w:t>), LACNIC</w:t>
      </w:r>
      <w:r w:rsidR="00E45A56">
        <w:rPr>
          <w:lang w:val="en-US"/>
        </w:rPr>
        <w:t xml:space="preserve"> (</w:t>
      </w:r>
      <w:hyperlink r:id="rId10" w:history="1">
        <w:r w:rsidR="00E45A56" w:rsidRPr="008E67FB">
          <w:rPr>
            <w:rStyle w:val="Hyperlink"/>
            <w:lang w:val="en-US"/>
          </w:rPr>
          <w:t>https://www.lacnic.net/</w:t>
        </w:r>
      </w:hyperlink>
      <w:r w:rsidR="00E45A56">
        <w:rPr>
          <w:lang w:val="en-US"/>
        </w:rPr>
        <w:t>)</w:t>
      </w:r>
      <w:r w:rsidR="00AE2855">
        <w:rPr>
          <w:lang w:val="en-US"/>
        </w:rPr>
        <w:t>,</w:t>
      </w:r>
      <w:r w:rsidR="00E45A56">
        <w:rPr>
          <w:lang w:val="en-US"/>
        </w:rPr>
        <w:t xml:space="preserve"> </w:t>
      </w:r>
      <w:r w:rsidR="00AE2855">
        <w:rPr>
          <w:lang w:val="en-US"/>
        </w:rPr>
        <w:t>LACAAWG</w:t>
      </w:r>
      <w:r w:rsidR="00E45A56">
        <w:rPr>
          <w:lang w:val="en-US"/>
        </w:rPr>
        <w:t>, nic.br/cgi.br (</w:t>
      </w:r>
      <w:hyperlink r:id="rId11" w:history="1">
        <w:r w:rsidR="00162793" w:rsidRPr="008E67FB">
          <w:rPr>
            <w:rStyle w:val="Hyperlink"/>
            <w:lang w:val="en-US"/>
          </w:rPr>
          <w:t>https://cgi.br/</w:t>
        </w:r>
      </w:hyperlink>
      <w:r w:rsidR="00162793">
        <w:rPr>
          <w:lang w:val="en-US"/>
        </w:rPr>
        <w:t>)</w:t>
      </w:r>
      <w:r w:rsidR="00AE2855">
        <w:rPr>
          <w:lang w:val="en-US"/>
        </w:rPr>
        <w:t xml:space="preserve">, </w:t>
      </w:r>
      <w:r w:rsidRPr="006F7EEA">
        <w:rPr>
          <w:lang w:val="en-US"/>
        </w:rPr>
        <w:t>ICANN (</w:t>
      </w:r>
      <w:hyperlink r:id="rId12" w:history="1">
        <w:r w:rsidRPr="006F7EEA">
          <w:rPr>
            <w:rStyle w:val="Hyperlink"/>
            <w:lang w:val="en-US"/>
          </w:rPr>
          <w:t>http://www.icann.org</w:t>
        </w:r>
      </w:hyperlink>
      <w:r w:rsidRPr="006F7EEA">
        <w:rPr>
          <w:lang w:val="en-US"/>
        </w:rPr>
        <w:t>)</w:t>
      </w:r>
      <w:r w:rsidRPr="006F7EEA">
        <w:t>,</w:t>
      </w:r>
      <w:r w:rsidRPr="006F7EEA">
        <w:rPr>
          <w:lang w:val="en-US"/>
        </w:rPr>
        <w:t xml:space="preserve"> </w:t>
      </w:r>
      <w:r w:rsidRPr="006F7EEA">
        <w:t>Internet Society (</w:t>
      </w:r>
      <w:hyperlink r:id="rId13" w:history="1">
        <w:r w:rsidRPr="006F7EEA">
          <w:rPr>
            <w:rStyle w:val="Hyperlink"/>
          </w:rPr>
          <w:t>http://www.informationsociety.org</w:t>
        </w:r>
      </w:hyperlink>
      <w:r w:rsidRPr="006F7EEA">
        <w:t>)</w:t>
      </w:r>
      <w:r w:rsidR="00AE2855">
        <w:rPr>
          <w:lang w:val="en-US"/>
        </w:rPr>
        <w:t xml:space="preserve"> and its Bolivian Chapter</w:t>
      </w:r>
      <w:r w:rsidRPr="006F7EEA">
        <w:t>,</w:t>
      </w:r>
      <w:r w:rsidRPr="006F7EEA">
        <w:rPr>
          <w:lang w:val="en-US"/>
        </w:rPr>
        <w:t xml:space="preserve"> </w:t>
      </w:r>
      <w:r w:rsidRPr="006F7EEA">
        <w:t>and the Dutch Ministry of Economic Affairs and Climate.</w:t>
      </w:r>
      <w:r w:rsidR="006F7EEA">
        <w:rPr>
          <w:lang w:val="en-US"/>
        </w:rPr>
        <w:t xml:space="preserve"> </w:t>
      </w:r>
    </w:p>
    <w:p w14:paraId="5AFF1C82" w14:textId="5DF24873" w:rsidR="00E93354" w:rsidRPr="006F7EEA" w:rsidRDefault="00E93354" w:rsidP="00E93354">
      <w:r w:rsidRPr="006F7EEA">
        <w:t>The workshop will be held in English</w:t>
      </w:r>
      <w:r w:rsidR="00162793">
        <w:rPr>
          <w:lang w:val="en-US"/>
        </w:rPr>
        <w:t xml:space="preserve"> and Spanish</w:t>
      </w:r>
      <w:r w:rsidRPr="006F7EEA">
        <w:t xml:space="preserve">, and </w:t>
      </w:r>
      <w:r w:rsidR="00162793">
        <w:rPr>
          <w:lang w:val="en-US"/>
        </w:rPr>
        <w:t xml:space="preserve">where necessary, </w:t>
      </w:r>
      <w:r w:rsidRPr="006F7EEA">
        <w:t>contributions/questions will be facilitated by consecutive translation in the room, as to ensure all participants can express themselves in the language they are most comfortable in.</w:t>
      </w:r>
    </w:p>
    <w:p w14:paraId="07F58CAF" w14:textId="556E096A" w:rsidR="00E93354" w:rsidRPr="006F7EEA" w:rsidRDefault="006F7EEA" w:rsidP="00E93354">
      <w:pPr>
        <w:rPr>
          <w:rStyle w:val="Strong"/>
          <w:i/>
          <w:lang w:val="en-US"/>
        </w:rPr>
      </w:pPr>
      <w:r>
        <w:rPr>
          <w:i/>
          <w:lang w:val="en-US"/>
        </w:rPr>
        <w:t xml:space="preserve">For more information about GFCE Triple-I, including results of earlier events, please go to the </w:t>
      </w:r>
      <w:hyperlink r:id="rId14" w:history="1">
        <w:r w:rsidRPr="006F7EEA">
          <w:rPr>
            <w:rStyle w:val="Hyperlink"/>
            <w:i/>
            <w:lang w:val="en-US"/>
          </w:rPr>
          <w:t>GFCE Triple-I pages</w:t>
        </w:r>
      </w:hyperlink>
      <w:r>
        <w:rPr>
          <w:i/>
          <w:lang w:val="en-US"/>
        </w:rPr>
        <w:t xml:space="preserve">. </w:t>
      </w:r>
      <w:r w:rsidR="00E93354" w:rsidRPr="006F7EEA">
        <w:rPr>
          <w:i/>
        </w:rPr>
        <w:t xml:space="preserve">If you are interested in improving the trusted Internet experience in your region … if you are eager to meet with like-minded people from other sectors and learn together … join us in </w:t>
      </w:r>
      <w:r w:rsidR="00162793">
        <w:rPr>
          <w:i/>
          <w:lang w:val="en-US"/>
        </w:rPr>
        <w:t>La Paz</w:t>
      </w:r>
      <w:r w:rsidR="00E93354" w:rsidRPr="006F7EEA">
        <w:rPr>
          <w:i/>
        </w:rPr>
        <w:t xml:space="preserve"> on </w:t>
      </w:r>
      <w:r w:rsidR="00162793">
        <w:rPr>
          <w:i/>
          <w:lang w:val="en-US"/>
        </w:rPr>
        <w:t>5 August</w:t>
      </w:r>
      <w:r w:rsidR="00E93354" w:rsidRPr="006F7EEA">
        <w:rPr>
          <w:i/>
        </w:rPr>
        <w:t xml:space="preserve"> 201</w:t>
      </w:r>
      <w:r w:rsidR="00E93354" w:rsidRPr="006F7EEA">
        <w:rPr>
          <w:i/>
          <w:lang w:val="en-US"/>
        </w:rPr>
        <w:t>9</w:t>
      </w:r>
      <w:r>
        <w:rPr>
          <w:i/>
          <w:lang w:val="en-US"/>
        </w:rPr>
        <w:t xml:space="preserve">, or contact the GFCE Triple-I facilitator </w:t>
      </w:r>
      <w:hyperlink r:id="rId15" w:history="1">
        <w:r w:rsidRPr="006F7EEA">
          <w:rPr>
            <w:rStyle w:val="Hyperlink"/>
            <w:i/>
            <w:lang w:val="en-US"/>
          </w:rPr>
          <w:t>Maarten Botterman</w:t>
        </w:r>
      </w:hyperlink>
      <w:r>
        <w:rPr>
          <w:i/>
          <w:lang w:val="en-US"/>
        </w:rPr>
        <w:t xml:space="preserve"> to set up an event in your region.</w:t>
      </w:r>
    </w:p>
    <w:p w14:paraId="4A300F11" w14:textId="7081C4D4" w:rsidR="00E93354" w:rsidRPr="006F7EEA" w:rsidRDefault="00FD2E36" w:rsidP="00044EE4">
      <w:pPr>
        <w:jc w:val="both"/>
        <w:rPr>
          <w:lang w:val="en-US"/>
        </w:rPr>
      </w:pPr>
      <w:r>
        <w:rPr>
          <w:noProof/>
        </w:rPr>
        <w:drawing>
          <wp:anchor distT="0" distB="0" distL="114300" distR="114300" simplePos="0" relativeHeight="251677696" behindDoc="1" locked="0" layoutInCell="1" allowOverlap="1" wp14:anchorId="39056F92" wp14:editId="111C9A2D">
            <wp:simplePos x="0" y="0"/>
            <wp:positionH relativeFrom="column">
              <wp:posOffset>3194050</wp:posOffset>
            </wp:positionH>
            <wp:positionV relativeFrom="paragraph">
              <wp:posOffset>1290955</wp:posOffset>
            </wp:positionV>
            <wp:extent cx="1390650" cy="324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32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EEA">
        <w:rPr>
          <w:noProof/>
          <w:lang w:val="en-US"/>
        </w:rPr>
        <w:drawing>
          <wp:anchor distT="0" distB="0" distL="114300" distR="114300" simplePos="0" relativeHeight="251666432" behindDoc="1" locked="0" layoutInCell="1" allowOverlap="1" wp14:anchorId="2412962E" wp14:editId="3D796A32">
            <wp:simplePos x="0" y="0"/>
            <wp:positionH relativeFrom="column">
              <wp:posOffset>3295015</wp:posOffset>
            </wp:positionH>
            <wp:positionV relativeFrom="paragraph">
              <wp:posOffset>865505</wp:posOffset>
            </wp:positionV>
            <wp:extent cx="1104265" cy="36703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265"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793">
        <w:rPr>
          <w:noProof/>
        </w:rPr>
        <w:drawing>
          <wp:anchor distT="0" distB="0" distL="114300" distR="114300" simplePos="0" relativeHeight="251672576" behindDoc="1" locked="0" layoutInCell="1" allowOverlap="1" wp14:anchorId="4AAAB39E" wp14:editId="00D508BF">
            <wp:simplePos x="0" y="0"/>
            <wp:positionH relativeFrom="column">
              <wp:posOffset>-349250</wp:posOffset>
            </wp:positionH>
            <wp:positionV relativeFrom="paragraph">
              <wp:posOffset>866140</wp:posOffset>
            </wp:positionV>
            <wp:extent cx="1219200" cy="670560"/>
            <wp:effectExtent l="0" t="0" r="0" b="0"/>
            <wp:wrapNone/>
            <wp:docPr id="5" name="Picture 5" descr="https://www.lactld.org/sites/default/files/logo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actld.org/sites/default/files/logo2_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793">
        <w:rPr>
          <w:noProof/>
        </w:rPr>
        <w:drawing>
          <wp:anchor distT="0" distB="0" distL="114300" distR="114300" simplePos="0" relativeHeight="251673600" behindDoc="1" locked="0" layoutInCell="1" allowOverlap="1" wp14:anchorId="27795748" wp14:editId="192D7B04">
            <wp:simplePos x="0" y="0"/>
            <wp:positionH relativeFrom="column">
              <wp:posOffset>1085850</wp:posOffset>
            </wp:positionH>
            <wp:positionV relativeFrom="paragraph">
              <wp:posOffset>828040</wp:posOffset>
            </wp:positionV>
            <wp:extent cx="1244600" cy="746760"/>
            <wp:effectExtent l="0" t="0" r="0" b="0"/>
            <wp:wrapNone/>
            <wp:docPr id="13" name="Picture 13" descr="https://www.lacnic.net/lacnic/images/lacni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acnic.net/lacnic/images/lacnic/log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793">
        <w:rPr>
          <w:noProof/>
        </w:rPr>
        <w:drawing>
          <wp:anchor distT="0" distB="0" distL="114300" distR="114300" simplePos="0" relativeHeight="251676672" behindDoc="1" locked="0" layoutInCell="1" allowOverlap="1" wp14:anchorId="2E1215D7" wp14:editId="7AEE0DB1">
            <wp:simplePos x="0" y="0"/>
            <wp:positionH relativeFrom="margin">
              <wp:posOffset>4601210</wp:posOffset>
            </wp:positionH>
            <wp:positionV relativeFrom="paragraph">
              <wp:posOffset>854075</wp:posOffset>
            </wp:positionV>
            <wp:extent cx="1582420" cy="6946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242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793" w:rsidRPr="00E45A56">
        <w:rPr>
          <w:noProof/>
        </w:rPr>
        <w:drawing>
          <wp:anchor distT="0" distB="0" distL="114300" distR="114300" simplePos="0" relativeHeight="251675648" behindDoc="1" locked="0" layoutInCell="1" allowOverlap="1" wp14:anchorId="1FBA96AB" wp14:editId="31A4A51B">
            <wp:simplePos x="0" y="0"/>
            <wp:positionH relativeFrom="margin">
              <wp:posOffset>2292350</wp:posOffset>
            </wp:positionH>
            <wp:positionV relativeFrom="paragraph">
              <wp:posOffset>878840</wp:posOffset>
            </wp:positionV>
            <wp:extent cx="800100" cy="640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800100" cy="640080"/>
                    </a:xfrm>
                    <a:prstGeom prst="rect">
                      <a:avLst/>
                    </a:prstGeom>
                  </pic:spPr>
                </pic:pic>
              </a:graphicData>
            </a:graphic>
            <wp14:sizeRelH relativeFrom="margin">
              <wp14:pctWidth>0</wp14:pctWidth>
            </wp14:sizeRelH>
            <wp14:sizeRelV relativeFrom="margin">
              <wp14:pctHeight>0</wp14:pctHeight>
            </wp14:sizeRelV>
          </wp:anchor>
        </w:drawing>
      </w:r>
      <w:r w:rsidR="00E93354" w:rsidRPr="006F7EEA">
        <w:rPr>
          <w:b/>
          <w:i/>
          <w:lang w:val="en-US"/>
        </w:rPr>
        <w:t>For registration for the 2019 GFCE Triple-I event @</w:t>
      </w:r>
      <w:r w:rsidR="00162793">
        <w:rPr>
          <w:b/>
          <w:i/>
          <w:lang w:val="en-US"/>
        </w:rPr>
        <w:t>LACIGF</w:t>
      </w:r>
      <w:r w:rsidR="00E93354" w:rsidRPr="006F7EEA">
        <w:rPr>
          <w:b/>
          <w:i/>
          <w:lang w:val="en-US"/>
        </w:rPr>
        <w:t xml:space="preserve">2019, on </w:t>
      </w:r>
      <w:r w:rsidR="00162793">
        <w:rPr>
          <w:b/>
          <w:i/>
          <w:lang w:val="en-US"/>
        </w:rPr>
        <w:t>5 August</w:t>
      </w:r>
      <w:r w:rsidR="00E93354" w:rsidRPr="006F7EEA">
        <w:rPr>
          <w:b/>
          <w:i/>
          <w:lang w:val="en-US"/>
        </w:rPr>
        <w:t xml:space="preserve"> 2019 in </w:t>
      </w:r>
      <w:r w:rsidR="00162793">
        <w:rPr>
          <w:b/>
          <w:i/>
          <w:lang w:val="en-US"/>
        </w:rPr>
        <w:t>the ATIX hotel, La Paz</w:t>
      </w:r>
      <w:r w:rsidR="00E93354" w:rsidRPr="006F7EEA">
        <w:rPr>
          <w:b/>
          <w:i/>
          <w:lang w:val="en-US"/>
        </w:rPr>
        <w:t xml:space="preserve">, </w:t>
      </w:r>
      <w:r w:rsidR="00162793">
        <w:rPr>
          <w:b/>
          <w:i/>
          <w:lang w:val="en-US"/>
        </w:rPr>
        <w:t>Bolivia</w:t>
      </w:r>
      <w:r w:rsidR="00E93354" w:rsidRPr="006F7EEA">
        <w:rPr>
          <w:b/>
          <w:i/>
          <w:lang w:val="en-US"/>
        </w:rPr>
        <w:t xml:space="preserve">, please register </w:t>
      </w:r>
      <w:hyperlink r:id="rId22" w:history="1">
        <w:r w:rsidR="00E93354" w:rsidRPr="006F7EEA">
          <w:rPr>
            <w:rStyle w:val="Hyperlink"/>
            <w:b/>
            <w:i/>
            <w:lang w:val="en-US"/>
          </w:rPr>
          <w:t>here</w:t>
        </w:r>
      </w:hyperlink>
      <w:r w:rsidR="00E93354" w:rsidRPr="006F7EEA">
        <w:rPr>
          <w:b/>
          <w:i/>
          <w:lang w:val="en-US"/>
        </w:rPr>
        <w:t>.</w:t>
      </w:r>
      <w:r w:rsidR="00E93354" w:rsidRPr="006F7EEA">
        <w:rPr>
          <w:noProof/>
        </w:rPr>
        <w:t xml:space="preserve"> </w:t>
      </w:r>
    </w:p>
    <w:sectPr w:rsidR="00E93354" w:rsidRPr="006F7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497C"/>
    <w:multiLevelType w:val="hybridMultilevel"/>
    <w:tmpl w:val="09E27580"/>
    <w:lvl w:ilvl="0" w:tplc="A2D43588">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074A6E"/>
    <w:multiLevelType w:val="hybridMultilevel"/>
    <w:tmpl w:val="681A4636"/>
    <w:lvl w:ilvl="0" w:tplc="5A0601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A1641AC"/>
    <w:multiLevelType w:val="hybridMultilevel"/>
    <w:tmpl w:val="681A4636"/>
    <w:lvl w:ilvl="0" w:tplc="5A0601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D8B5C1D"/>
    <w:multiLevelType w:val="hybridMultilevel"/>
    <w:tmpl w:val="21843B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6525A2"/>
    <w:multiLevelType w:val="hybridMultilevel"/>
    <w:tmpl w:val="2F4CD32C"/>
    <w:lvl w:ilvl="0" w:tplc="B25E6048">
      <w:start w:val="1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65"/>
    <w:rsid w:val="00044EE4"/>
    <w:rsid w:val="00072B30"/>
    <w:rsid w:val="000B0465"/>
    <w:rsid w:val="000C6A6D"/>
    <w:rsid w:val="000F197F"/>
    <w:rsid w:val="00162793"/>
    <w:rsid w:val="0016731B"/>
    <w:rsid w:val="00173CF3"/>
    <w:rsid w:val="00186A5D"/>
    <w:rsid w:val="001C27A8"/>
    <w:rsid w:val="001F2CC4"/>
    <w:rsid w:val="00202D4D"/>
    <w:rsid w:val="00203D25"/>
    <w:rsid w:val="00245C93"/>
    <w:rsid w:val="0025286B"/>
    <w:rsid w:val="00254BA6"/>
    <w:rsid w:val="00255D22"/>
    <w:rsid w:val="002C3923"/>
    <w:rsid w:val="00300B05"/>
    <w:rsid w:val="00384DE1"/>
    <w:rsid w:val="003904D3"/>
    <w:rsid w:val="003C2A06"/>
    <w:rsid w:val="00470959"/>
    <w:rsid w:val="004C77CD"/>
    <w:rsid w:val="00504D11"/>
    <w:rsid w:val="00586E64"/>
    <w:rsid w:val="005F1078"/>
    <w:rsid w:val="005F477C"/>
    <w:rsid w:val="00620D5F"/>
    <w:rsid w:val="00634D02"/>
    <w:rsid w:val="00646180"/>
    <w:rsid w:val="006D2101"/>
    <w:rsid w:val="006F7EEA"/>
    <w:rsid w:val="00784AF7"/>
    <w:rsid w:val="007D07F8"/>
    <w:rsid w:val="008060F5"/>
    <w:rsid w:val="00813352"/>
    <w:rsid w:val="008553C7"/>
    <w:rsid w:val="008A2E30"/>
    <w:rsid w:val="008A70FA"/>
    <w:rsid w:val="008B5A4F"/>
    <w:rsid w:val="0090360E"/>
    <w:rsid w:val="00967597"/>
    <w:rsid w:val="009F66EB"/>
    <w:rsid w:val="009F724F"/>
    <w:rsid w:val="00A0171F"/>
    <w:rsid w:val="00A37960"/>
    <w:rsid w:val="00A737D5"/>
    <w:rsid w:val="00AE2855"/>
    <w:rsid w:val="00B0797E"/>
    <w:rsid w:val="00BD5D7F"/>
    <w:rsid w:val="00C527B0"/>
    <w:rsid w:val="00C9699C"/>
    <w:rsid w:val="00CF7DE7"/>
    <w:rsid w:val="00D1049F"/>
    <w:rsid w:val="00D11223"/>
    <w:rsid w:val="00D600D9"/>
    <w:rsid w:val="00DA296E"/>
    <w:rsid w:val="00E02398"/>
    <w:rsid w:val="00E05E83"/>
    <w:rsid w:val="00E072B5"/>
    <w:rsid w:val="00E41805"/>
    <w:rsid w:val="00E45A56"/>
    <w:rsid w:val="00E46776"/>
    <w:rsid w:val="00E75595"/>
    <w:rsid w:val="00E85083"/>
    <w:rsid w:val="00E93354"/>
    <w:rsid w:val="00EA7E68"/>
    <w:rsid w:val="00EE54E4"/>
    <w:rsid w:val="00F7729D"/>
    <w:rsid w:val="00FD2E36"/>
    <w:rsid w:val="00FF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9714"/>
  <w15:chartTrackingRefBased/>
  <w15:docId w15:val="{FB186436-4F1C-4784-A5FC-A2246C95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335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E023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97"/>
    <w:pPr>
      <w:ind w:left="720"/>
      <w:contextualSpacing/>
    </w:pPr>
  </w:style>
  <w:style w:type="character" w:styleId="Hyperlink">
    <w:name w:val="Hyperlink"/>
    <w:basedOn w:val="DefaultParagraphFont"/>
    <w:uiPriority w:val="99"/>
    <w:unhideWhenUsed/>
    <w:rsid w:val="002C3923"/>
    <w:rPr>
      <w:color w:val="0563C1" w:themeColor="hyperlink"/>
      <w:u w:val="single"/>
    </w:rPr>
  </w:style>
  <w:style w:type="character" w:styleId="UnresolvedMention">
    <w:name w:val="Unresolved Mention"/>
    <w:basedOn w:val="DefaultParagraphFont"/>
    <w:uiPriority w:val="99"/>
    <w:semiHidden/>
    <w:unhideWhenUsed/>
    <w:rsid w:val="002C3923"/>
    <w:rPr>
      <w:color w:val="808080"/>
      <w:shd w:val="clear" w:color="auto" w:fill="E6E6E6"/>
    </w:rPr>
  </w:style>
  <w:style w:type="paragraph" w:styleId="Title">
    <w:name w:val="Title"/>
    <w:basedOn w:val="Normal"/>
    <w:next w:val="Normal"/>
    <w:link w:val="TitleChar"/>
    <w:uiPriority w:val="10"/>
    <w:qFormat/>
    <w:rsid w:val="00C969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9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699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813352"/>
    <w:rPr>
      <w:sz w:val="16"/>
      <w:szCs w:val="16"/>
    </w:rPr>
  </w:style>
  <w:style w:type="paragraph" w:styleId="CommentText">
    <w:name w:val="annotation text"/>
    <w:basedOn w:val="Normal"/>
    <w:link w:val="CommentTextChar"/>
    <w:uiPriority w:val="99"/>
    <w:semiHidden/>
    <w:unhideWhenUsed/>
    <w:rsid w:val="00813352"/>
    <w:pPr>
      <w:spacing w:line="240" w:lineRule="auto"/>
    </w:pPr>
    <w:rPr>
      <w:sz w:val="20"/>
      <w:szCs w:val="20"/>
    </w:rPr>
  </w:style>
  <w:style w:type="character" w:customStyle="1" w:styleId="CommentTextChar">
    <w:name w:val="Comment Text Char"/>
    <w:basedOn w:val="DefaultParagraphFont"/>
    <w:link w:val="CommentText"/>
    <w:uiPriority w:val="99"/>
    <w:semiHidden/>
    <w:rsid w:val="00813352"/>
    <w:rPr>
      <w:sz w:val="20"/>
      <w:szCs w:val="20"/>
    </w:rPr>
  </w:style>
  <w:style w:type="paragraph" w:styleId="CommentSubject">
    <w:name w:val="annotation subject"/>
    <w:basedOn w:val="CommentText"/>
    <w:next w:val="CommentText"/>
    <w:link w:val="CommentSubjectChar"/>
    <w:uiPriority w:val="99"/>
    <w:semiHidden/>
    <w:unhideWhenUsed/>
    <w:rsid w:val="00813352"/>
    <w:rPr>
      <w:b/>
      <w:bCs/>
    </w:rPr>
  </w:style>
  <w:style w:type="character" w:customStyle="1" w:styleId="CommentSubjectChar">
    <w:name w:val="Comment Subject Char"/>
    <w:basedOn w:val="CommentTextChar"/>
    <w:link w:val="CommentSubject"/>
    <w:uiPriority w:val="99"/>
    <w:semiHidden/>
    <w:rsid w:val="00813352"/>
    <w:rPr>
      <w:b/>
      <w:bCs/>
      <w:sz w:val="20"/>
      <w:szCs w:val="20"/>
    </w:rPr>
  </w:style>
  <w:style w:type="paragraph" w:styleId="BalloonText">
    <w:name w:val="Balloon Text"/>
    <w:basedOn w:val="Normal"/>
    <w:link w:val="BalloonTextChar"/>
    <w:uiPriority w:val="99"/>
    <w:semiHidden/>
    <w:unhideWhenUsed/>
    <w:rsid w:val="008133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335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13352"/>
    <w:rPr>
      <w:color w:val="954F72" w:themeColor="followedHyperlink"/>
      <w:u w:val="single"/>
    </w:rPr>
  </w:style>
  <w:style w:type="character" w:customStyle="1" w:styleId="Heading1Char">
    <w:name w:val="Heading 1 Char"/>
    <w:basedOn w:val="DefaultParagraphFont"/>
    <w:link w:val="Heading1"/>
    <w:uiPriority w:val="9"/>
    <w:rsid w:val="00813352"/>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813352"/>
    <w:rPr>
      <w:b/>
      <w:bCs/>
    </w:rPr>
  </w:style>
  <w:style w:type="table" w:styleId="TableGrid">
    <w:name w:val="Table Grid"/>
    <w:basedOn w:val="TableNormal"/>
    <w:uiPriority w:val="39"/>
    <w:rsid w:val="0017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23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39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igf.org/" TargetMode="External"/><Relationship Id="rId13" Type="http://schemas.openxmlformats.org/officeDocument/2006/relationships/hyperlink" Target="http://www.informationsociety.org"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www.thegfce.com" TargetMode="External"/><Relationship Id="rId12" Type="http://schemas.openxmlformats.org/officeDocument/2006/relationships/hyperlink" Target="http://www.icann.or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gi.br/"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maarten@gnksconsult.com" TargetMode="External"/><Relationship Id="rId23" Type="http://schemas.openxmlformats.org/officeDocument/2006/relationships/fontTable" Target="fontTable.xml"/><Relationship Id="rId10" Type="http://schemas.openxmlformats.org/officeDocument/2006/relationships/hyperlink" Target="https://www.lacnic.net/"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lactld.org/" TargetMode="External"/><Relationship Id="rId14" Type="http://schemas.openxmlformats.org/officeDocument/2006/relationships/hyperlink" Target="https://www.thegfce.com/initiatives/i/internet-infrastructure-initiative/regional-meetings-gfce-triple-i" TargetMode="External"/><Relationship Id="rId22" Type="http://schemas.openxmlformats.org/officeDocument/2006/relationships/hyperlink" Target="https://triple-i-lacigf2019.gfce-events.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839</Words>
  <Characters>4785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Botterman</dc:creator>
  <cp:keywords/>
  <dc:description/>
  <cp:lastModifiedBy>Maarten Botterman</cp:lastModifiedBy>
  <cp:revision>5</cp:revision>
  <dcterms:created xsi:type="dcterms:W3CDTF">2019-07-24T12:54:00Z</dcterms:created>
  <dcterms:modified xsi:type="dcterms:W3CDTF">2019-07-25T07:58:00Z</dcterms:modified>
</cp:coreProperties>
</file>