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42583">
      <w:pPr>
        <w:pStyle w:val="Fuentedeprrafopredeter"/>
        <w:widowControl w:val="0"/>
        <w:autoSpaceDE w:val="0"/>
        <w:autoSpaceDN w:val="0"/>
        <w:adjustRightInd w:val="0"/>
        <w:spacing w:after="0" w:line="259"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6861175</wp:posOffset>
            </wp:positionH>
            <wp:positionV relativeFrom="page">
              <wp:posOffset>152400</wp:posOffset>
            </wp:positionV>
            <wp:extent cx="758825" cy="678815"/>
            <wp:effectExtent l="0" t="0" r="317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8825" cy="678815"/>
                    </a:xfrm>
                    <a:prstGeom prst="rect">
                      <a:avLst/>
                    </a:prstGeom>
                    <a:noFill/>
                  </pic:spPr>
                </pic:pic>
              </a:graphicData>
            </a:graphic>
            <wp14:sizeRelH relativeFrom="page">
              <wp14:pctWidth>0</wp14:pctWidth>
            </wp14:sizeRelH>
            <wp14:sizeRelV relativeFrom="page">
              <wp14:pctHeight>0</wp14:pctHeight>
            </wp14:sizeRelV>
          </wp:anchor>
        </w:drawing>
      </w:r>
    </w:p>
    <w:p w:rsidR="00000000" w:rsidRPr="00CA070D" w:rsidRDefault="00F30AC0">
      <w:pPr>
        <w:pStyle w:val="Fuentedeprrafopredeter"/>
        <w:widowControl w:val="0"/>
        <w:autoSpaceDE w:val="0"/>
        <w:autoSpaceDN w:val="0"/>
        <w:adjustRightInd w:val="0"/>
        <w:spacing w:after="0" w:line="240" w:lineRule="auto"/>
        <w:ind w:left="1880"/>
        <w:rPr>
          <w:rFonts w:ascii="Times New Roman" w:hAnsi="Times New Roman" w:cs="Times New Roman"/>
          <w:sz w:val="24"/>
          <w:szCs w:val="24"/>
          <w:lang w:val="en-US"/>
        </w:rPr>
      </w:pPr>
      <w:r w:rsidRPr="00CA070D">
        <w:rPr>
          <w:rFonts w:ascii="Cambria" w:hAnsi="Cambria" w:cs="Cambria"/>
          <w:b/>
          <w:bCs/>
          <w:sz w:val="24"/>
          <w:szCs w:val="24"/>
          <w:lang w:val="en-US"/>
        </w:rPr>
        <w:t>ICANN Enterprise Risk Management Process</w:t>
      </w:r>
    </w:p>
    <w:p w:rsidR="00000000" w:rsidRPr="00CA070D" w:rsidRDefault="00F30AC0">
      <w:pPr>
        <w:pStyle w:val="Fuentedeprrafopredeter"/>
        <w:widowControl w:val="0"/>
        <w:autoSpaceDE w:val="0"/>
        <w:autoSpaceDN w:val="0"/>
        <w:adjustRightInd w:val="0"/>
        <w:spacing w:after="0" w:line="280" w:lineRule="exact"/>
        <w:rPr>
          <w:rFonts w:ascii="Times New Roman" w:hAnsi="Times New Roman" w:cs="Times New Roman"/>
          <w:sz w:val="24"/>
          <w:szCs w:val="24"/>
          <w:lang w:val="en-US"/>
        </w:rPr>
      </w:pPr>
    </w:p>
    <w:p w:rsidR="00000000" w:rsidRPr="00CA070D" w:rsidRDefault="00F30AC0">
      <w:pPr>
        <w:pStyle w:val="Fuentedeprrafopredeter"/>
        <w:widowControl w:val="0"/>
        <w:autoSpaceDE w:val="0"/>
        <w:autoSpaceDN w:val="0"/>
        <w:adjustRightInd w:val="0"/>
        <w:spacing w:after="0" w:line="240" w:lineRule="auto"/>
        <w:rPr>
          <w:rFonts w:ascii="Times New Roman" w:hAnsi="Times New Roman" w:cs="Times New Roman"/>
          <w:sz w:val="24"/>
          <w:szCs w:val="24"/>
          <w:lang w:val="en-US"/>
        </w:rPr>
      </w:pPr>
      <w:r w:rsidRPr="00CA070D">
        <w:rPr>
          <w:rFonts w:ascii="Cambria" w:hAnsi="Cambria" w:cs="Cambria"/>
          <w:b/>
          <w:bCs/>
          <w:sz w:val="24"/>
          <w:szCs w:val="24"/>
          <w:lang w:val="en-US"/>
        </w:rPr>
        <w:t>Introduction:</w:t>
      </w:r>
    </w:p>
    <w:p w:rsidR="00000000" w:rsidRPr="00CA070D" w:rsidRDefault="00F30AC0">
      <w:pPr>
        <w:pStyle w:val="Fuentedeprrafopredeter"/>
        <w:widowControl w:val="0"/>
        <w:autoSpaceDE w:val="0"/>
        <w:autoSpaceDN w:val="0"/>
        <w:adjustRightInd w:val="0"/>
        <w:spacing w:after="0" w:line="39"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333" w:lineRule="auto"/>
        <w:rPr>
          <w:rFonts w:ascii="Times New Roman" w:hAnsi="Times New Roman" w:cs="Times New Roman"/>
          <w:sz w:val="24"/>
          <w:szCs w:val="24"/>
          <w:lang w:val="en-US"/>
        </w:rPr>
      </w:pPr>
      <w:r w:rsidRPr="00CA070D">
        <w:rPr>
          <w:rFonts w:ascii="Cambria" w:hAnsi="Cambria" w:cs="Cambria"/>
          <w:sz w:val="24"/>
          <w:szCs w:val="24"/>
          <w:lang w:val="en-US"/>
        </w:rPr>
        <w:t>ICANN has a proven commitment to accountability and transparency in all of its practices. Indeed,</w:t>
      </w:r>
      <w:r w:rsidRPr="00CA070D">
        <w:rPr>
          <w:rFonts w:ascii="Cambria" w:hAnsi="Cambria" w:cs="Cambria"/>
          <w:sz w:val="24"/>
          <w:szCs w:val="24"/>
          <w:lang w:val="en-US"/>
        </w:rPr>
        <w:t xml:space="preserve"> ICANN considers these principles to be fundamental safeguards in ensuring that its international, bottom-up, </w:t>
      </w:r>
      <w:proofErr w:type="spellStart"/>
      <w:r w:rsidRPr="00CA070D">
        <w:rPr>
          <w:rFonts w:ascii="Cambria" w:hAnsi="Cambria" w:cs="Cambria"/>
          <w:sz w:val="24"/>
          <w:szCs w:val="24"/>
          <w:lang w:val="en-US"/>
        </w:rPr>
        <w:t>multistakeholder</w:t>
      </w:r>
      <w:proofErr w:type="spellEnd"/>
      <w:r w:rsidRPr="00CA070D">
        <w:rPr>
          <w:rFonts w:ascii="Cambria" w:hAnsi="Cambria" w:cs="Cambria"/>
          <w:sz w:val="24"/>
          <w:szCs w:val="24"/>
          <w:lang w:val="en-US"/>
        </w:rPr>
        <w:t xml:space="preserve"> model remains effective. This summary is intended to provide a brief insight into ICANN’s risk management activities.</w:t>
      </w:r>
    </w:p>
    <w:p w:rsidR="00000000" w:rsidRPr="00CA070D" w:rsidRDefault="00F30AC0">
      <w:pPr>
        <w:pStyle w:val="Fuentedeprrafopredeter"/>
        <w:widowControl w:val="0"/>
        <w:autoSpaceDE w:val="0"/>
        <w:autoSpaceDN w:val="0"/>
        <w:adjustRightInd w:val="0"/>
        <w:spacing w:after="0" w:line="1"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269" w:lineRule="auto"/>
        <w:ind w:right="40"/>
        <w:rPr>
          <w:rFonts w:ascii="Times New Roman" w:hAnsi="Times New Roman" w:cs="Times New Roman"/>
          <w:sz w:val="24"/>
          <w:szCs w:val="24"/>
          <w:lang w:val="en-US"/>
        </w:rPr>
      </w:pPr>
      <w:r w:rsidRPr="00CA070D">
        <w:rPr>
          <w:rFonts w:ascii="Cambria" w:hAnsi="Cambria" w:cs="Cambria"/>
          <w:sz w:val="24"/>
          <w:szCs w:val="24"/>
          <w:lang w:val="en-US"/>
        </w:rPr>
        <w:t>Over the c</w:t>
      </w:r>
      <w:r w:rsidRPr="00CA070D">
        <w:rPr>
          <w:rFonts w:ascii="Cambria" w:hAnsi="Cambria" w:cs="Cambria"/>
          <w:sz w:val="24"/>
          <w:szCs w:val="24"/>
          <w:lang w:val="en-US"/>
        </w:rPr>
        <w:t xml:space="preserve">ourse of ICANN’s history, we have leveraged many mechanisms and experts to assist with identifying the risks posing threats to ICANN. Specifically, ICANN has worked with a variety of experts over the years to conduct internal enterprise-wide, new </w:t>
      </w:r>
      <w:proofErr w:type="spellStart"/>
      <w:r w:rsidRPr="00CA070D">
        <w:rPr>
          <w:rFonts w:ascii="Cambria" w:hAnsi="Cambria" w:cs="Cambria"/>
          <w:sz w:val="24"/>
          <w:szCs w:val="24"/>
          <w:lang w:val="en-US"/>
        </w:rPr>
        <w:t>gTLD</w:t>
      </w:r>
      <w:proofErr w:type="spellEnd"/>
      <w:r w:rsidRPr="00CA070D">
        <w:rPr>
          <w:rFonts w:ascii="Cambria" w:hAnsi="Cambria" w:cs="Cambria"/>
          <w:sz w:val="24"/>
          <w:szCs w:val="24"/>
          <w:lang w:val="en-US"/>
        </w:rPr>
        <w:t>, and</w:t>
      </w:r>
      <w:r w:rsidRPr="00CA070D">
        <w:rPr>
          <w:rFonts w:ascii="Cambria" w:hAnsi="Cambria" w:cs="Cambria"/>
          <w:sz w:val="24"/>
          <w:szCs w:val="24"/>
          <w:lang w:val="en-US"/>
        </w:rPr>
        <w:t xml:space="preserve"> DNS risk assessments, among others. In 2013, ICANN formally established a specific department to oversee enterprise risk management (ERM). The ERM department is tasked with helping identify risks that, if they occurred, could affect the organization, as w</w:t>
      </w:r>
      <w:r w:rsidRPr="00CA070D">
        <w:rPr>
          <w:rFonts w:ascii="Cambria" w:hAnsi="Cambria" w:cs="Cambria"/>
          <w:sz w:val="24"/>
          <w:szCs w:val="24"/>
          <w:lang w:val="en-US"/>
        </w:rPr>
        <w:t>ell as tracking mitigation plans and implementation, and reporting on the results of those efforts.</w:t>
      </w:r>
    </w:p>
    <w:p w:rsidR="00000000" w:rsidRPr="00CA070D" w:rsidRDefault="00F30AC0">
      <w:pPr>
        <w:pStyle w:val="Fuentedeprrafopredeter"/>
        <w:widowControl w:val="0"/>
        <w:autoSpaceDE w:val="0"/>
        <w:autoSpaceDN w:val="0"/>
        <w:adjustRightInd w:val="0"/>
        <w:spacing w:after="0" w:line="7"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288" w:lineRule="auto"/>
        <w:ind w:right="80"/>
        <w:rPr>
          <w:rFonts w:ascii="Times New Roman" w:hAnsi="Times New Roman" w:cs="Times New Roman"/>
          <w:sz w:val="24"/>
          <w:szCs w:val="24"/>
          <w:lang w:val="en-US"/>
        </w:rPr>
      </w:pPr>
      <w:r w:rsidRPr="00CA070D">
        <w:rPr>
          <w:rFonts w:ascii="Cambria" w:hAnsi="Cambria" w:cs="Cambria"/>
          <w:sz w:val="24"/>
          <w:szCs w:val="24"/>
          <w:lang w:val="en-US"/>
        </w:rPr>
        <w:t>Since late 2008, ICANN’s Board Risk Committee has been in place to oversee the processes and methodologies noted above. Specifically, the Board helps ensur</w:t>
      </w:r>
      <w:r w:rsidRPr="00CA070D">
        <w:rPr>
          <w:rFonts w:ascii="Cambria" w:hAnsi="Cambria" w:cs="Cambria"/>
          <w:sz w:val="24"/>
          <w:szCs w:val="24"/>
          <w:lang w:val="en-US"/>
        </w:rPr>
        <w:t>e that management has properly gauged the risk appetite and risk profile for ICANN, and that a sound mechanism is in place to address and mitigate, as applicable, the identified risks.</w:t>
      </w:r>
    </w:p>
    <w:p w:rsidR="00000000" w:rsidRPr="00CA070D" w:rsidRDefault="00F30AC0">
      <w:pPr>
        <w:pStyle w:val="Fuentedeprrafopredeter"/>
        <w:widowControl w:val="0"/>
        <w:autoSpaceDE w:val="0"/>
        <w:autoSpaceDN w:val="0"/>
        <w:adjustRightInd w:val="0"/>
        <w:spacing w:after="0" w:line="1" w:lineRule="exact"/>
        <w:rPr>
          <w:rFonts w:ascii="Times New Roman" w:hAnsi="Times New Roman" w:cs="Times New Roman"/>
          <w:sz w:val="24"/>
          <w:szCs w:val="24"/>
          <w:lang w:val="en-US"/>
        </w:rPr>
      </w:pPr>
    </w:p>
    <w:p w:rsidR="00000000" w:rsidRPr="00CA070D" w:rsidRDefault="00F30AC0">
      <w:pPr>
        <w:pStyle w:val="Fuentedeprrafopredeter"/>
        <w:widowControl w:val="0"/>
        <w:autoSpaceDE w:val="0"/>
        <w:autoSpaceDN w:val="0"/>
        <w:adjustRightInd w:val="0"/>
        <w:spacing w:after="0" w:line="240" w:lineRule="auto"/>
        <w:rPr>
          <w:rFonts w:ascii="Times New Roman" w:hAnsi="Times New Roman" w:cs="Times New Roman"/>
          <w:sz w:val="24"/>
          <w:szCs w:val="24"/>
          <w:lang w:val="en-US"/>
        </w:rPr>
      </w:pPr>
      <w:r w:rsidRPr="00CA070D">
        <w:rPr>
          <w:rFonts w:ascii="Cambria" w:hAnsi="Cambria" w:cs="Cambria"/>
          <w:b/>
          <w:bCs/>
          <w:sz w:val="24"/>
          <w:szCs w:val="24"/>
          <w:lang w:val="en-US"/>
        </w:rPr>
        <w:t>Definition of Risk:</w:t>
      </w:r>
    </w:p>
    <w:p w:rsidR="00000000" w:rsidRPr="00CA070D" w:rsidRDefault="00F30AC0">
      <w:pPr>
        <w:pStyle w:val="Fuentedeprrafopredeter"/>
        <w:widowControl w:val="0"/>
        <w:autoSpaceDE w:val="0"/>
        <w:autoSpaceDN w:val="0"/>
        <w:adjustRightInd w:val="0"/>
        <w:spacing w:after="0" w:line="2"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312" w:lineRule="auto"/>
        <w:ind w:right="100"/>
        <w:rPr>
          <w:rFonts w:ascii="Times New Roman" w:hAnsi="Times New Roman" w:cs="Times New Roman"/>
          <w:sz w:val="24"/>
          <w:szCs w:val="24"/>
          <w:lang w:val="en-US"/>
        </w:rPr>
      </w:pPr>
      <w:r w:rsidRPr="00CA070D">
        <w:rPr>
          <w:rFonts w:ascii="Cambria" w:hAnsi="Cambria" w:cs="Cambria"/>
          <w:sz w:val="23"/>
          <w:szCs w:val="23"/>
          <w:lang w:val="en-US"/>
        </w:rPr>
        <w:t>According to many, the definition of risk is as simple as the possibility of something bad or unanticipated occurring that results in loss or harm. This is important to note, as ICANN has taken integral steps in the identification, evaluation and mitigatio</w:t>
      </w:r>
      <w:r w:rsidRPr="00CA070D">
        <w:rPr>
          <w:rFonts w:ascii="Cambria" w:hAnsi="Cambria" w:cs="Cambria"/>
          <w:sz w:val="23"/>
          <w:szCs w:val="23"/>
          <w:lang w:val="en-US"/>
        </w:rPr>
        <w:t>n of risks that could potentially and adversely affect ICANN’s mission.</w:t>
      </w:r>
    </w:p>
    <w:p w:rsidR="00000000" w:rsidRPr="00CA070D" w:rsidRDefault="00F30AC0">
      <w:pPr>
        <w:pStyle w:val="Fuentedeprrafopredeter"/>
        <w:widowControl w:val="0"/>
        <w:autoSpaceDE w:val="0"/>
        <w:autoSpaceDN w:val="0"/>
        <w:adjustRightInd w:val="0"/>
        <w:spacing w:after="0" w:line="1" w:lineRule="exact"/>
        <w:rPr>
          <w:rFonts w:ascii="Times New Roman" w:hAnsi="Times New Roman" w:cs="Times New Roman"/>
          <w:sz w:val="24"/>
          <w:szCs w:val="24"/>
          <w:lang w:val="en-US"/>
        </w:rPr>
      </w:pPr>
    </w:p>
    <w:p w:rsidR="00000000" w:rsidRPr="00CA070D" w:rsidRDefault="00F30AC0">
      <w:pPr>
        <w:pStyle w:val="Fuentedeprrafopredeter"/>
        <w:widowControl w:val="0"/>
        <w:autoSpaceDE w:val="0"/>
        <w:autoSpaceDN w:val="0"/>
        <w:adjustRightInd w:val="0"/>
        <w:spacing w:after="0" w:line="240" w:lineRule="auto"/>
        <w:rPr>
          <w:rFonts w:ascii="Times New Roman" w:hAnsi="Times New Roman" w:cs="Times New Roman"/>
          <w:sz w:val="24"/>
          <w:szCs w:val="24"/>
          <w:lang w:val="en-US"/>
        </w:rPr>
      </w:pPr>
      <w:r w:rsidRPr="00CA070D">
        <w:rPr>
          <w:rFonts w:ascii="Cambria" w:hAnsi="Cambria" w:cs="Cambria"/>
          <w:b/>
          <w:bCs/>
          <w:sz w:val="24"/>
          <w:szCs w:val="24"/>
          <w:lang w:val="en-US"/>
        </w:rPr>
        <w:t>The Process:</w:t>
      </w:r>
    </w:p>
    <w:p w:rsidR="00000000" w:rsidRPr="00CA070D" w:rsidRDefault="00F30AC0">
      <w:pPr>
        <w:pStyle w:val="Fuentedeprrafopredeter"/>
        <w:widowControl w:val="0"/>
        <w:autoSpaceDE w:val="0"/>
        <w:autoSpaceDN w:val="0"/>
        <w:adjustRightInd w:val="0"/>
        <w:spacing w:after="0" w:line="240" w:lineRule="auto"/>
        <w:rPr>
          <w:rFonts w:ascii="Times New Roman" w:hAnsi="Times New Roman" w:cs="Times New Roman"/>
          <w:sz w:val="24"/>
          <w:szCs w:val="24"/>
          <w:lang w:val="en-US"/>
        </w:rPr>
      </w:pPr>
      <w:r w:rsidRPr="00CA070D">
        <w:rPr>
          <w:rFonts w:ascii="Cambria" w:hAnsi="Cambria" w:cs="Cambria"/>
          <w:sz w:val="24"/>
          <w:szCs w:val="24"/>
          <w:lang w:val="en-US"/>
        </w:rPr>
        <w:t>How does ICANN identify, evaluate and mitigate risk?</w:t>
      </w:r>
    </w:p>
    <w:p w:rsidR="00000000" w:rsidRPr="00CA070D" w:rsidRDefault="00F30AC0">
      <w:pPr>
        <w:pStyle w:val="Fuentedeprrafopredeter"/>
        <w:widowControl w:val="0"/>
        <w:autoSpaceDE w:val="0"/>
        <w:autoSpaceDN w:val="0"/>
        <w:adjustRightInd w:val="0"/>
        <w:spacing w:after="0" w:line="285"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358" w:lineRule="auto"/>
        <w:ind w:right="800"/>
        <w:rPr>
          <w:rFonts w:ascii="Times New Roman" w:hAnsi="Times New Roman" w:cs="Times New Roman"/>
          <w:sz w:val="24"/>
          <w:szCs w:val="24"/>
          <w:lang w:val="en-US"/>
        </w:rPr>
      </w:pPr>
      <w:r w:rsidRPr="00CA070D">
        <w:rPr>
          <w:rFonts w:ascii="Cambria" w:hAnsi="Cambria" w:cs="Cambria"/>
          <w:sz w:val="24"/>
          <w:szCs w:val="24"/>
          <w:lang w:val="en-US"/>
        </w:rPr>
        <w:t>ICANN relies on a sound and commonly used risk management model and in consultation with risk and subject matter exp</w:t>
      </w:r>
      <w:r w:rsidRPr="00CA070D">
        <w:rPr>
          <w:rFonts w:ascii="Cambria" w:hAnsi="Cambria" w:cs="Cambria"/>
          <w:sz w:val="24"/>
          <w:szCs w:val="24"/>
          <w:lang w:val="en-US"/>
        </w:rPr>
        <w:t>erts to:</w:t>
      </w:r>
    </w:p>
    <w:p w:rsidR="00000000" w:rsidRPr="00CA070D" w:rsidRDefault="00F30AC0">
      <w:pPr>
        <w:pStyle w:val="Fuentedeprrafopredeter"/>
        <w:widowControl w:val="0"/>
        <w:autoSpaceDE w:val="0"/>
        <w:autoSpaceDN w:val="0"/>
        <w:adjustRightInd w:val="0"/>
        <w:spacing w:after="0" w:line="1" w:lineRule="exact"/>
        <w:rPr>
          <w:rFonts w:ascii="Times New Roman" w:hAnsi="Times New Roman" w:cs="Times New Roman"/>
          <w:sz w:val="24"/>
          <w:szCs w:val="24"/>
          <w:lang w:val="en-US"/>
        </w:rPr>
      </w:pPr>
    </w:p>
    <w:p w:rsidR="00000000" w:rsidRPr="00CA070D" w:rsidRDefault="00F30AC0">
      <w:pPr>
        <w:pStyle w:val="Fuentedeprrafopredeter"/>
        <w:widowControl w:val="0"/>
        <w:numPr>
          <w:ilvl w:val="0"/>
          <w:numId w:val="1"/>
        </w:numPr>
        <w:overflowPunct w:val="0"/>
        <w:autoSpaceDE w:val="0"/>
        <w:autoSpaceDN w:val="0"/>
        <w:adjustRightInd w:val="0"/>
        <w:spacing w:after="0" w:line="241" w:lineRule="auto"/>
        <w:ind w:right="280"/>
        <w:jc w:val="both"/>
        <w:rPr>
          <w:rFonts w:ascii="Cambria" w:hAnsi="Cambria" w:cs="Cambria"/>
          <w:sz w:val="24"/>
          <w:szCs w:val="24"/>
          <w:lang w:val="en-US"/>
        </w:rPr>
      </w:pPr>
      <w:r w:rsidRPr="00CA070D">
        <w:rPr>
          <w:rFonts w:ascii="Cambria" w:hAnsi="Cambria" w:cs="Cambria"/>
          <w:sz w:val="24"/>
          <w:szCs w:val="24"/>
          <w:lang w:val="en-US"/>
        </w:rPr>
        <w:t xml:space="preserve">Identify risks via surveys, inquiries, community feedback, working groups, etc. </w:t>
      </w:r>
    </w:p>
    <w:p w:rsidR="00000000" w:rsidRPr="00CA070D" w:rsidRDefault="00F30AC0">
      <w:pPr>
        <w:pStyle w:val="Fuentedeprrafopredeter"/>
        <w:widowControl w:val="0"/>
        <w:autoSpaceDE w:val="0"/>
        <w:autoSpaceDN w:val="0"/>
        <w:adjustRightInd w:val="0"/>
        <w:spacing w:after="0" w:line="1" w:lineRule="exact"/>
        <w:rPr>
          <w:rFonts w:ascii="Cambria" w:hAnsi="Cambria" w:cs="Cambria"/>
          <w:sz w:val="24"/>
          <w:szCs w:val="24"/>
          <w:lang w:val="en-US"/>
        </w:rPr>
      </w:pPr>
    </w:p>
    <w:p w:rsidR="00000000" w:rsidRPr="00CA070D" w:rsidRDefault="00F30AC0">
      <w:pPr>
        <w:pStyle w:val="Fuentedeprrafopredeter"/>
        <w:widowControl w:val="0"/>
        <w:numPr>
          <w:ilvl w:val="0"/>
          <w:numId w:val="1"/>
        </w:numPr>
        <w:overflowPunct w:val="0"/>
        <w:autoSpaceDE w:val="0"/>
        <w:autoSpaceDN w:val="0"/>
        <w:adjustRightInd w:val="0"/>
        <w:spacing w:after="0" w:line="239" w:lineRule="auto"/>
        <w:ind w:right="400"/>
        <w:jc w:val="both"/>
        <w:rPr>
          <w:rFonts w:ascii="Cambria" w:hAnsi="Cambria" w:cs="Cambria"/>
          <w:sz w:val="24"/>
          <w:szCs w:val="24"/>
          <w:lang w:val="en-US"/>
        </w:rPr>
      </w:pPr>
      <w:r w:rsidRPr="00CA070D">
        <w:rPr>
          <w:rFonts w:ascii="Cambria" w:hAnsi="Cambria" w:cs="Cambria"/>
          <w:sz w:val="24"/>
          <w:szCs w:val="24"/>
          <w:lang w:val="en-US"/>
        </w:rPr>
        <w:t xml:space="preserve">Evaluate the level of impact to the organization, as well as the probability that each risk will occur. </w:t>
      </w:r>
    </w:p>
    <w:p w:rsidR="00000000" w:rsidRPr="00CA070D" w:rsidRDefault="00F30AC0">
      <w:pPr>
        <w:pStyle w:val="Fuentedeprrafopredeter"/>
        <w:widowControl w:val="0"/>
        <w:autoSpaceDE w:val="0"/>
        <w:autoSpaceDN w:val="0"/>
        <w:adjustRightInd w:val="0"/>
        <w:spacing w:after="0" w:line="1" w:lineRule="exact"/>
        <w:rPr>
          <w:rFonts w:ascii="Cambria" w:hAnsi="Cambria" w:cs="Cambria"/>
          <w:sz w:val="24"/>
          <w:szCs w:val="24"/>
          <w:lang w:val="en-US"/>
        </w:rPr>
      </w:pPr>
    </w:p>
    <w:p w:rsidR="00000000" w:rsidRDefault="00F30AC0">
      <w:pPr>
        <w:pStyle w:val="Fuentedeprrafopredeter"/>
        <w:widowControl w:val="0"/>
        <w:numPr>
          <w:ilvl w:val="0"/>
          <w:numId w:val="1"/>
        </w:numPr>
        <w:overflowPunct w:val="0"/>
        <w:autoSpaceDE w:val="0"/>
        <w:autoSpaceDN w:val="0"/>
        <w:adjustRightInd w:val="0"/>
        <w:spacing w:after="0" w:line="245" w:lineRule="auto"/>
        <w:ind w:right="500"/>
        <w:jc w:val="both"/>
        <w:rPr>
          <w:rFonts w:ascii="Cambria" w:hAnsi="Cambria" w:cs="Cambria"/>
          <w:sz w:val="24"/>
          <w:szCs w:val="24"/>
        </w:rPr>
      </w:pPr>
      <w:r w:rsidRPr="00CA070D">
        <w:rPr>
          <w:rFonts w:ascii="Cambria" w:hAnsi="Cambria" w:cs="Cambria"/>
          <w:sz w:val="24"/>
          <w:szCs w:val="24"/>
          <w:lang w:val="en-US"/>
        </w:rPr>
        <w:t>Assess the risk and make the necessary determi</w:t>
      </w:r>
      <w:r w:rsidRPr="00CA070D">
        <w:rPr>
          <w:rFonts w:ascii="Cambria" w:hAnsi="Cambria" w:cs="Cambria"/>
          <w:sz w:val="24"/>
          <w:szCs w:val="24"/>
          <w:lang w:val="en-US"/>
        </w:rPr>
        <w:t xml:space="preserve">nation regarding level of mitigation efforts. </w:t>
      </w:r>
      <w:proofErr w:type="spellStart"/>
      <w:r>
        <w:rPr>
          <w:rFonts w:ascii="Cambria" w:hAnsi="Cambria" w:cs="Cambria"/>
          <w:sz w:val="24"/>
          <w:szCs w:val="24"/>
        </w:rPr>
        <w:t>Examples</w:t>
      </w:r>
      <w:proofErr w:type="spellEnd"/>
      <w:r>
        <w:rPr>
          <w:rFonts w:ascii="Cambria" w:hAnsi="Cambria" w:cs="Cambria"/>
          <w:sz w:val="24"/>
          <w:szCs w:val="24"/>
        </w:rPr>
        <w:t xml:space="preserve"> </w:t>
      </w:r>
      <w:proofErr w:type="spellStart"/>
      <w:r>
        <w:rPr>
          <w:rFonts w:ascii="Cambria" w:hAnsi="Cambria" w:cs="Cambria"/>
          <w:sz w:val="24"/>
          <w:szCs w:val="24"/>
        </w:rPr>
        <w:t>include</w:t>
      </w:r>
      <w:proofErr w:type="spellEnd"/>
      <w:r>
        <w:rPr>
          <w:rFonts w:ascii="Cambria" w:hAnsi="Cambria" w:cs="Cambria"/>
          <w:sz w:val="24"/>
          <w:szCs w:val="24"/>
        </w:rPr>
        <w:t xml:space="preserve">: </w:t>
      </w:r>
    </w:p>
    <w:p w:rsidR="00000000" w:rsidRDefault="00F30AC0">
      <w:pPr>
        <w:pStyle w:val="Fuentedeprrafopredeter"/>
        <w:widowControl w:val="0"/>
        <w:autoSpaceDE w:val="0"/>
        <w:autoSpaceDN w:val="0"/>
        <w:adjustRightInd w:val="0"/>
        <w:spacing w:after="0" w:line="1" w:lineRule="exact"/>
        <w:rPr>
          <w:rFonts w:ascii="Cambria" w:hAnsi="Cambria" w:cs="Cambria"/>
          <w:sz w:val="24"/>
          <w:szCs w:val="24"/>
        </w:rPr>
      </w:pPr>
    </w:p>
    <w:p w:rsidR="00000000" w:rsidRPr="00CA070D" w:rsidRDefault="00F30AC0">
      <w:pPr>
        <w:pStyle w:val="Fuentedeprrafopredeter"/>
        <w:widowControl w:val="0"/>
        <w:overflowPunct w:val="0"/>
        <w:autoSpaceDE w:val="0"/>
        <w:autoSpaceDN w:val="0"/>
        <w:adjustRightInd w:val="0"/>
        <w:spacing w:after="0" w:line="240" w:lineRule="auto"/>
        <w:ind w:left="720"/>
        <w:jc w:val="both"/>
        <w:rPr>
          <w:rFonts w:ascii="Cambria" w:hAnsi="Cambria" w:cs="Cambria"/>
          <w:sz w:val="24"/>
          <w:szCs w:val="24"/>
          <w:lang w:val="en-US"/>
        </w:rPr>
      </w:pPr>
      <w:r>
        <w:rPr>
          <w:rFonts w:ascii="Symbol" w:hAnsi="Symbol" w:cs="Symbol"/>
          <w:sz w:val="24"/>
          <w:szCs w:val="24"/>
        </w:rPr>
        <w:t></w:t>
      </w:r>
      <w:r w:rsidRPr="00CA070D">
        <w:rPr>
          <w:rFonts w:ascii="Cambria" w:hAnsi="Cambria" w:cs="Cambria"/>
          <w:sz w:val="24"/>
          <w:szCs w:val="24"/>
          <w:lang w:val="en-US"/>
        </w:rPr>
        <w:t xml:space="preserve">  Accepting the risk and monitor </w:t>
      </w:r>
      <w:proofErr w:type="spellStart"/>
      <w:r w:rsidRPr="00CA070D">
        <w:rPr>
          <w:rFonts w:ascii="Cambria" w:hAnsi="Cambria" w:cs="Cambria"/>
          <w:sz w:val="24"/>
          <w:szCs w:val="24"/>
          <w:lang w:val="en-US"/>
        </w:rPr>
        <w:t>it’s</w:t>
      </w:r>
      <w:proofErr w:type="spellEnd"/>
      <w:r w:rsidRPr="00CA070D">
        <w:rPr>
          <w:rFonts w:ascii="Cambria" w:hAnsi="Cambria" w:cs="Cambria"/>
          <w:sz w:val="24"/>
          <w:szCs w:val="24"/>
          <w:lang w:val="en-US"/>
        </w:rPr>
        <w:t xml:space="preserve"> impact level </w:t>
      </w:r>
    </w:p>
    <w:p w:rsidR="00000000" w:rsidRPr="00CA070D" w:rsidRDefault="00F30AC0">
      <w:pPr>
        <w:widowControl w:val="0"/>
        <w:autoSpaceDE w:val="0"/>
        <w:autoSpaceDN w:val="0"/>
        <w:adjustRightInd w:val="0"/>
        <w:spacing w:after="0" w:line="240" w:lineRule="auto"/>
        <w:rPr>
          <w:rFonts w:ascii="Times New Roman" w:hAnsi="Times New Roman" w:cs="Times New Roman"/>
          <w:sz w:val="24"/>
          <w:szCs w:val="24"/>
          <w:lang w:val="en-US"/>
        </w:rPr>
        <w:sectPr w:rsidR="00000000" w:rsidRPr="00CA070D">
          <w:pgSz w:w="12240" w:h="15840"/>
          <w:pgMar w:top="1440" w:right="1840" w:bottom="1440" w:left="1800" w:header="720" w:footer="720" w:gutter="0"/>
          <w:cols w:space="720" w:equalWidth="0">
            <w:col w:w="8600"/>
          </w:cols>
          <w:noEndnote/>
        </w:sectPr>
      </w:pPr>
    </w:p>
    <w:p w:rsidR="00000000" w:rsidRPr="00CA070D" w:rsidRDefault="00642583">
      <w:pPr>
        <w:pStyle w:val="Fuentedeprrafopredeter"/>
        <w:widowControl w:val="0"/>
        <w:numPr>
          <w:ilvl w:val="0"/>
          <w:numId w:val="2"/>
        </w:numPr>
        <w:tabs>
          <w:tab w:val="clear" w:pos="720"/>
          <w:tab w:val="num" w:pos="1080"/>
        </w:tabs>
        <w:overflowPunct w:val="0"/>
        <w:autoSpaceDE w:val="0"/>
        <w:autoSpaceDN w:val="0"/>
        <w:adjustRightInd w:val="0"/>
        <w:spacing w:after="0" w:line="456" w:lineRule="auto"/>
        <w:ind w:left="1080" w:right="20"/>
        <w:jc w:val="both"/>
        <w:rPr>
          <w:rFonts w:ascii="Symbol" w:hAnsi="Symbol" w:cs="Symbol"/>
          <w:sz w:val="24"/>
          <w:szCs w:val="24"/>
          <w:lang w:val="en-US"/>
        </w:rPr>
      </w:pPr>
      <w:bookmarkStart w:id="1" w:name="page2"/>
      <w:bookmarkEnd w:id="1"/>
      <w:r>
        <w:rPr>
          <w:noProof/>
        </w:rPr>
        <w:lastRenderedPageBreak/>
        <w:drawing>
          <wp:anchor distT="0" distB="0" distL="114300" distR="114300" simplePos="0" relativeHeight="251659264" behindDoc="1" locked="0" layoutInCell="0" allowOverlap="1">
            <wp:simplePos x="0" y="0"/>
            <wp:positionH relativeFrom="page">
              <wp:posOffset>6861175</wp:posOffset>
            </wp:positionH>
            <wp:positionV relativeFrom="page">
              <wp:posOffset>152400</wp:posOffset>
            </wp:positionV>
            <wp:extent cx="758825" cy="678815"/>
            <wp:effectExtent l="0" t="0" r="317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8825" cy="678815"/>
                    </a:xfrm>
                    <a:prstGeom prst="rect">
                      <a:avLst/>
                    </a:prstGeom>
                    <a:noFill/>
                  </pic:spPr>
                </pic:pic>
              </a:graphicData>
            </a:graphic>
            <wp14:sizeRelH relativeFrom="page">
              <wp14:pctWidth>0</wp14:pctWidth>
            </wp14:sizeRelH>
            <wp14:sizeRelV relativeFrom="page">
              <wp14:pctHeight>0</wp14:pctHeight>
            </wp14:sizeRelV>
          </wp:anchor>
        </w:drawing>
      </w:r>
      <w:r w:rsidR="00F30AC0" w:rsidRPr="00CA070D">
        <w:rPr>
          <w:rFonts w:ascii="Cambria" w:hAnsi="Cambria" w:cs="Cambria"/>
          <w:sz w:val="24"/>
          <w:szCs w:val="24"/>
          <w:lang w:val="en-US"/>
        </w:rPr>
        <w:t xml:space="preserve">Avoiding the risk by eliminating or altering the circumstances causing the risk </w:t>
      </w:r>
    </w:p>
    <w:p w:rsidR="00000000" w:rsidRPr="00CA070D" w:rsidRDefault="00F30AC0">
      <w:pPr>
        <w:pStyle w:val="Fuentedeprrafopredeter"/>
        <w:widowControl w:val="0"/>
        <w:autoSpaceDE w:val="0"/>
        <w:autoSpaceDN w:val="0"/>
        <w:adjustRightInd w:val="0"/>
        <w:spacing w:after="0" w:line="1" w:lineRule="exact"/>
        <w:rPr>
          <w:rFonts w:ascii="Symbol" w:hAnsi="Symbol" w:cs="Symbol"/>
          <w:sz w:val="24"/>
          <w:szCs w:val="24"/>
          <w:lang w:val="en-US"/>
        </w:rPr>
      </w:pPr>
    </w:p>
    <w:p w:rsidR="00000000" w:rsidRPr="00CA070D" w:rsidRDefault="00F30AC0">
      <w:pPr>
        <w:pStyle w:val="Fuentedeprrafopredeter"/>
        <w:widowControl w:val="0"/>
        <w:numPr>
          <w:ilvl w:val="0"/>
          <w:numId w:val="2"/>
        </w:numPr>
        <w:tabs>
          <w:tab w:val="clear" w:pos="720"/>
          <w:tab w:val="num" w:pos="1080"/>
        </w:tabs>
        <w:overflowPunct w:val="0"/>
        <w:autoSpaceDE w:val="0"/>
        <w:autoSpaceDN w:val="0"/>
        <w:adjustRightInd w:val="0"/>
        <w:spacing w:after="0" w:line="240" w:lineRule="auto"/>
        <w:ind w:left="1080" w:right="60"/>
        <w:jc w:val="both"/>
        <w:rPr>
          <w:rFonts w:ascii="Symbol" w:hAnsi="Symbol" w:cs="Symbol"/>
          <w:sz w:val="24"/>
          <w:szCs w:val="24"/>
          <w:lang w:val="en-US"/>
        </w:rPr>
      </w:pPr>
      <w:r w:rsidRPr="00CA070D">
        <w:rPr>
          <w:rFonts w:ascii="Cambria" w:hAnsi="Cambria" w:cs="Cambria"/>
          <w:sz w:val="24"/>
          <w:szCs w:val="24"/>
          <w:lang w:val="en-US"/>
        </w:rPr>
        <w:t xml:space="preserve">Reducing/mitigating the risk and its impact by putting proper controls in place. </w:t>
      </w:r>
    </w:p>
    <w:p w:rsidR="00000000" w:rsidRPr="00CA070D" w:rsidRDefault="00F30AC0">
      <w:pPr>
        <w:pStyle w:val="Fuentedeprrafopredeter"/>
        <w:widowControl w:val="0"/>
        <w:numPr>
          <w:ilvl w:val="0"/>
          <w:numId w:val="2"/>
        </w:numPr>
        <w:tabs>
          <w:tab w:val="clear" w:pos="720"/>
          <w:tab w:val="num" w:pos="1080"/>
        </w:tabs>
        <w:overflowPunct w:val="0"/>
        <w:autoSpaceDE w:val="0"/>
        <w:autoSpaceDN w:val="0"/>
        <w:adjustRightInd w:val="0"/>
        <w:spacing w:after="0" w:line="314" w:lineRule="auto"/>
        <w:ind w:left="1080" w:right="20"/>
        <w:rPr>
          <w:rFonts w:ascii="Symbol" w:hAnsi="Symbol" w:cs="Symbol"/>
          <w:sz w:val="24"/>
          <w:szCs w:val="24"/>
          <w:lang w:val="en-US"/>
        </w:rPr>
      </w:pPr>
      <w:r w:rsidRPr="00CA070D">
        <w:rPr>
          <w:rFonts w:ascii="Cambria" w:hAnsi="Cambria" w:cs="Cambria"/>
          <w:sz w:val="24"/>
          <w:szCs w:val="24"/>
          <w:lang w:val="en-US"/>
        </w:rPr>
        <w:t>Sharing responsibility for risk mitigation with other parties, in order to minimize the risk impact, such as purchasing insurance to cover potential financial losses assoc</w:t>
      </w:r>
      <w:r w:rsidRPr="00CA070D">
        <w:rPr>
          <w:rFonts w:ascii="Cambria" w:hAnsi="Cambria" w:cs="Cambria"/>
          <w:sz w:val="24"/>
          <w:szCs w:val="24"/>
          <w:lang w:val="en-US"/>
        </w:rPr>
        <w:t xml:space="preserve">iated with a risk. </w:t>
      </w:r>
    </w:p>
    <w:p w:rsidR="00000000" w:rsidRPr="00CA070D" w:rsidRDefault="00F30AC0">
      <w:pPr>
        <w:pStyle w:val="Fuentedeprrafopredeter"/>
        <w:widowControl w:val="0"/>
        <w:autoSpaceDE w:val="0"/>
        <w:autoSpaceDN w:val="0"/>
        <w:adjustRightInd w:val="0"/>
        <w:spacing w:after="0" w:line="2"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320" w:lineRule="auto"/>
        <w:ind w:right="340"/>
        <w:rPr>
          <w:rFonts w:ascii="Times New Roman" w:hAnsi="Times New Roman" w:cs="Times New Roman"/>
          <w:sz w:val="24"/>
          <w:szCs w:val="24"/>
          <w:lang w:val="en-US"/>
        </w:rPr>
      </w:pPr>
      <w:r w:rsidRPr="00CA070D">
        <w:rPr>
          <w:rFonts w:ascii="Cambria" w:hAnsi="Cambria" w:cs="Cambria"/>
          <w:sz w:val="24"/>
          <w:szCs w:val="24"/>
          <w:lang w:val="en-US"/>
        </w:rPr>
        <w:t xml:space="preserve">To explain the process and an example of one such risk assessment conducted by ICANN, you can find the details at the link below: </w:t>
      </w:r>
      <w:r w:rsidRPr="00CA070D">
        <w:rPr>
          <w:rFonts w:ascii="Cambria" w:hAnsi="Cambria" w:cs="Cambria"/>
          <w:color w:val="0000FF"/>
          <w:sz w:val="24"/>
          <w:szCs w:val="24"/>
          <w:u w:val="single"/>
          <w:lang w:val="en-US"/>
        </w:rPr>
        <w:t>https://www.icann.org/news/announcement-2014-05-28-en</w:t>
      </w:r>
    </w:p>
    <w:p w:rsidR="00000000" w:rsidRPr="00CA070D" w:rsidRDefault="00F30AC0">
      <w:pPr>
        <w:pStyle w:val="Fuentedeprrafopredeter"/>
        <w:widowControl w:val="0"/>
        <w:autoSpaceDE w:val="0"/>
        <w:autoSpaceDN w:val="0"/>
        <w:adjustRightInd w:val="0"/>
        <w:spacing w:after="0" w:line="239" w:lineRule="auto"/>
        <w:rPr>
          <w:rFonts w:ascii="Times New Roman" w:hAnsi="Times New Roman" w:cs="Times New Roman"/>
          <w:sz w:val="24"/>
          <w:szCs w:val="24"/>
          <w:lang w:val="en-US"/>
        </w:rPr>
      </w:pPr>
      <w:r w:rsidRPr="00CA070D">
        <w:rPr>
          <w:rFonts w:ascii="Cambria" w:hAnsi="Cambria" w:cs="Cambria"/>
          <w:b/>
          <w:bCs/>
          <w:sz w:val="24"/>
          <w:szCs w:val="24"/>
          <w:lang w:val="en-US"/>
        </w:rPr>
        <w:t>ICANN Enterprise-Wide Risks:</w:t>
      </w:r>
    </w:p>
    <w:p w:rsidR="00000000" w:rsidRPr="00CA070D" w:rsidRDefault="00F30AC0">
      <w:pPr>
        <w:pStyle w:val="Fuentedeprrafopredeter"/>
        <w:widowControl w:val="0"/>
        <w:autoSpaceDE w:val="0"/>
        <w:autoSpaceDN w:val="0"/>
        <w:adjustRightInd w:val="0"/>
        <w:spacing w:after="0" w:line="1" w:lineRule="exact"/>
        <w:rPr>
          <w:rFonts w:ascii="Times New Roman" w:hAnsi="Times New Roman" w:cs="Times New Roman"/>
          <w:sz w:val="24"/>
          <w:szCs w:val="24"/>
          <w:lang w:val="en-US"/>
        </w:rPr>
      </w:pPr>
    </w:p>
    <w:p w:rsidR="00000000" w:rsidRDefault="00F30AC0">
      <w:pPr>
        <w:pStyle w:val="Fuentedeprrafopredeter"/>
        <w:widowControl w:val="0"/>
        <w:overflowPunct w:val="0"/>
        <w:autoSpaceDE w:val="0"/>
        <w:autoSpaceDN w:val="0"/>
        <w:adjustRightInd w:val="0"/>
        <w:spacing w:after="0" w:line="285" w:lineRule="auto"/>
        <w:ind w:right="140"/>
        <w:rPr>
          <w:rFonts w:ascii="Cambria" w:hAnsi="Cambria" w:cs="Cambria"/>
          <w:sz w:val="24"/>
          <w:szCs w:val="24"/>
        </w:rPr>
      </w:pPr>
      <w:r w:rsidRPr="00CA070D">
        <w:rPr>
          <w:rFonts w:ascii="Cambria" w:hAnsi="Cambria" w:cs="Cambria"/>
          <w:sz w:val="24"/>
          <w:szCs w:val="24"/>
          <w:lang w:val="en-US"/>
        </w:rPr>
        <w:t>ICANN has identified the following enterprise-wide risks via the processes mentioned above. It is anticipated that the list below will evolve over time, as other risks may be identified and/or created as a result of various activities, such as new policy i</w:t>
      </w:r>
      <w:r w:rsidRPr="00CA070D">
        <w:rPr>
          <w:rFonts w:ascii="Cambria" w:hAnsi="Cambria" w:cs="Cambria"/>
          <w:sz w:val="24"/>
          <w:szCs w:val="24"/>
          <w:lang w:val="en-US"/>
        </w:rPr>
        <w:t xml:space="preserve">mplementation, new projects or programs undertaken, etc. Below is a list of enterprise-wide risks that ICANN is currently managing. </w:t>
      </w:r>
      <w:r>
        <w:rPr>
          <w:rFonts w:ascii="Cambria" w:hAnsi="Cambria" w:cs="Cambria"/>
          <w:sz w:val="24"/>
          <w:szCs w:val="24"/>
        </w:rPr>
        <w:t xml:space="preserve">Note </w:t>
      </w:r>
      <w:proofErr w:type="spellStart"/>
      <w:r>
        <w:rPr>
          <w:rFonts w:ascii="Cambria" w:hAnsi="Cambria" w:cs="Cambria"/>
          <w:sz w:val="24"/>
          <w:szCs w:val="24"/>
        </w:rPr>
        <w:t>that</w:t>
      </w:r>
      <w:proofErr w:type="spellEnd"/>
      <w:r>
        <w:rPr>
          <w:rFonts w:ascii="Cambria" w:hAnsi="Cambria" w:cs="Cambria"/>
          <w:sz w:val="24"/>
          <w:szCs w:val="24"/>
        </w:rPr>
        <w:t xml:space="preserve"> </w:t>
      </w:r>
      <w:proofErr w:type="spellStart"/>
      <w:r>
        <w:rPr>
          <w:rFonts w:ascii="Cambria" w:hAnsi="Cambria" w:cs="Cambria"/>
          <w:sz w:val="24"/>
          <w:szCs w:val="24"/>
        </w:rPr>
        <w:t>this</w:t>
      </w:r>
      <w:proofErr w:type="spellEnd"/>
      <w:r>
        <w:rPr>
          <w:rFonts w:ascii="Cambria" w:hAnsi="Cambria" w:cs="Cambria"/>
          <w:sz w:val="24"/>
          <w:szCs w:val="24"/>
        </w:rPr>
        <w:t xml:space="preserve"> </w:t>
      </w:r>
      <w:proofErr w:type="spellStart"/>
      <w:r>
        <w:rPr>
          <w:rFonts w:ascii="Cambria" w:hAnsi="Cambria" w:cs="Cambria"/>
          <w:sz w:val="24"/>
          <w:szCs w:val="24"/>
        </w:rPr>
        <w:t>list</w:t>
      </w:r>
      <w:proofErr w:type="spellEnd"/>
      <w:r>
        <w:rPr>
          <w:rFonts w:ascii="Cambria" w:hAnsi="Cambria" w:cs="Cambria"/>
          <w:sz w:val="24"/>
          <w:szCs w:val="24"/>
        </w:rPr>
        <w:t xml:space="preserve"> </w:t>
      </w:r>
      <w:proofErr w:type="spellStart"/>
      <w:r>
        <w:rPr>
          <w:rFonts w:ascii="Cambria" w:hAnsi="Cambria" w:cs="Cambria"/>
          <w:sz w:val="24"/>
          <w:szCs w:val="24"/>
        </w:rPr>
        <w:t>is</w:t>
      </w:r>
      <w:proofErr w:type="spellEnd"/>
      <w:r>
        <w:rPr>
          <w:rFonts w:ascii="Cambria" w:hAnsi="Cambria" w:cs="Cambria"/>
          <w:sz w:val="24"/>
          <w:szCs w:val="24"/>
        </w:rPr>
        <w:t xml:space="preserve"> in no particular </w:t>
      </w:r>
      <w:proofErr w:type="spellStart"/>
      <w:r>
        <w:rPr>
          <w:rFonts w:ascii="Cambria" w:hAnsi="Cambria" w:cs="Cambria"/>
          <w:sz w:val="24"/>
          <w:szCs w:val="24"/>
        </w:rPr>
        <w:t>order</w:t>
      </w:r>
      <w:proofErr w:type="spellEnd"/>
      <w:r>
        <w:rPr>
          <w:rFonts w:ascii="Cambria" w:hAnsi="Cambria" w:cs="Cambria"/>
          <w:sz w:val="24"/>
          <w:szCs w:val="24"/>
        </w:rPr>
        <w:t>.</w:t>
      </w:r>
    </w:p>
    <w:p w:rsidR="00CA070D" w:rsidRDefault="00CA070D">
      <w:pPr>
        <w:pStyle w:val="Fuentedeprrafopredeter"/>
        <w:widowControl w:val="0"/>
        <w:overflowPunct w:val="0"/>
        <w:autoSpaceDE w:val="0"/>
        <w:autoSpaceDN w:val="0"/>
        <w:adjustRightInd w:val="0"/>
        <w:spacing w:after="0" w:line="285" w:lineRule="auto"/>
        <w:ind w:right="140"/>
        <w:rPr>
          <w:rFonts w:ascii="Times New Roman" w:hAnsi="Times New Roman" w:cs="Times New Roman"/>
          <w:sz w:val="24"/>
          <w:szCs w:val="24"/>
        </w:rPr>
      </w:pPr>
    </w:p>
    <w:p w:rsidR="00000000" w:rsidRDefault="00F30AC0">
      <w:pPr>
        <w:pStyle w:val="Fuentedeprrafopredeter"/>
        <w:widowControl w:val="0"/>
        <w:autoSpaceDE w:val="0"/>
        <w:autoSpaceDN w:val="0"/>
        <w:adjustRightInd w:val="0"/>
        <w:spacing w:after="0" w:line="7" w:lineRule="exact"/>
        <w:rPr>
          <w:rFonts w:ascii="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5670"/>
      </w:tblGrid>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1"/>
                <w:szCs w:val="21"/>
                <w:lang w:val="en-US"/>
              </w:rPr>
            </w:pPr>
            <w:r w:rsidRPr="00AD31EB">
              <w:rPr>
                <w:rFonts w:ascii="Arial" w:hAnsi="Arial" w:cs="Arial"/>
                <w:sz w:val="21"/>
                <w:szCs w:val="21"/>
                <w:lang w:val="en-US"/>
              </w:rPr>
              <w:t xml:space="preserve">Failure to adequately maintain and adhere to existing accountability mechanisms.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8" w:lineRule="exact"/>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lang w:val="en-US"/>
              </w:rPr>
            </w:pPr>
            <w:r w:rsidRPr="00AD31EB">
              <w:rPr>
                <w:rFonts w:ascii="Arial" w:hAnsi="Arial" w:cs="Arial"/>
                <w:lang w:val="en-US"/>
              </w:rPr>
              <w:t xml:space="preserve">Failure to demonstrate sufficient accountability and transparency of organization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lang w:val="en-US"/>
              </w:rPr>
            </w:pP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3" w:lineRule="exact"/>
              <w:rPr>
                <w:rFonts w:ascii="Symbol" w:hAnsi="Symbol" w:cs="Symbol"/>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9" w:lineRule="auto"/>
              <w:jc w:val="both"/>
              <w:rPr>
                <w:rFonts w:ascii="Symbol" w:hAnsi="Symbol" w:cs="Symbol"/>
                <w:sz w:val="24"/>
                <w:szCs w:val="24"/>
              </w:rPr>
            </w:pPr>
            <w:proofErr w:type="spellStart"/>
            <w:r w:rsidRPr="00AD31EB">
              <w:rPr>
                <w:rFonts w:ascii="Arial" w:hAnsi="Arial" w:cs="Arial"/>
                <w:sz w:val="24"/>
                <w:szCs w:val="24"/>
              </w:rPr>
              <w:t>Lower</w:t>
            </w:r>
            <w:proofErr w:type="spellEnd"/>
            <w:r w:rsidRPr="00AD31EB">
              <w:rPr>
                <w:rFonts w:ascii="Arial" w:hAnsi="Arial" w:cs="Arial"/>
                <w:sz w:val="24"/>
                <w:szCs w:val="24"/>
              </w:rPr>
              <w:t xml:space="preserve"> </w:t>
            </w:r>
            <w:proofErr w:type="spellStart"/>
            <w:r w:rsidRPr="00AD31EB">
              <w:rPr>
                <w:rFonts w:ascii="Arial" w:hAnsi="Arial" w:cs="Arial"/>
                <w:sz w:val="24"/>
                <w:szCs w:val="24"/>
              </w:rPr>
              <w:t>revenues</w:t>
            </w:r>
            <w:proofErr w:type="spellEnd"/>
            <w:r w:rsidRPr="00AD31EB">
              <w:rPr>
                <w:rFonts w:ascii="Arial" w:hAnsi="Arial" w:cs="Arial"/>
                <w:sz w:val="24"/>
                <w:szCs w:val="24"/>
              </w:rPr>
              <w:t xml:space="preserve"> </w:t>
            </w:r>
            <w:proofErr w:type="spellStart"/>
            <w:r w:rsidRPr="00AD31EB">
              <w:rPr>
                <w:rFonts w:ascii="Arial" w:hAnsi="Arial" w:cs="Arial"/>
                <w:sz w:val="24"/>
                <w:szCs w:val="24"/>
              </w:rPr>
              <w:t>than</w:t>
            </w:r>
            <w:proofErr w:type="spellEnd"/>
            <w:r w:rsidRPr="00AD31EB">
              <w:rPr>
                <w:rFonts w:ascii="Arial" w:hAnsi="Arial" w:cs="Arial"/>
                <w:sz w:val="24"/>
                <w:szCs w:val="24"/>
              </w:rPr>
              <w:t xml:space="preserve"> </w:t>
            </w:r>
            <w:proofErr w:type="spellStart"/>
            <w:r w:rsidRPr="00AD31EB">
              <w:rPr>
                <w:rFonts w:ascii="Arial" w:hAnsi="Arial" w:cs="Arial"/>
                <w:sz w:val="24"/>
                <w:szCs w:val="24"/>
              </w:rPr>
              <w:t>forecasted</w:t>
            </w:r>
            <w:proofErr w:type="spellEnd"/>
            <w:r w:rsidRPr="00AD31EB">
              <w:rPr>
                <w:rFonts w:ascii="Arial" w:hAnsi="Arial" w:cs="Arial"/>
                <w:sz w:val="24"/>
                <w:szCs w:val="24"/>
              </w:rPr>
              <w:t xml:space="preserve">.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9" w:lineRule="auto"/>
              <w:jc w:val="both"/>
              <w:rPr>
                <w:rFonts w:ascii="Symbol" w:hAnsi="Symbol" w:cs="Symbol"/>
                <w:sz w:val="24"/>
                <w:szCs w:val="24"/>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8"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8" w:lineRule="auto"/>
              <w:jc w:val="both"/>
              <w:rPr>
                <w:rFonts w:ascii="Symbol" w:hAnsi="Symbol" w:cs="Symbol"/>
                <w:sz w:val="24"/>
                <w:szCs w:val="24"/>
                <w:lang w:val="en-US"/>
              </w:rPr>
            </w:pPr>
            <w:r w:rsidRPr="00AD31EB">
              <w:rPr>
                <w:rFonts w:ascii="Arial" w:hAnsi="Arial" w:cs="Arial"/>
                <w:sz w:val="24"/>
                <w:szCs w:val="24"/>
                <w:lang w:val="en-US"/>
              </w:rPr>
              <w:t xml:space="preserve">Adverse legal or other dispute resolution ruling, including possible related penalties, fees and costs.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Failure to sufficiently manage and enforce the hundreds of contracts with TLD operators.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72" w:lineRule="auto"/>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72" w:lineRule="auto"/>
              <w:jc w:val="both"/>
              <w:rPr>
                <w:rFonts w:ascii="Symbol" w:hAnsi="Symbol" w:cs="Symbol"/>
                <w:sz w:val="21"/>
                <w:szCs w:val="21"/>
                <w:lang w:val="en-US"/>
              </w:rPr>
            </w:pPr>
            <w:r w:rsidRPr="00AD31EB">
              <w:rPr>
                <w:rFonts w:ascii="Arial" w:hAnsi="Arial" w:cs="Arial"/>
                <w:sz w:val="21"/>
                <w:szCs w:val="21"/>
                <w:lang w:val="en-US"/>
              </w:rPr>
              <w:t xml:space="preserve">Unsuccessful delivery of a stakeholder proposal and other relevant deliverables for a successful NTIA stewardship transition of the IANA Functions.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72" w:lineRule="auto"/>
              <w:jc w:val="both"/>
              <w:rPr>
                <w:rFonts w:ascii="Symbol" w:hAnsi="Symbol" w:cs="Symbol"/>
                <w:sz w:val="21"/>
                <w:szCs w:val="21"/>
                <w:lang w:val="en-US"/>
              </w:rPr>
            </w:pPr>
          </w:p>
        </w:tc>
        <w:bookmarkStart w:id="2" w:name="_GoBack"/>
        <w:bookmarkEnd w:id="2"/>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47" w:lineRule="auto"/>
              <w:jc w:val="both"/>
              <w:rPr>
                <w:rFonts w:ascii="Symbol" w:hAnsi="Symbol" w:cs="Symbol"/>
                <w:sz w:val="24"/>
                <w:szCs w:val="24"/>
                <w:lang w:val="en-US"/>
              </w:rPr>
            </w:pPr>
            <w:r w:rsidRPr="00AD31EB">
              <w:rPr>
                <w:rFonts w:ascii="Arial" w:hAnsi="Arial" w:cs="Arial"/>
                <w:sz w:val="24"/>
                <w:szCs w:val="24"/>
                <w:lang w:val="en-US"/>
              </w:rPr>
              <w:lastRenderedPageBreak/>
              <w:t>Significant financial loss, other than lower-than-anticipated revenues (e.g., fraud, investment loss, etc.)</w:t>
            </w:r>
            <w:r w:rsidRPr="00AD31EB">
              <w:rPr>
                <w:rFonts w:ascii="Cambria" w:hAnsi="Cambria" w:cs="Cambria"/>
                <w:sz w:val="24"/>
                <w:szCs w:val="24"/>
                <w:lang w:val="en-US"/>
              </w:rPr>
              <w:t>.</w:t>
            </w:r>
            <w:r w:rsidRPr="00AD31EB">
              <w:rPr>
                <w:rFonts w:ascii="Arial" w:hAnsi="Arial" w:cs="Arial"/>
                <w:sz w:val="24"/>
                <w:szCs w:val="24"/>
                <w:lang w:val="en-US"/>
              </w:rPr>
              <w:t xml:space="preserve">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47"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41" w:lineRule="auto"/>
              <w:jc w:val="both"/>
              <w:rPr>
                <w:rFonts w:ascii="Symbol" w:hAnsi="Symbol" w:cs="Symbol"/>
                <w:sz w:val="23"/>
                <w:szCs w:val="23"/>
                <w:lang w:val="en-US"/>
              </w:rPr>
            </w:pPr>
            <w:r w:rsidRPr="00AD31EB">
              <w:rPr>
                <w:rFonts w:ascii="Arial" w:hAnsi="Arial" w:cs="Arial"/>
                <w:sz w:val="23"/>
                <w:szCs w:val="23"/>
                <w:lang w:val="en-US"/>
              </w:rPr>
              <w:t xml:space="preserve">Potential issues for </w:t>
            </w:r>
            <w:proofErr w:type="gramStart"/>
            <w:r w:rsidRPr="00AD31EB">
              <w:rPr>
                <w:rFonts w:ascii="Arial" w:hAnsi="Arial" w:cs="Arial"/>
                <w:sz w:val="23"/>
                <w:szCs w:val="23"/>
                <w:lang w:val="en-US"/>
              </w:rPr>
              <w:t>New</w:t>
            </w:r>
            <w:proofErr w:type="gramEnd"/>
            <w:r w:rsidRPr="00AD31EB">
              <w:rPr>
                <w:rFonts w:ascii="Arial" w:hAnsi="Arial" w:cs="Arial"/>
                <w:sz w:val="23"/>
                <w:szCs w:val="23"/>
                <w:lang w:val="en-US"/>
              </w:rPr>
              <w:t xml:space="preserve"> </w:t>
            </w:r>
            <w:proofErr w:type="spellStart"/>
            <w:r w:rsidRPr="00AD31EB">
              <w:rPr>
                <w:rFonts w:ascii="Arial" w:hAnsi="Arial" w:cs="Arial"/>
                <w:sz w:val="23"/>
                <w:szCs w:val="23"/>
                <w:lang w:val="en-US"/>
              </w:rPr>
              <w:t>gTLD</w:t>
            </w:r>
            <w:proofErr w:type="spellEnd"/>
            <w:r w:rsidRPr="00AD31EB">
              <w:rPr>
                <w:rFonts w:ascii="Arial" w:hAnsi="Arial" w:cs="Arial"/>
                <w:sz w:val="23"/>
                <w:szCs w:val="23"/>
                <w:lang w:val="en-US"/>
              </w:rPr>
              <w:t xml:space="preserve"> Program related to accountability mechanisms due to possible adverse decision or failure of mechanism/process.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41" w:lineRule="auto"/>
              <w:jc w:val="both"/>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Unfunded operational costs or unplanned expenses.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3"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8"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8" w:lineRule="auto"/>
              <w:jc w:val="both"/>
              <w:rPr>
                <w:rFonts w:ascii="Symbol" w:hAnsi="Symbol" w:cs="Symbol"/>
                <w:sz w:val="24"/>
                <w:szCs w:val="24"/>
                <w:lang w:val="en-US"/>
              </w:rPr>
            </w:pPr>
            <w:r w:rsidRPr="00AD31EB">
              <w:rPr>
                <w:rFonts w:ascii="Arial" w:hAnsi="Arial" w:cs="Arial"/>
                <w:sz w:val="24"/>
                <w:szCs w:val="24"/>
                <w:lang w:val="en-US"/>
              </w:rPr>
              <w:t xml:space="preserve">Potential perception that not all conflicts of interests are identified during decision-making process.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Possible perception that ICANN has poor global engagement, transparency, policy, coordination and communication.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60" w:lineRule="auto"/>
              <w:jc w:val="both"/>
              <w:rPr>
                <w:rFonts w:ascii="Symbol" w:hAnsi="Symbol" w:cs="Symbol"/>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60" w:lineRule="auto"/>
              <w:jc w:val="both"/>
              <w:rPr>
                <w:rFonts w:ascii="Symbol" w:hAnsi="Symbol" w:cs="Symbol"/>
                <w:lang w:val="en-US"/>
              </w:rPr>
            </w:pPr>
            <w:r w:rsidRPr="00AD31EB">
              <w:rPr>
                <w:rFonts w:ascii="Arial" w:hAnsi="Arial" w:cs="Arial"/>
                <w:lang w:val="en-US"/>
              </w:rPr>
              <w:t xml:space="preserve">Significant increase in legal or other dispute resolution filings that could challenge staff </w:t>
            </w:r>
            <w:proofErr w:type="gramStart"/>
            <w:r w:rsidRPr="00AD31EB">
              <w:rPr>
                <w:rFonts w:ascii="Arial" w:hAnsi="Arial" w:cs="Arial"/>
                <w:lang w:val="en-US"/>
              </w:rPr>
              <w:t>capacity,</w:t>
            </w:r>
            <w:proofErr w:type="gramEnd"/>
            <w:r w:rsidRPr="00AD31EB">
              <w:rPr>
                <w:rFonts w:ascii="Arial" w:hAnsi="Arial" w:cs="Arial"/>
                <w:lang w:val="en-US"/>
              </w:rPr>
              <w:t xml:space="preserve"> distract leadership and disrupt operations. </w:t>
            </w: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50" w:lineRule="auto"/>
              <w:jc w:val="both"/>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50" w:lineRule="auto"/>
              <w:jc w:val="both"/>
              <w:rPr>
                <w:rFonts w:ascii="Symbol" w:hAnsi="Symbol" w:cs="Symbol"/>
                <w:sz w:val="23"/>
                <w:szCs w:val="23"/>
                <w:lang w:val="en-US"/>
              </w:rPr>
            </w:pPr>
            <w:r w:rsidRPr="00AD31EB">
              <w:rPr>
                <w:rFonts w:ascii="Arial" w:hAnsi="Arial" w:cs="Arial"/>
                <w:sz w:val="23"/>
                <w:szCs w:val="23"/>
                <w:lang w:val="en-US"/>
              </w:rPr>
              <w:t xml:space="preserve">Policy development process is too slow or ineffective, participants decrease or stagnate, or failure to bring new stakeholders into the model.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 w:lineRule="exact"/>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3"/>
              </w:numPr>
              <w:overflowPunct w:val="0"/>
              <w:autoSpaceDE w:val="0"/>
              <w:autoSpaceDN w:val="0"/>
              <w:adjustRightInd w:val="0"/>
              <w:spacing w:line="238"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6" w:lineRule="auto"/>
              <w:jc w:val="both"/>
              <w:rPr>
                <w:rFonts w:ascii="Symbol" w:hAnsi="Symbol" w:cs="Symbol"/>
                <w:sz w:val="24"/>
                <w:szCs w:val="24"/>
                <w:lang w:val="en-US"/>
              </w:rPr>
            </w:pPr>
            <w:r w:rsidRPr="00AD31EB">
              <w:rPr>
                <w:rFonts w:ascii="Arial" w:hAnsi="Arial" w:cs="Arial"/>
                <w:sz w:val="24"/>
                <w:szCs w:val="24"/>
                <w:lang w:val="en-US"/>
              </w:rPr>
              <w:t xml:space="preserve">Potential legal actions from parties that believe that they have been injured resulting from New </w:t>
            </w:r>
            <w:proofErr w:type="spellStart"/>
            <w:r w:rsidRPr="00AD31EB">
              <w:rPr>
                <w:rFonts w:ascii="Arial" w:hAnsi="Arial" w:cs="Arial"/>
                <w:sz w:val="24"/>
                <w:szCs w:val="24"/>
                <w:lang w:val="en-US"/>
              </w:rPr>
              <w:t>gTLD</w:t>
            </w:r>
            <w:proofErr w:type="spellEnd"/>
            <w:r w:rsidRPr="00AD31EB">
              <w:rPr>
                <w:rFonts w:ascii="Arial" w:hAnsi="Arial" w:cs="Arial"/>
                <w:sz w:val="24"/>
                <w:szCs w:val="24"/>
                <w:lang w:val="en-US"/>
              </w:rPr>
              <w:t xml:space="preserve"> Program. </w:t>
            </w:r>
            <w:bookmarkStart w:id="3" w:name="page3"/>
            <w:bookmarkEnd w:id="3"/>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6"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6" w:lineRule="auto"/>
              <w:jc w:val="both"/>
              <w:rPr>
                <w:rFonts w:ascii="Symbol" w:hAnsi="Symbol" w:cs="Symbol"/>
                <w:sz w:val="24"/>
                <w:szCs w:val="24"/>
                <w:lang w:val="en-US"/>
              </w:rPr>
            </w:pPr>
            <w:r w:rsidRPr="00AD31EB">
              <w:rPr>
                <w:noProof/>
              </w:rPr>
              <w:drawing>
                <wp:anchor distT="0" distB="0" distL="114300" distR="114300" simplePos="0" relativeHeight="251663360" behindDoc="1" locked="0" layoutInCell="0" allowOverlap="1" wp14:anchorId="3B674B46" wp14:editId="04BF8680">
                  <wp:simplePos x="0" y="0"/>
                  <wp:positionH relativeFrom="page">
                    <wp:posOffset>6861175</wp:posOffset>
                  </wp:positionH>
                  <wp:positionV relativeFrom="page">
                    <wp:posOffset>152400</wp:posOffset>
                  </wp:positionV>
                  <wp:extent cx="758825" cy="678815"/>
                  <wp:effectExtent l="0" t="0" r="317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8825" cy="678815"/>
                          </a:xfrm>
                          <a:prstGeom prst="rect">
                            <a:avLst/>
                          </a:prstGeom>
                          <a:noFill/>
                        </pic:spPr>
                      </pic:pic>
                    </a:graphicData>
                  </a:graphic>
                  <wp14:sizeRelH relativeFrom="page">
                    <wp14:pctWidth>0</wp14:pctWidth>
                  </wp14:sizeRelH>
                  <wp14:sizeRelV relativeFrom="page">
                    <wp14:pctHeight>0</wp14:pctHeight>
                  </wp14:sizeRelV>
                </wp:anchor>
              </w:drawing>
            </w:r>
            <w:r w:rsidRPr="00AD31EB">
              <w:rPr>
                <w:rFonts w:ascii="Arial" w:hAnsi="Arial" w:cs="Arial"/>
                <w:sz w:val="24"/>
                <w:szCs w:val="24"/>
                <w:lang w:val="en-US"/>
              </w:rPr>
              <w:t xml:space="preserve">Significant revenue reduction (e.g., reduced domain name volume, reduced </w:t>
            </w:r>
            <w:proofErr w:type="spellStart"/>
            <w:r w:rsidRPr="00AD31EB">
              <w:rPr>
                <w:rFonts w:ascii="Arial" w:hAnsi="Arial" w:cs="Arial"/>
                <w:sz w:val="24"/>
                <w:szCs w:val="24"/>
                <w:lang w:val="en-US"/>
              </w:rPr>
              <w:t>ccTLD</w:t>
            </w:r>
            <w:proofErr w:type="spellEnd"/>
            <w:r w:rsidRPr="00AD31EB">
              <w:rPr>
                <w:rFonts w:ascii="Arial" w:hAnsi="Arial" w:cs="Arial"/>
                <w:sz w:val="24"/>
                <w:szCs w:val="24"/>
                <w:lang w:val="en-US"/>
              </w:rPr>
              <w:t xml:space="preserve"> contributions, reduced registrar fees, etc.).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rPr>
                <w:rFonts w:ascii="Symbol" w:hAnsi="Symbol" w:cs="Symbol"/>
                <w:sz w:val="24"/>
                <w:szCs w:val="24"/>
                <w:lang w:val="en-US"/>
              </w:rPr>
            </w:pPr>
            <w:r w:rsidRPr="00AD31EB">
              <w:rPr>
                <w:rFonts w:ascii="Arial" w:hAnsi="Arial" w:cs="Arial"/>
                <w:sz w:val="24"/>
                <w:szCs w:val="24"/>
                <w:lang w:val="en-US"/>
              </w:rPr>
              <w:t xml:space="preserve">Perception of failure to implement and help achieve a global multi-stakeholder distributed IG ecosystem according to the widely accepted Net Mundial Principles.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5" w:lineRule="auto"/>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5" w:lineRule="auto"/>
              <w:rPr>
                <w:rFonts w:ascii="Symbol" w:hAnsi="Symbol" w:cs="Symbol"/>
                <w:sz w:val="24"/>
                <w:szCs w:val="24"/>
                <w:lang w:val="en-US"/>
              </w:rPr>
            </w:pPr>
            <w:r w:rsidRPr="00AD31EB">
              <w:rPr>
                <w:rFonts w:ascii="Arial" w:hAnsi="Arial" w:cs="Arial"/>
                <w:sz w:val="24"/>
                <w:szCs w:val="24"/>
                <w:lang w:val="en-US"/>
              </w:rPr>
              <w:t>Possibility that current supporting organization and advisory committee (SO/AC) structures cannot scale to include and support new global entrants and participants</w:t>
            </w:r>
            <w:r w:rsidRPr="00AD31EB">
              <w:rPr>
                <w:rFonts w:ascii="Cambria" w:hAnsi="Cambria" w:cs="Cambria"/>
                <w:sz w:val="24"/>
                <w:szCs w:val="24"/>
                <w:lang w:val="en-US"/>
              </w:rPr>
              <w:t>.</w:t>
            </w:r>
            <w:r w:rsidRPr="00AD31EB">
              <w:rPr>
                <w:rFonts w:ascii="Arial" w:hAnsi="Arial" w:cs="Arial"/>
                <w:sz w:val="24"/>
                <w:szCs w:val="24"/>
                <w:lang w:val="en-US"/>
              </w:rPr>
              <w:t xml:space="preserve">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1"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1" w:lineRule="auto"/>
              <w:jc w:val="both"/>
              <w:rPr>
                <w:rFonts w:ascii="Symbol" w:hAnsi="Symbol" w:cs="Symbol"/>
                <w:sz w:val="24"/>
                <w:szCs w:val="24"/>
                <w:lang w:val="en-US"/>
              </w:rPr>
            </w:pPr>
            <w:r w:rsidRPr="00AD31EB">
              <w:rPr>
                <w:rFonts w:ascii="Arial" w:hAnsi="Arial" w:cs="Arial"/>
                <w:sz w:val="24"/>
                <w:szCs w:val="24"/>
                <w:lang w:val="en-US"/>
              </w:rPr>
              <w:t xml:space="preserve">Unsuccessful implementation of adopted recommendation resulting from various Affirmation of Commitment reviews. </w:t>
            </w: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Insufficient progress towards major project implementation (e.g., </w:t>
            </w:r>
            <w:proofErr w:type="spellStart"/>
            <w:r w:rsidRPr="00AD31EB">
              <w:rPr>
                <w:rFonts w:ascii="Arial" w:hAnsi="Arial" w:cs="Arial"/>
                <w:sz w:val="24"/>
                <w:szCs w:val="24"/>
                <w:lang w:val="en-US"/>
              </w:rPr>
              <w:t>gTLD</w:t>
            </w:r>
            <w:proofErr w:type="spellEnd"/>
            <w:r w:rsidRPr="00AD31EB">
              <w:rPr>
                <w:rFonts w:ascii="Arial" w:hAnsi="Arial" w:cs="Arial"/>
                <w:sz w:val="24"/>
                <w:szCs w:val="24"/>
                <w:lang w:val="en-US"/>
              </w:rPr>
              <w:t xml:space="preserve">, IDN fast track, DNSSEC, etc.).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8" w:lineRule="auto"/>
              <w:jc w:val="both"/>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48" w:lineRule="auto"/>
              <w:jc w:val="both"/>
              <w:rPr>
                <w:rFonts w:ascii="Symbol" w:hAnsi="Symbol" w:cs="Symbol"/>
                <w:sz w:val="23"/>
                <w:szCs w:val="23"/>
                <w:lang w:val="en-US"/>
              </w:rPr>
            </w:pPr>
            <w:r w:rsidRPr="00AD31EB">
              <w:rPr>
                <w:rFonts w:ascii="Arial" w:hAnsi="Arial" w:cs="Arial"/>
                <w:sz w:val="23"/>
                <w:szCs w:val="23"/>
                <w:lang w:val="en-US"/>
              </w:rPr>
              <w:t xml:space="preserve">Inability to deliver commitments (mission, operational objectives, </w:t>
            </w:r>
            <w:proofErr w:type="gramStart"/>
            <w:r w:rsidRPr="00AD31EB">
              <w:rPr>
                <w:rFonts w:ascii="Arial" w:hAnsi="Arial" w:cs="Arial"/>
                <w:sz w:val="23"/>
                <w:szCs w:val="23"/>
                <w:lang w:val="en-US"/>
              </w:rPr>
              <w:t>strategic</w:t>
            </w:r>
            <w:proofErr w:type="gramEnd"/>
            <w:r w:rsidRPr="00AD31EB">
              <w:rPr>
                <w:rFonts w:ascii="Arial" w:hAnsi="Arial" w:cs="Arial"/>
                <w:sz w:val="23"/>
                <w:szCs w:val="23"/>
                <w:lang w:val="en-US"/>
              </w:rPr>
              <w:t xml:space="preserve"> initiatives) due to limited resources, budget, or prioritization.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rPr>
                <w:rFonts w:ascii="Symbol" w:hAnsi="Symbol" w:cs="Symbol"/>
                <w:sz w:val="24"/>
                <w:szCs w:val="24"/>
                <w:lang w:val="en-US"/>
              </w:rPr>
            </w:pPr>
            <w:r w:rsidRPr="00AD31EB">
              <w:rPr>
                <w:rFonts w:ascii="Arial" w:hAnsi="Arial" w:cs="Arial"/>
                <w:sz w:val="24"/>
                <w:szCs w:val="24"/>
                <w:lang w:val="en-US"/>
              </w:rPr>
              <w:t xml:space="preserve">Key skills depart ICANN (consultants or staff) without clear succession plan for continuation of operating functions or exchange of knowledge and documentation.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Lack of improving trust in the multi-stakeholder model.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3"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8"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8" w:lineRule="auto"/>
              <w:jc w:val="both"/>
              <w:rPr>
                <w:rFonts w:ascii="Symbol" w:hAnsi="Symbol" w:cs="Symbol"/>
                <w:sz w:val="24"/>
                <w:szCs w:val="24"/>
                <w:lang w:val="en-US"/>
              </w:rPr>
            </w:pPr>
            <w:r w:rsidRPr="00AD31EB">
              <w:rPr>
                <w:rFonts w:ascii="Arial" w:hAnsi="Arial" w:cs="Arial"/>
                <w:sz w:val="24"/>
                <w:szCs w:val="24"/>
                <w:lang w:val="en-US"/>
              </w:rPr>
              <w:t xml:space="preserve">Contracted party non-payment or service provider non-performance (e.g., registrar, registry, and vendors).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rPr>
                <w:rFonts w:ascii="Symbol" w:hAnsi="Symbol" w:cs="Symbol"/>
                <w:sz w:val="24"/>
                <w:szCs w:val="24"/>
                <w:lang w:val="en-US"/>
              </w:rPr>
            </w:pPr>
            <w:r w:rsidRPr="00AD31EB">
              <w:rPr>
                <w:rFonts w:ascii="Arial" w:hAnsi="Arial" w:cs="Arial"/>
                <w:sz w:val="24"/>
                <w:szCs w:val="24"/>
                <w:lang w:val="en-US"/>
              </w:rPr>
              <w:t xml:space="preserve">Failure to effectively facilitate international participation in DNS Technical Coordination in the event of significant Internet security, stability or resiliency incident.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8"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8" w:lineRule="auto"/>
              <w:jc w:val="both"/>
              <w:rPr>
                <w:rFonts w:ascii="Symbol" w:hAnsi="Symbol" w:cs="Symbol"/>
                <w:sz w:val="24"/>
                <w:szCs w:val="24"/>
                <w:lang w:val="en-US"/>
              </w:rPr>
            </w:pPr>
            <w:r w:rsidRPr="00AD31EB">
              <w:rPr>
                <w:rFonts w:ascii="Arial" w:hAnsi="Arial" w:cs="Arial"/>
                <w:sz w:val="24"/>
                <w:szCs w:val="24"/>
                <w:lang w:val="en-US"/>
              </w:rPr>
              <w:t>DNS vulnerability to attacks (root) causing disruption to Internet operability (</w:t>
            </w:r>
            <w:proofErr w:type="spellStart"/>
            <w:r w:rsidRPr="00AD31EB">
              <w:rPr>
                <w:rFonts w:ascii="Arial" w:hAnsi="Arial" w:cs="Arial"/>
                <w:sz w:val="24"/>
                <w:szCs w:val="24"/>
                <w:lang w:val="en-US"/>
              </w:rPr>
              <w:t>DDoS</w:t>
            </w:r>
            <w:proofErr w:type="spellEnd"/>
            <w:r w:rsidRPr="00AD31EB">
              <w:rPr>
                <w:rFonts w:ascii="Arial" w:hAnsi="Arial" w:cs="Arial"/>
                <w:sz w:val="24"/>
                <w:szCs w:val="24"/>
                <w:lang w:val="en-US"/>
              </w:rPr>
              <w:t xml:space="preserve"> </w:t>
            </w:r>
            <w:r w:rsidRPr="00AD31EB">
              <w:rPr>
                <w:rFonts w:ascii="Arial" w:hAnsi="Arial" w:cs="Arial"/>
                <w:sz w:val="24"/>
                <w:szCs w:val="24"/>
                <w:lang w:val="en-US"/>
              </w:rPr>
              <w:lastRenderedPageBreak/>
              <w:t xml:space="preserve">Attacks, Cache Poisoning, etc.).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Potential data breach of personal or confidential data from ICANN systems; confidential data made public.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74" w:lineRule="auto"/>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74" w:lineRule="auto"/>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74" w:lineRule="auto"/>
              <w:jc w:val="both"/>
              <w:rPr>
                <w:rFonts w:ascii="Symbol" w:hAnsi="Symbol" w:cs="Symbol"/>
                <w:sz w:val="21"/>
                <w:szCs w:val="21"/>
                <w:lang w:val="en-US"/>
              </w:rPr>
            </w:pPr>
            <w:r w:rsidRPr="00AD31EB">
              <w:rPr>
                <w:rFonts w:ascii="Arial" w:hAnsi="Arial" w:cs="Arial"/>
                <w:sz w:val="21"/>
                <w:szCs w:val="21"/>
                <w:lang w:val="en-US"/>
              </w:rPr>
              <w:t xml:space="preserve">Failure of the community accountability process to adequately address ICANN accountability in light of its changing historical relationship with the USG.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overflowPunct w:val="0"/>
              <w:autoSpaceDE w:val="0"/>
              <w:autoSpaceDN w:val="0"/>
              <w:adjustRightInd w:val="0"/>
              <w:spacing w:line="238"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8" w:lineRule="auto"/>
              <w:jc w:val="both"/>
              <w:rPr>
                <w:rFonts w:ascii="Symbol" w:hAnsi="Symbol" w:cs="Symbol"/>
                <w:sz w:val="24"/>
                <w:szCs w:val="24"/>
                <w:lang w:val="en-US"/>
              </w:rPr>
            </w:pPr>
            <w:r w:rsidRPr="00AD31EB">
              <w:rPr>
                <w:rFonts w:ascii="Arial" w:hAnsi="Arial" w:cs="Arial"/>
                <w:sz w:val="24"/>
                <w:szCs w:val="24"/>
                <w:lang w:val="en-US"/>
              </w:rPr>
              <w:t xml:space="preserve">Ineffective contractual compliance approach, process, and audits (registries, registrars, others).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r w:rsidRPr="00AD31EB">
              <w:rPr>
                <w:rFonts w:ascii="Arial" w:hAnsi="Arial" w:cs="Arial"/>
                <w:sz w:val="24"/>
                <w:szCs w:val="24"/>
                <w:lang w:val="en-US"/>
              </w:rPr>
              <w:t xml:space="preserve">Inconsistent communication and messaging to stakeholders, leading to confusion and lack of understanding. </w:t>
            </w: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1" w:lineRule="exact"/>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overflowPunct w:val="0"/>
              <w:autoSpaceDE w:val="0"/>
              <w:autoSpaceDN w:val="0"/>
              <w:adjustRightInd w:val="0"/>
              <w:spacing w:line="239"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jc w:val="both"/>
              <w:rPr>
                <w:rFonts w:ascii="Symbol" w:hAnsi="Symbol" w:cs="Symbol"/>
                <w:sz w:val="24"/>
                <w:szCs w:val="24"/>
                <w:lang w:val="en-US"/>
              </w:rPr>
            </w:pPr>
            <w:r w:rsidRPr="00AD31EB">
              <w:rPr>
                <w:rFonts w:ascii="Arial" w:hAnsi="Arial" w:cs="Arial"/>
                <w:sz w:val="24"/>
                <w:szCs w:val="24"/>
                <w:lang w:val="en-US"/>
              </w:rPr>
              <w:t xml:space="preserve">Poor fiscal policy-making or gross </w:t>
            </w:r>
            <w:proofErr w:type="spellStart"/>
            <w:r w:rsidRPr="00AD31EB">
              <w:rPr>
                <w:rFonts w:ascii="Arial" w:hAnsi="Arial" w:cs="Arial"/>
                <w:sz w:val="24"/>
                <w:szCs w:val="24"/>
                <w:lang w:val="en-US"/>
              </w:rPr>
              <w:t>mis</w:t>
            </w:r>
            <w:proofErr w:type="spellEnd"/>
            <w:r w:rsidRPr="00AD31EB">
              <w:rPr>
                <w:rFonts w:ascii="Arial" w:hAnsi="Arial" w:cs="Arial"/>
                <w:sz w:val="24"/>
                <w:szCs w:val="24"/>
                <w:lang w:val="en-US"/>
              </w:rPr>
              <w:t xml:space="preserve">-management. </w:t>
            </w: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39" w:lineRule="auto"/>
              <w:jc w:val="both"/>
              <w:rPr>
                <w:rFonts w:ascii="Symbol" w:hAnsi="Symbol" w:cs="Symbol"/>
                <w:sz w:val="24"/>
                <w:szCs w:val="24"/>
                <w:lang w:val="en-US"/>
              </w:rPr>
            </w:pPr>
          </w:p>
        </w:tc>
      </w:tr>
      <w:tr w:rsidR="00AD31EB" w:rsidRPr="00AD31EB" w:rsidTr="00AD31EB">
        <w:tc>
          <w:tcPr>
            <w:tcW w:w="5670" w:type="dxa"/>
          </w:tcPr>
          <w:p w:rsidR="00AD31EB" w:rsidRPr="00AD31EB" w:rsidRDefault="00AD31EB" w:rsidP="00974BC8">
            <w:pPr>
              <w:pStyle w:val="Fuentedeprrafopredeter"/>
              <w:widowControl w:val="0"/>
              <w:overflowPunct w:val="0"/>
              <w:autoSpaceDE w:val="0"/>
              <w:autoSpaceDN w:val="0"/>
              <w:adjustRightInd w:val="0"/>
              <w:spacing w:line="260" w:lineRule="auto"/>
              <w:jc w:val="both"/>
              <w:rPr>
                <w:rFonts w:ascii="Symbol" w:hAnsi="Symbol" w:cs="Symbol"/>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60" w:lineRule="auto"/>
              <w:jc w:val="both"/>
              <w:rPr>
                <w:rFonts w:ascii="Symbol" w:hAnsi="Symbol" w:cs="Symbol"/>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60" w:lineRule="auto"/>
              <w:jc w:val="both"/>
              <w:rPr>
                <w:rFonts w:ascii="Symbol" w:hAnsi="Symbol" w:cs="Symbol"/>
                <w:lang w:val="en-US"/>
              </w:rPr>
            </w:pPr>
            <w:r w:rsidRPr="00AD31EB">
              <w:rPr>
                <w:rFonts w:ascii="Arial" w:hAnsi="Arial" w:cs="Arial"/>
                <w:lang w:val="en-US"/>
              </w:rPr>
              <w:t xml:space="preserve">Potential for ineffective technical business continuity management given an event occurs (e.g., data back-up, disaster recover planning, data outage, etc.). </w:t>
            </w: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60" w:lineRule="auto"/>
              <w:jc w:val="both"/>
              <w:rPr>
                <w:rFonts w:ascii="Symbol" w:hAnsi="Symbol" w:cs="Symbol"/>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50" w:lineRule="auto"/>
              <w:jc w:val="both"/>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50" w:lineRule="auto"/>
              <w:jc w:val="both"/>
              <w:rPr>
                <w:rFonts w:ascii="Symbol" w:hAnsi="Symbol" w:cs="Symbol"/>
                <w:sz w:val="23"/>
                <w:szCs w:val="23"/>
                <w:lang w:val="en-US"/>
              </w:rPr>
            </w:pPr>
            <w:r w:rsidRPr="00AD31EB">
              <w:rPr>
                <w:rFonts w:ascii="Arial" w:hAnsi="Arial" w:cs="Arial"/>
                <w:sz w:val="23"/>
                <w:szCs w:val="23"/>
                <w:lang w:val="en-US"/>
              </w:rPr>
              <w:t xml:space="preserve">Potential lack of operational efficiency, excellence and discipline due to lack of internal collaboration and clearly defined roles and responsibilities. </w:t>
            </w:r>
          </w:p>
        </w:tc>
      </w:tr>
      <w:tr w:rsidR="00AD31EB" w:rsidRPr="00AD31EB" w:rsidTr="00AD31EB">
        <w:tc>
          <w:tcPr>
            <w:tcW w:w="5670" w:type="dxa"/>
          </w:tcPr>
          <w:p w:rsidR="00AD31EB" w:rsidRPr="00AD31EB" w:rsidRDefault="00AD31EB" w:rsidP="00974BC8">
            <w:pPr>
              <w:pStyle w:val="Fuentedeprrafopredeter"/>
              <w:widowControl w:val="0"/>
              <w:autoSpaceDE w:val="0"/>
              <w:autoSpaceDN w:val="0"/>
              <w:adjustRightInd w:val="0"/>
              <w:spacing w:line="2" w:lineRule="exact"/>
              <w:rPr>
                <w:rFonts w:ascii="Symbol" w:hAnsi="Symbol" w:cs="Symbol"/>
                <w:sz w:val="23"/>
                <w:szCs w:val="23"/>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74" w:lineRule="auto"/>
              <w:jc w:val="both"/>
              <w:rPr>
                <w:rFonts w:ascii="Symbol" w:hAnsi="Symbol" w:cs="Symbol"/>
                <w:sz w:val="21"/>
                <w:szCs w:val="21"/>
                <w:lang w:val="en-US"/>
              </w:rPr>
            </w:pPr>
          </w:p>
        </w:tc>
      </w:tr>
      <w:tr w:rsidR="00AD31EB" w:rsidRPr="00AD31EB" w:rsidTr="00AD31EB">
        <w:tc>
          <w:tcPr>
            <w:tcW w:w="5670" w:type="dxa"/>
          </w:tcPr>
          <w:p w:rsidR="00AD31EB" w:rsidRPr="00AD31EB" w:rsidRDefault="00AD31EB" w:rsidP="00974BC8">
            <w:pPr>
              <w:pStyle w:val="Prrafodelista"/>
              <w:ind w:left="0"/>
              <w:rPr>
                <w:rFonts w:ascii="Arial" w:hAnsi="Arial" w:cs="Arial"/>
                <w:sz w:val="21"/>
                <w:szCs w:val="21"/>
                <w:lang w:val="en-US"/>
              </w:rPr>
            </w:pPr>
          </w:p>
        </w:tc>
      </w:tr>
      <w:tr w:rsidR="00AD31EB" w:rsidRPr="00AD31EB" w:rsidTr="00AD31EB">
        <w:tc>
          <w:tcPr>
            <w:tcW w:w="5670" w:type="dxa"/>
          </w:tcPr>
          <w:p w:rsidR="00AD31EB" w:rsidRPr="00AD31EB" w:rsidRDefault="00AD31EB" w:rsidP="00974BC8">
            <w:pPr>
              <w:pStyle w:val="Fuentedeprrafopredeter"/>
              <w:widowControl w:val="0"/>
              <w:numPr>
                <w:ilvl w:val="0"/>
                <w:numId w:val="4"/>
              </w:numPr>
              <w:overflowPunct w:val="0"/>
              <w:autoSpaceDE w:val="0"/>
              <w:autoSpaceDN w:val="0"/>
              <w:adjustRightInd w:val="0"/>
              <w:spacing w:line="274" w:lineRule="auto"/>
              <w:jc w:val="both"/>
              <w:rPr>
                <w:rFonts w:ascii="Symbol" w:hAnsi="Symbol" w:cs="Symbol"/>
                <w:sz w:val="21"/>
                <w:szCs w:val="21"/>
                <w:lang w:val="en-US"/>
              </w:rPr>
            </w:pPr>
            <w:r w:rsidRPr="00AD31EB">
              <w:rPr>
                <w:rFonts w:ascii="Arial" w:hAnsi="Arial" w:cs="Arial"/>
                <w:sz w:val="21"/>
                <w:szCs w:val="21"/>
                <w:lang w:val="en-US"/>
              </w:rPr>
              <w:t xml:space="preserve">One or more governments’ policy changes that negatively affect different sectors of a stakeholder or regional work and current functionality of SO/AC model. </w:t>
            </w:r>
          </w:p>
        </w:tc>
      </w:tr>
    </w:tbl>
    <w:p w:rsidR="00AD31EB" w:rsidRPr="00AD31EB" w:rsidRDefault="00AD31EB" w:rsidP="00AD31EB">
      <w:pPr>
        <w:pStyle w:val="Fuentedeprrafopredeter"/>
        <w:widowControl w:val="0"/>
        <w:overflowPunct w:val="0"/>
        <w:autoSpaceDE w:val="0"/>
        <w:autoSpaceDN w:val="0"/>
        <w:adjustRightInd w:val="0"/>
        <w:spacing w:after="0" w:line="274" w:lineRule="auto"/>
        <w:ind w:right="80"/>
        <w:jc w:val="both"/>
        <w:rPr>
          <w:rFonts w:ascii="Symbol" w:hAnsi="Symbol" w:cs="Symbol"/>
          <w:sz w:val="21"/>
          <w:szCs w:val="21"/>
          <w:lang w:val="en-US"/>
        </w:rPr>
      </w:pPr>
    </w:p>
    <w:p w:rsidR="00AD31EB" w:rsidRPr="00CA070D" w:rsidRDefault="00AD31EB" w:rsidP="00AD31EB">
      <w:pPr>
        <w:pStyle w:val="Fuentedeprrafopredeter"/>
        <w:widowControl w:val="0"/>
        <w:overflowPunct w:val="0"/>
        <w:autoSpaceDE w:val="0"/>
        <w:autoSpaceDN w:val="0"/>
        <w:adjustRightInd w:val="0"/>
        <w:spacing w:after="0" w:line="274" w:lineRule="auto"/>
        <w:ind w:right="80"/>
        <w:jc w:val="both"/>
        <w:rPr>
          <w:rFonts w:ascii="Symbol" w:hAnsi="Symbol" w:cs="Symbol"/>
          <w:sz w:val="21"/>
          <w:szCs w:val="21"/>
          <w:lang w:val="en-US"/>
        </w:rPr>
      </w:pPr>
    </w:p>
    <w:p w:rsidR="00000000" w:rsidRPr="00CA070D" w:rsidRDefault="00F30AC0">
      <w:pPr>
        <w:pStyle w:val="Fuentedeprrafopredeter"/>
        <w:widowControl w:val="0"/>
        <w:autoSpaceDE w:val="0"/>
        <w:autoSpaceDN w:val="0"/>
        <w:adjustRightInd w:val="0"/>
        <w:spacing w:after="0" w:line="2"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918" w:lineRule="auto"/>
        <w:ind w:right="160"/>
        <w:rPr>
          <w:rFonts w:ascii="Times New Roman" w:hAnsi="Times New Roman" w:cs="Times New Roman"/>
          <w:sz w:val="24"/>
          <w:szCs w:val="24"/>
          <w:lang w:val="en-US"/>
        </w:rPr>
      </w:pPr>
      <w:r w:rsidRPr="00CA070D">
        <w:rPr>
          <w:rFonts w:ascii="Cambria" w:hAnsi="Cambria" w:cs="Cambria"/>
          <w:sz w:val="24"/>
          <w:szCs w:val="24"/>
          <w:lang w:val="en-US"/>
        </w:rPr>
        <w:t>To find details of strategic risks that ICANN may face, please click the link below to the ‘ICANN</w:t>
      </w:r>
      <w:r w:rsidRPr="00CA070D">
        <w:rPr>
          <w:rFonts w:ascii="Cambria" w:hAnsi="Cambria" w:cs="Cambria"/>
          <w:sz w:val="24"/>
          <w:szCs w:val="24"/>
          <w:lang w:val="en-US"/>
        </w:rPr>
        <w:t xml:space="preserve"> Strategic Plan for fiscal years 2016-2020’.</w:t>
      </w:r>
    </w:p>
    <w:p w:rsidR="00000000" w:rsidRPr="00CA070D" w:rsidRDefault="00F30AC0">
      <w:pPr>
        <w:pStyle w:val="Fuentedeprrafopredeter"/>
        <w:widowControl w:val="0"/>
        <w:autoSpaceDE w:val="0"/>
        <w:autoSpaceDN w:val="0"/>
        <w:adjustRightInd w:val="0"/>
        <w:spacing w:after="0" w:line="240" w:lineRule="auto"/>
        <w:rPr>
          <w:rFonts w:ascii="Times New Roman" w:hAnsi="Times New Roman" w:cs="Times New Roman"/>
          <w:sz w:val="24"/>
          <w:szCs w:val="24"/>
          <w:lang w:val="en-US"/>
        </w:rPr>
        <w:sectPr w:rsidR="00000000" w:rsidRPr="00CA070D">
          <w:pgSz w:w="12240" w:h="15840"/>
          <w:pgMar w:top="1440" w:right="1860" w:bottom="581" w:left="1800" w:header="720" w:footer="720" w:gutter="0"/>
          <w:cols w:space="720" w:equalWidth="0">
            <w:col w:w="8580"/>
          </w:cols>
          <w:noEndnote/>
        </w:sectPr>
      </w:pPr>
    </w:p>
    <w:p w:rsidR="00000000" w:rsidRPr="00CA070D" w:rsidRDefault="00642583">
      <w:pPr>
        <w:pStyle w:val="Fuentedeprrafopredeter"/>
        <w:widowControl w:val="0"/>
        <w:overflowPunct w:val="0"/>
        <w:autoSpaceDE w:val="0"/>
        <w:autoSpaceDN w:val="0"/>
        <w:adjustRightInd w:val="0"/>
        <w:spacing w:after="0" w:line="582" w:lineRule="auto"/>
        <w:ind w:right="180"/>
        <w:rPr>
          <w:rFonts w:ascii="Times New Roman" w:hAnsi="Times New Roman" w:cs="Times New Roman"/>
          <w:sz w:val="24"/>
          <w:szCs w:val="24"/>
          <w:lang w:val="en-US"/>
        </w:rPr>
      </w:pPr>
      <w:bookmarkStart w:id="4" w:name="page4"/>
      <w:bookmarkEnd w:id="4"/>
      <w:r>
        <w:rPr>
          <w:noProof/>
        </w:rPr>
        <w:lastRenderedPageBreak/>
        <w:drawing>
          <wp:anchor distT="0" distB="0" distL="114300" distR="114300" simplePos="0" relativeHeight="251661312" behindDoc="1" locked="0" layoutInCell="0" allowOverlap="1">
            <wp:simplePos x="0" y="0"/>
            <wp:positionH relativeFrom="page">
              <wp:posOffset>6861175</wp:posOffset>
            </wp:positionH>
            <wp:positionV relativeFrom="page">
              <wp:posOffset>152400</wp:posOffset>
            </wp:positionV>
            <wp:extent cx="758825" cy="678815"/>
            <wp:effectExtent l="0" t="0" r="317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8825" cy="678815"/>
                    </a:xfrm>
                    <a:prstGeom prst="rect">
                      <a:avLst/>
                    </a:prstGeom>
                    <a:noFill/>
                  </pic:spPr>
                </pic:pic>
              </a:graphicData>
            </a:graphic>
            <wp14:sizeRelH relativeFrom="page">
              <wp14:pctWidth>0</wp14:pctWidth>
            </wp14:sizeRelH>
            <wp14:sizeRelV relativeFrom="page">
              <wp14:pctHeight>0</wp14:pctHeight>
            </wp14:sizeRelV>
          </wp:anchor>
        </w:drawing>
      </w:r>
      <w:r w:rsidR="00F30AC0" w:rsidRPr="00CA070D">
        <w:rPr>
          <w:rFonts w:ascii="Cambria" w:hAnsi="Cambria" w:cs="Cambria"/>
          <w:color w:val="0000FF"/>
          <w:sz w:val="24"/>
          <w:szCs w:val="24"/>
          <w:u w:val="single"/>
          <w:lang w:val="en-US"/>
        </w:rPr>
        <w:t>https://www.icann.org/en/system/files/files/strategic-plan-2016-2020-10oct14-en.pdf</w:t>
      </w:r>
    </w:p>
    <w:p w:rsidR="00000000" w:rsidRPr="00CA070D" w:rsidRDefault="00F30AC0">
      <w:pPr>
        <w:pStyle w:val="Fuentedeprrafopredeter"/>
        <w:widowControl w:val="0"/>
        <w:autoSpaceDE w:val="0"/>
        <w:autoSpaceDN w:val="0"/>
        <w:adjustRightInd w:val="0"/>
        <w:spacing w:after="0" w:line="237" w:lineRule="auto"/>
        <w:rPr>
          <w:rFonts w:ascii="Times New Roman" w:hAnsi="Times New Roman" w:cs="Times New Roman"/>
          <w:sz w:val="24"/>
          <w:szCs w:val="24"/>
          <w:lang w:val="en-US"/>
        </w:rPr>
      </w:pPr>
      <w:r w:rsidRPr="00CA070D">
        <w:rPr>
          <w:rFonts w:ascii="Cambria" w:hAnsi="Cambria" w:cs="Cambria"/>
          <w:b/>
          <w:bCs/>
          <w:sz w:val="24"/>
          <w:szCs w:val="24"/>
          <w:lang w:val="en-US"/>
        </w:rPr>
        <w:t>How the Identified Risks Are Addressed:</w:t>
      </w:r>
    </w:p>
    <w:p w:rsidR="00000000" w:rsidRPr="00CA070D" w:rsidRDefault="00F30AC0">
      <w:pPr>
        <w:pStyle w:val="Fuentedeprrafopredeter"/>
        <w:widowControl w:val="0"/>
        <w:autoSpaceDE w:val="0"/>
        <w:autoSpaceDN w:val="0"/>
        <w:adjustRightInd w:val="0"/>
        <w:spacing w:after="0" w:line="1"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274" w:lineRule="auto"/>
        <w:rPr>
          <w:rFonts w:ascii="Times New Roman" w:hAnsi="Times New Roman" w:cs="Times New Roman"/>
          <w:sz w:val="24"/>
          <w:szCs w:val="24"/>
          <w:lang w:val="en-US"/>
        </w:rPr>
      </w:pPr>
      <w:r w:rsidRPr="00CA070D">
        <w:rPr>
          <w:rFonts w:ascii="Cambria" w:hAnsi="Cambria" w:cs="Cambria"/>
          <w:sz w:val="24"/>
          <w:szCs w:val="24"/>
          <w:lang w:val="en-US"/>
        </w:rPr>
        <w:t>Once identified, the risk is rated based on the likeli</w:t>
      </w:r>
      <w:r w:rsidRPr="00CA070D">
        <w:rPr>
          <w:rFonts w:ascii="Cambria" w:hAnsi="Cambria" w:cs="Cambria"/>
          <w:sz w:val="24"/>
          <w:szCs w:val="24"/>
          <w:lang w:val="en-US"/>
        </w:rPr>
        <w:t>hood that the risk will occur, as well as the level of impact to the organization. This is performed via leveraging a consistent rating scale and gauging where the risk sits on that scale. Once the risk is rated, a decision is made whether mitigation or re</w:t>
      </w:r>
      <w:r w:rsidRPr="00CA070D">
        <w:rPr>
          <w:rFonts w:ascii="Cambria" w:hAnsi="Cambria" w:cs="Cambria"/>
          <w:sz w:val="24"/>
          <w:szCs w:val="24"/>
          <w:lang w:val="en-US"/>
        </w:rPr>
        <w:t>mediation of the risk is necessary. If necessary, the assessment of the decision to undertake mitigation will result in the remedies that are needed to reduce the risk impact and likelihood to the organization.</w:t>
      </w:r>
    </w:p>
    <w:p w:rsidR="00000000" w:rsidRPr="00CA070D" w:rsidRDefault="00F30AC0">
      <w:pPr>
        <w:pStyle w:val="Fuentedeprrafopredeter"/>
        <w:widowControl w:val="0"/>
        <w:autoSpaceDE w:val="0"/>
        <w:autoSpaceDN w:val="0"/>
        <w:adjustRightInd w:val="0"/>
        <w:spacing w:after="0" w:line="3" w:lineRule="exact"/>
        <w:rPr>
          <w:rFonts w:ascii="Times New Roman" w:hAnsi="Times New Roman" w:cs="Times New Roman"/>
          <w:sz w:val="24"/>
          <w:szCs w:val="24"/>
          <w:lang w:val="en-US"/>
        </w:rPr>
      </w:pPr>
    </w:p>
    <w:p w:rsidR="00000000" w:rsidRPr="00CA070D" w:rsidRDefault="00F30AC0">
      <w:pPr>
        <w:pStyle w:val="Fuentedeprrafopredeter"/>
        <w:widowControl w:val="0"/>
        <w:overflowPunct w:val="0"/>
        <w:autoSpaceDE w:val="0"/>
        <w:autoSpaceDN w:val="0"/>
        <w:adjustRightInd w:val="0"/>
        <w:spacing w:after="0" w:line="300" w:lineRule="auto"/>
        <w:ind w:right="60"/>
        <w:rPr>
          <w:rFonts w:ascii="Times New Roman" w:hAnsi="Times New Roman" w:cs="Times New Roman"/>
          <w:sz w:val="24"/>
          <w:szCs w:val="24"/>
          <w:lang w:val="en-US"/>
        </w:rPr>
      </w:pPr>
      <w:r w:rsidRPr="00CA070D">
        <w:rPr>
          <w:rFonts w:ascii="Cambria" w:hAnsi="Cambria" w:cs="Cambria"/>
          <w:sz w:val="24"/>
          <w:szCs w:val="24"/>
          <w:lang w:val="en-US"/>
        </w:rPr>
        <w:t>As normal operating procedure for ICANN, we will continue to annually identify and evaluate new and existing risks, whether actual, potential or perceived, and ensure that proper risk mitigation and remediation efforts are in place on a going forward basis</w:t>
      </w:r>
      <w:r w:rsidRPr="00CA070D">
        <w:rPr>
          <w:rFonts w:ascii="Cambria" w:hAnsi="Cambria" w:cs="Cambria"/>
          <w:sz w:val="24"/>
          <w:szCs w:val="24"/>
          <w:lang w:val="en-US"/>
        </w:rPr>
        <w:t>.</w:t>
      </w:r>
    </w:p>
    <w:p w:rsidR="00000000" w:rsidRPr="00CA070D" w:rsidRDefault="00F30AC0">
      <w:pPr>
        <w:pStyle w:val="Fuentedeprrafopredeter"/>
        <w:widowControl w:val="0"/>
        <w:autoSpaceDE w:val="0"/>
        <w:autoSpaceDN w:val="0"/>
        <w:adjustRightInd w:val="0"/>
        <w:spacing w:after="0" w:line="4" w:lineRule="exact"/>
        <w:rPr>
          <w:rFonts w:ascii="Times New Roman" w:hAnsi="Times New Roman" w:cs="Times New Roman"/>
          <w:sz w:val="24"/>
          <w:szCs w:val="24"/>
          <w:lang w:val="en-US"/>
        </w:rPr>
      </w:pPr>
    </w:p>
    <w:p w:rsidR="00F30AC0" w:rsidRPr="00CA070D" w:rsidRDefault="00F30AC0">
      <w:pPr>
        <w:pStyle w:val="Fuentedeprrafopredeter"/>
        <w:widowControl w:val="0"/>
        <w:overflowPunct w:val="0"/>
        <w:autoSpaceDE w:val="0"/>
        <w:autoSpaceDN w:val="0"/>
        <w:adjustRightInd w:val="0"/>
        <w:spacing w:after="0" w:line="331" w:lineRule="auto"/>
        <w:ind w:right="80"/>
        <w:rPr>
          <w:rFonts w:ascii="Times New Roman" w:hAnsi="Times New Roman" w:cs="Times New Roman"/>
          <w:sz w:val="24"/>
          <w:szCs w:val="24"/>
          <w:lang w:val="en-US"/>
        </w:rPr>
      </w:pPr>
      <w:r w:rsidRPr="00CA070D">
        <w:rPr>
          <w:rFonts w:ascii="Cambria" w:hAnsi="Cambria" w:cs="Cambria"/>
          <w:sz w:val="24"/>
          <w:szCs w:val="24"/>
          <w:lang w:val="en-US"/>
        </w:rPr>
        <w:t>It’s important to note that specific details and decisions taken to address many of the risks above are considered confidential and will not be disclosed. Maintaining confidentiality of risk mitigation efforts until they are fully operational and public</w:t>
      </w:r>
      <w:r w:rsidRPr="00CA070D">
        <w:rPr>
          <w:rFonts w:ascii="Cambria" w:hAnsi="Cambria" w:cs="Cambria"/>
          <w:sz w:val="24"/>
          <w:szCs w:val="24"/>
          <w:lang w:val="en-US"/>
        </w:rPr>
        <w:t>, if appropriate, is a standard risk management practice: by disclosing decisions and courses of action planned or taken to address specific ICANN related risks, ICANN could introduce an entirely new set of risks caused by such disclosure.</w:t>
      </w:r>
    </w:p>
    <w:sectPr w:rsidR="00F30AC0" w:rsidRPr="00CA070D">
      <w:pgSz w:w="12240" w:h="15840"/>
      <w:pgMar w:top="917" w:right="1800" w:bottom="1440" w:left="1800" w:header="720" w:footer="720" w:gutter="0"/>
      <w:cols w:space="720" w:equalWidth="0">
        <w:col w:w="8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83"/>
    <w:rsid w:val="00344A1F"/>
    <w:rsid w:val="00642583"/>
    <w:rsid w:val="00AD31EB"/>
    <w:rsid w:val="00CA070D"/>
    <w:rsid w:val="00F30A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070D"/>
    <w:pPr>
      <w:ind w:left="720"/>
      <w:contextualSpacing/>
    </w:pPr>
  </w:style>
  <w:style w:type="table" w:styleId="Tablaconcuadrcula">
    <w:name w:val="Table Grid"/>
    <w:basedOn w:val="Tablanormal"/>
    <w:uiPriority w:val="59"/>
    <w:rsid w:val="00AD3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070D"/>
    <w:pPr>
      <w:ind w:left="720"/>
      <w:contextualSpacing/>
    </w:pPr>
  </w:style>
  <w:style w:type="table" w:styleId="Tablaconcuadrcula">
    <w:name w:val="Table Grid"/>
    <w:basedOn w:val="Tablanormal"/>
    <w:uiPriority w:val="59"/>
    <w:rsid w:val="00AD3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7545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dc:creator>
  <cp:lastModifiedBy>apb</cp:lastModifiedBy>
  <cp:revision>2</cp:revision>
  <dcterms:created xsi:type="dcterms:W3CDTF">2015-01-24T21:32:00Z</dcterms:created>
  <dcterms:modified xsi:type="dcterms:W3CDTF">2015-01-24T21:32:00Z</dcterms:modified>
</cp:coreProperties>
</file>