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A72" w:rsidRDefault="00FB5132">
      <w:pPr>
        <w:rPr>
          <w:sz w:val="24"/>
          <w:szCs w:val="24"/>
        </w:rPr>
      </w:pPr>
      <w:bookmarkStart w:id="0" w:name="_gjdgxs" w:colFirst="0" w:colLast="0"/>
      <w:bookmarkStart w:id="1" w:name="_GoBack"/>
      <w:bookmarkEnd w:id="0"/>
      <w:bookmarkEnd w:id="1"/>
      <w:r>
        <w:rPr>
          <w:sz w:val="24"/>
          <w:szCs w:val="24"/>
        </w:rPr>
        <w:t>Dear IP,</w:t>
      </w:r>
    </w:p>
    <w:p w:rsidR="00525A72" w:rsidRDefault="00525A72">
      <w:pPr>
        <w:rPr>
          <w:sz w:val="24"/>
          <w:szCs w:val="24"/>
        </w:rPr>
      </w:pPr>
      <w:bookmarkStart w:id="2" w:name="_1qti7fo6sta3" w:colFirst="0" w:colLast="0"/>
      <w:bookmarkEnd w:id="2"/>
    </w:p>
    <w:p w:rsidR="00525A72" w:rsidRDefault="00FB5132">
      <w:pPr>
        <w:rPr>
          <w:color w:val="000000"/>
        </w:rPr>
      </w:pPr>
      <w:r>
        <w:rPr>
          <w:color w:val="000000"/>
          <w:sz w:val="24"/>
          <w:szCs w:val="24"/>
        </w:rPr>
        <w:t>The Latin GP appreciates the additional input received on August 29, 2018 titled “Diacritics below a security risk?”.</w:t>
      </w:r>
    </w:p>
    <w:p w:rsidR="00525A72" w:rsidRDefault="00FB5132">
      <w:pPr>
        <w:rPr>
          <w:color w:val="000000"/>
        </w:rPr>
      </w:pPr>
      <w:r>
        <w:rPr>
          <w:color w:val="000000"/>
          <w:sz w:val="24"/>
          <w:szCs w:val="24"/>
        </w:rPr>
        <w:t> </w:t>
      </w:r>
    </w:p>
    <w:p w:rsidR="00525A72" w:rsidRDefault="00FB5132">
      <w:pPr>
        <w:rPr>
          <w:color w:val="000000"/>
        </w:rPr>
      </w:pPr>
      <w:r>
        <w:rPr>
          <w:color w:val="000000"/>
          <w:sz w:val="24"/>
          <w:szCs w:val="24"/>
        </w:rPr>
        <w:t>In its feedback, IP makes a case for potential security risks when certain diacritics below (e.g. dot and line below) are used in a domain name. The risk is not always apparent, but it reveals itself when the diacritic below is obscured by an underline, which is the typical formatting feature of hyperlinks. The IP asserts “</w:t>
      </w:r>
      <w:r>
        <w:rPr>
          <w:b/>
          <w:color w:val="000000"/>
          <w:sz w:val="24"/>
          <w:szCs w:val="24"/>
        </w:rPr>
        <w:t>Of all diacritics, diacritics below can be difficult to distinguish or be prone to clipping”.</w:t>
      </w:r>
    </w:p>
    <w:p w:rsidR="00525A72" w:rsidRDefault="00FB5132">
      <w:pPr>
        <w:rPr>
          <w:color w:val="000000"/>
        </w:rPr>
      </w:pPr>
      <w:r>
        <w:rPr>
          <w:color w:val="000000"/>
          <w:sz w:val="24"/>
          <w:szCs w:val="24"/>
        </w:rPr>
        <w:t> </w:t>
      </w:r>
    </w:p>
    <w:p w:rsidR="00525A72" w:rsidRDefault="00FB5132">
      <w:pPr>
        <w:rPr>
          <w:sz w:val="24"/>
          <w:szCs w:val="24"/>
        </w:rPr>
      </w:pPr>
      <w:r>
        <w:rPr>
          <w:color w:val="000000"/>
          <w:sz w:val="24"/>
          <w:szCs w:val="24"/>
        </w:rPr>
        <w:t>Security risks deserve a place in our analysis, so Latin GP is committed to explicitly discuss this matter</w:t>
      </w:r>
      <w:r>
        <w:rPr>
          <w:sz w:val="24"/>
          <w:szCs w:val="24"/>
        </w:rPr>
        <w:t xml:space="preserve">, </w:t>
      </w:r>
      <w:r>
        <w:rPr>
          <w:color w:val="000000"/>
          <w:sz w:val="24"/>
          <w:szCs w:val="24"/>
        </w:rPr>
        <w:t xml:space="preserve">resolve whether </w:t>
      </w:r>
      <w:r>
        <w:rPr>
          <w:sz w:val="24"/>
          <w:szCs w:val="24"/>
        </w:rPr>
        <w:t>such risks</w:t>
      </w:r>
      <w:r>
        <w:rPr>
          <w:color w:val="000000"/>
          <w:sz w:val="24"/>
          <w:szCs w:val="24"/>
        </w:rPr>
        <w:t xml:space="preserve"> constitute an actual  security risk to the Root Zone and decide a solution vis-à-vis the LGR.</w:t>
      </w:r>
      <w:r>
        <w:rPr>
          <w:sz w:val="24"/>
          <w:szCs w:val="24"/>
        </w:rPr>
        <w:t xml:space="preserve"> </w:t>
      </w:r>
    </w:p>
    <w:p w:rsidR="00525A72" w:rsidRDefault="00525A72">
      <w:pPr>
        <w:rPr>
          <w:sz w:val="24"/>
          <w:szCs w:val="24"/>
        </w:rPr>
      </w:pPr>
    </w:p>
    <w:p w:rsidR="00525A72" w:rsidRDefault="00FB5132">
      <w:pPr>
        <w:rPr>
          <w:color w:val="000000"/>
        </w:rPr>
      </w:pPr>
      <w:r>
        <w:rPr>
          <w:sz w:val="24"/>
          <w:szCs w:val="24"/>
        </w:rPr>
        <w:t>The GP is however unclear how many risks should be dealt with at the level of LGR vs. post-LGR review processes, such as String Similarity Review, DNS Stability Review processes and is therefore requesting additional guidance from IP regarding earlier communiquées which seem to be at odds with the most recent one.</w:t>
      </w:r>
    </w:p>
    <w:p w:rsidR="00525A72" w:rsidRDefault="00FB5132">
      <w:pPr>
        <w:rPr>
          <w:color w:val="000000"/>
          <w:sz w:val="24"/>
          <w:szCs w:val="24"/>
        </w:rPr>
      </w:pPr>
      <w:r>
        <w:rPr>
          <w:color w:val="000000"/>
          <w:sz w:val="24"/>
          <w:szCs w:val="24"/>
        </w:rPr>
        <w:t> </w:t>
      </w:r>
    </w:p>
    <w:p w:rsidR="00CE3AEA" w:rsidRDefault="00FB5132">
      <w:pPr>
        <w:rPr>
          <w:sz w:val="24"/>
          <w:szCs w:val="24"/>
        </w:rPr>
      </w:pPr>
      <w:r w:rsidRPr="00CE3AEA">
        <w:rPr>
          <w:sz w:val="24"/>
          <w:szCs w:val="24"/>
        </w:rPr>
        <w:t xml:space="preserve">Thus far, the Latin GP has been aiming to deal with the “straight forward, non-subjectives cases” of visual similarity (i.e. homoglyphs). </w:t>
      </w:r>
    </w:p>
    <w:p w:rsidR="00525A72" w:rsidRDefault="00FB5132">
      <w:pPr>
        <w:rPr>
          <w:color w:val="000000"/>
        </w:rPr>
      </w:pPr>
      <w:r>
        <w:rPr>
          <w:sz w:val="24"/>
          <w:szCs w:val="24"/>
        </w:rPr>
        <w:t>Specifically</w:t>
      </w:r>
      <w:r>
        <w:rPr>
          <w:color w:val="000000"/>
          <w:sz w:val="24"/>
          <w:szCs w:val="24"/>
        </w:rPr>
        <w:t xml:space="preserve">, the Latin GP </w:t>
      </w:r>
      <w:r w:rsidRPr="00CE3AEA">
        <w:rPr>
          <w:sz w:val="24"/>
          <w:szCs w:val="24"/>
        </w:rPr>
        <w:t>notes these</w:t>
      </w:r>
      <w:r>
        <w:rPr>
          <w:color w:val="000000"/>
          <w:sz w:val="24"/>
          <w:szCs w:val="24"/>
        </w:rPr>
        <w:t xml:space="preserve"> statements from the August 29 email:</w:t>
      </w:r>
    </w:p>
    <w:p w:rsidR="00525A72" w:rsidRDefault="00FB5132">
      <w:pPr>
        <w:ind w:left="720"/>
        <w:rPr>
          <w:color w:val="000000"/>
        </w:rPr>
      </w:pPr>
      <w:r>
        <w:rPr>
          <w:color w:val="000000"/>
          <w:sz w:val="24"/>
          <w:szCs w:val="24"/>
        </w:rPr>
        <w:t> </w:t>
      </w:r>
    </w:p>
    <w:p w:rsidR="00525A72" w:rsidRDefault="00FB5132">
      <w:pPr>
        <w:ind w:left="720"/>
        <w:rPr>
          <w:color w:val="000000"/>
        </w:rPr>
      </w:pPr>
      <w:r>
        <w:rPr>
          <w:i/>
          <w:color w:val="000000"/>
          <w:sz w:val="24"/>
          <w:szCs w:val="24"/>
        </w:rPr>
        <w:t>“It can be argued users have no working understanding of typography and would not reliably interpret small gaps or bulges in the underline as being related to an unfamiliar code point”</w:t>
      </w:r>
      <w:r>
        <w:rPr>
          <w:color w:val="000000"/>
          <w:sz w:val="24"/>
          <w:szCs w:val="24"/>
        </w:rPr>
        <w:t>. </w:t>
      </w:r>
    </w:p>
    <w:p w:rsidR="00525A72" w:rsidRDefault="00FB5132">
      <w:pPr>
        <w:ind w:left="720"/>
        <w:rPr>
          <w:color w:val="000000"/>
        </w:rPr>
      </w:pPr>
      <w:r>
        <w:rPr>
          <w:i/>
          <w:color w:val="000000"/>
          <w:sz w:val="24"/>
          <w:szCs w:val="24"/>
        </w:rPr>
        <w:t> </w:t>
      </w:r>
    </w:p>
    <w:p w:rsidR="00525A72" w:rsidRPr="00CE3AEA" w:rsidRDefault="00FB5132" w:rsidP="00CE3AEA">
      <w:pPr>
        <w:ind w:left="720"/>
        <w:rPr>
          <w:color w:val="000000"/>
        </w:rPr>
      </w:pPr>
      <w:r>
        <w:rPr>
          <w:i/>
          <w:color w:val="000000"/>
          <w:sz w:val="24"/>
          <w:szCs w:val="24"/>
        </w:rPr>
        <w:t>“The IP would like to encourage the Latin GP […] to explicitly examine [the diacritics below] example and other cases like it, where code points can become indistinguishable in common usage scenarios for IDNs”</w:t>
      </w:r>
      <w:r>
        <w:rPr>
          <w:color w:val="000000"/>
          <w:sz w:val="24"/>
          <w:szCs w:val="24"/>
        </w:rPr>
        <w:t>. </w:t>
      </w:r>
    </w:p>
    <w:p w:rsidR="00525A72" w:rsidRPr="00CE3AEA" w:rsidRDefault="00525A72">
      <w:pPr>
        <w:rPr>
          <w:sz w:val="24"/>
          <w:szCs w:val="24"/>
        </w:rPr>
      </w:pPr>
    </w:p>
    <w:p w:rsidR="00525A72" w:rsidRDefault="00FB5132">
      <w:pPr>
        <w:rPr>
          <w:color w:val="000000"/>
        </w:rPr>
      </w:pPr>
      <w:r>
        <w:rPr>
          <w:color w:val="000000"/>
          <w:sz w:val="24"/>
          <w:szCs w:val="24"/>
        </w:rPr>
        <w:t>In this context, the Latin GP wants to confirm that prior guidance from IP (below), which we find consistent with the LGR Procedure, is not at odds with the August 29 email.</w:t>
      </w:r>
    </w:p>
    <w:p w:rsidR="00525A72" w:rsidRDefault="00FB5132">
      <w:pPr>
        <w:rPr>
          <w:color w:val="000000"/>
        </w:rPr>
      </w:pPr>
      <w:r>
        <w:rPr>
          <w:color w:val="000000"/>
          <w:sz w:val="24"/>
          <w:szCs w:val="24"/>
        </w:rPr>
        <w:t> </w:t>
      </w:r>
    </w:p>
    <w:p w:rsidR="00525A72" w:rsidRDefault="00FB5132">
      <w:pPr>
        <w:rPr>
          <w:color w:val="000000"/>
        </w:rPr>
      </w:pPr>
      <w:r>
        <w:rPr>
          <w:color w:val="000000"/>
          <w:sz w:val="24"/>
          <w:szCs w:val="24"/>
        </w:rPr>
        <w:t>                </w:t>
      </w:r>
      <w:r>
        <w:rPr>
          <w:color w:val="000000"/>
          <w:sz w:val="24"/>
          <w:szCs w:val="24"/>
          <w:u w:val="single"/>
        </w:rPr>
        <w:t>LGR Procedure:</w:t>
      </w:r>
    </w:p>
    <w:p w:rsidR="00525A72" w:rsidRDefault="00FB5132">
      <w:pPr>
        <w:ind w:left="720"/>
        <w:rPr>
          <w:color w:val="000000"/>
        </w:rPr>
      </w:pPr>
      <w:r>
        <w:rPr>
          <w:color w:val="000000"/>
          <w:sz w:val="24"/>
          <w:szCs w:val="24"/>
        </w:rPr>
        <w:t>“Finally, in investigating the possible variant relations, Generation Panels should ignore cases where the relation is based exclusively on aspects of visual similarity.”</w:t>
      </w:r>
    </w:p>
    <w:p w:rsidR="00525A72" w:rsidRDefault="00FB5132">
      <w:pPr>
        <w:rPr>
          <w:color w:val="000000"/>
        </w:rPr>
      </w:pPr>
      <w:r>
        <w:rPr>
          <w:color w:val="000000"/>
          <w:sz w:val="24"/>
          <w:szCs w:val="24"/>
        </w:rPr>
        <w:t> </w:t>
      </w:r>
    </w:p>
    <w:p w:rsidR="00525A72" w:rsidRDefault="00FB5132">
      <w:pPr>
        <w:ind w:left="720"/>
        <w:rPr>
          <w:color w:val="000000"/>
          <w:sz w:val="24"/>
          <w:szCs w:val="24"/>
        </w:rPr>
      </w:pPr>
      <w:r>
        <w:rPr>
          <w:color w:val="000000"/>
          <w:sz w:val="24"/>
          <w:szCs w:val="24"/>
          <w:u w:val="single"/>
        </w:rPr>
        <w:t>October 18, 2017: Principles for repertoire and variants – Feedback from IP</w:t>
      </w:r>
    </w:p>
    <w:p w:rsidR="00525A72" w:rsidRDefault="00FB5132">
      <w:pPr>
        <w:ind w:left="720"/>
        <w:rPr>
          <w:color w:val="000000"/>
          <w:sz w:val="24"/>
          <w:szCs w:val="24"/>
        </w:rPr>
      </w:pPr>
      <w:r>
        <w:rPr>
          <w:i/>
          <w:color w:val="000000"/>
          <w:sz w:val="24"/>
          <w:szCs w:val="24"/>
        </w:rPr>
        <w:t>“In the context of the Root Zone, the Procedure is quite clear in that it considers simple similarity of appearance to be outside the scope of the Root Zone LGR.”</w:t>
      </w:r>
      <w:r>
        <w:rPr>
          <w:color w:val="000000"/>
          <w:sz w:val="24"/>
          <w:szCs w:val="24"/>
        </w:rPr>
        <w:t>... </w:t>
      </w:r>
      <w:r>
        <w:rPr>
          <w:i/>
          <w:color w:val="000000"/>
          <w:sz w:val="24"/>
          <w:szCs w:val="24"/>
        </w:rPr>
        <w:t>“Having the Root Zone exhibit fundamentally different design decisions with respect to variants than those found on the second level would have to be justified by strong arguments based on factors special to the Root Zone.”</w:t>
      </w:r>
    </w:p>
    <w:p w:rsidR="00525A72" w:rsidRDefault="00FB5132">
      <w:pPr>
        <w:rPr>
          <w:color w:val="000000"/>
        </w:rPr>
      </w:pPr>
      <w:r>
        <w:rPr>
          <w:color w:val="000000"/>
          <w:sz w:val="24"/>
          <w:szCs w:val="24"/>
        </w:rPr>
        <w:t> </w:t>
      </w:r>
    </w:p>
    <w:p w:rsidR="00525A72" w:rsidRDefault="00FB5132">
      <w:pPr>
        <w:ind w:left="720"/>
        <w:rPr>
          <w:color w:val="000000"/>
          <w:sz w:val="24"/>
          <w:szCs w:val="24"/>
        </w:rPr>
      </w:pPr>
      <w:r>
        <w:rPr>
          <w:color w:val="000000"/>
          <w:sz w:val="24"/>
          <w:szCs w:val="24"/>
          <w:u w:val="single"/>
        </w:rPr>
        <w:t>March 22, 2017: Latin GP Proposal: IP Feedback</w:t>
      </w:r>
    </w:p>
    <w:p w:rsidR="00525A72" w:rsidRDefault="00FB5132">
      <w:pPr>
        <w:ind w:left="720"/>
        <w:rPr>
          <w:color w:val="000000"/>
          <w:sz w:val="24"/>
          <w:szCs w:val="24"/>
        </w:rPr>
      </w:pPr>
      <w:r>
        <w:rPr>
          <w:i/>
          <w:color w:val="000000"/>
          <w:sz w:val="24"/>
          <w:szCs w:val="24"/>
        </w:rPr>
        <w:lastRenderedPageBreak/>
        <w:t>“The kinds of variants to be defined in the Root Zone LGR are limited to homoglyphs, which are characters essentially identical appearance by design, instead of merely similar appearance.”</w:t>
      </w:r>
    </w:p>
    <w:p w:rsidR="00525A72" w:rsidRDefault="00FB5132">
      <w:pPr>
        <w:rPr>
          <w:color w:val="000000"/>
        </w:rPr>
      </w:pPr>
      <w:r>
        <w:rPr>
          <w:color w:val="000000"/>
          <w:sz w:val="24"/>
          <w:szCs w:val="24"/>
        </w:rPr>
        <w:t> </w:t>
      </w:r>
    </w:p>
    <w:p w:rsidR="00525A72" w:rsidRDefault="00FB5132">
      <w:pPr>
        <w:rPr>
          <w:color w:val="000000"/>
        </w:rPr>
      </w:pPr>
      <w:r>
        <w:rPr>
          <w:color w:val="000000"/>
          <w:sz w:val="24"/>
          <w:szCs w:val="24"/>
        </w:rPr>
        <w:t> </w:t>
      </w:r>
    </w:p>
    <w:p w:rsidR="00525A72" w:rsidRDefault="00FB5132">
      <w:pPr>
        <w:rPr>
          <w:color w:val="000000"/>
          <w:sz w:val="24"/>
          <w:szCs w:val="24"/>
        </w:rPr>
      </w:pPr>
      <w:r>
        <w:rPr>
          <w:color w:val="000000"/>
          <w:sz w:val="24"/>
          <w:szCs w:val="24"/>
        </w:rPr>
        <w:t xml:space="preserve">It may be helpful in clarifying matters if the IP could address a few actual examples for us.  </w:t>
      </w:r>
    </w:p>
    <w:p w:rsidR="00525A72" w:rsidRDefault="00525A72">
      <w:pPr>
        <w:rPr>
          <w:color w:val="000000"/>
          <w:sz w:val="24"/>
          <w:szCs w:val="24"/>
        </w:rPr>
      </w:pPr>
    </w:p>
    <w:p w:rsidR="00525A72" w:rsidRDefault="00525A72">
      <w:pPr>
        <w:rPr>
          <w:color w:val="000000"/>
          <w:sz w:val="24"/>
          <w:szCs w:val="24"/>
        </w:rPr>
      </w:pPr>
    </w:p>
    <w:p w:rsidR="00525A72" w:rsidRDefault="00525A72">
      <w:pPr>
        <w:rPr>
          <w:color w:val="000000"/>
          <w:sz w:val="24"/>
          <w:szCs w:val="24"/>
        </w:rPr>
      </w:pPr>
    </w:p>
    <w:p w:rsidR="00525A72" w:rsidRDefault="00FB5132">
      <w:pPr>
        <w:rPr>
          <w:color w:val="000000"/>
        </w:rPr>
      </w:pPr>
      <w:r>
        <w:rPr>
          <w:color w:val="000000"/>
          <w:sz w:val="24"/>
          <w:szCs w:val="24"/>
        </w:rPr>
        <w:t>We are all clear that</w:t>
      </w:r>
    </w:p>
    <w:p w:rsidR="00525A72" w:rsidRDefault="00FB5132">
      <w:pPr>
        <w:rPr>
          <w:color w:val="000000"/>
        </w:rPr>
      </w:pPr>
      <w:r>
        <w:rPr>
          <w:color w:val="000000"/>
          <w:sz w:val="24"/>
          <w:szCs w:val="24"/>
        </w:rPr>
        <w:t> </w:t>
      </w:r>
    </w:p>
    <w:p w:rsidR="00525A72" w:rsidRDefault="00FB5132">
      <w:pPr>
        <w:rPr>
          <w:color w:val="000000"/>
        </w:rPr>
      </w:pPr>
      <w:r>
        <w:rPr>
          <w:color w:val="000000"/>
          <w:sz w:val="24"/>
          <w:szCs w:val="24"/>
        </w:rPr>
        <w:t>o  and ỗ     006F and 1ED7</w:t>
      </w:r>
    </w:p>
    <w:p w:rsidR="00525A72" w:rsidRDefault="00FB5132">
      <w:pPr>
        <w:rPr>
          <w:color w:val="000000"/>
        </w:rPr>
      </w:pPr>
      <w:r>
        <w:rPr>
          <w:color w:val="000000"/>
          <w:sz w:val="24"/>
          <w:szCs w:val="24"/>
        </w:rPr>
        <w:t> </w:t>
      </w:r>
    </w:p>
    <w:p w:rsidR="00525A72" w:rsidRDefault="00FB5132">
      <w:pPr>
        <w:rPr>
          <w:color w:val="000000"/>
        </w:rPr>
      </w:pPr>
      <w:r>
        <w:rPr>
          <w:color w:val="000000"/>
          <w:sz w:val="24"/>
          <w:szCs w:val="24"/>
        </w:rPr>
        <w:t>are sufficiently different to not even be confusable. </w:t>
      </w:r>
    </w:p>
    <w:p w:rsidR="00CE3AEA" w:rsidRDefault="00FB5132">
      <w:pPr>
        <w:rPr>
          <w:color w:val="000000"/>
        </w:rPr>
      </w:pPr>
      <w:r>
        <w:rPr>
          <w:color w:val="000000"/>
          <w:sz w:val="24"/>
          <w:szCs w:val="24"/>
        </w:rPr>
        <w:t>  </w:t>
      </w:r>
    </w:p>
    <w:p w:rsidR="00525A72" w:rsidRDefault="00FB5132">
      <w:pPr>
        <w:rPr>
          <w:color w:val="000000"/>
        </w:rPr>
      </w:pPr>
      <w:r>
        <w:rPr>
          <w:color w:val="000000"/>
          <w:sz w:val="24"/>
          <w:szCs w:val="24"/>
        </w:rPr>
        <w:t>Where in between does the threshold for variants lie:</w:t>
      </w:r>
    </w:p>
    <w:p w:rsidR="00525A72" w:rsidRDefault="00FB5132">
      <w:pPr>
        <w:ind w:left="720"/>
        <w:rPr>
          <w:color w:val="000000"/>
        </w:rPr>
      </w:pPr>
      <w:r>
        <w:rPr>
          <w:color w:val="000000"/>
          <w:sz w:val="24"/>
          <w:szCs w:val="24"/>
        </w:rPr>
        <w:t> </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134"/>
        <w:gridCol w:w="992"/>
        <w:gridCol w:w="851"/>
        <w:gridCol w:w="1134"/>
        <w:gridCol w:w="4059"/>
      </w:tblGrid>
      <w:tr w:rsidR="00525A72">
        <w:tc>
          <w:tcPr>
            <w:tcW w:w="846" w:type="dxa"/>
            <w:tcMar>
              <w:top w:w="0" w:type="dxa"/>
              <w:left w:w="108" w:type="dxa"/>
              <w:bottom w:w="0" w:type="dxa"/>
              <w:right w:w="108" w:type="dxa"/>
            </w:tcMar>
          </w:tcPr>
          <w:p w:rsidR="00525A72" w:rsidRDefault="00FB5132">
            <w:r>
              <w:rPr>
                <w:sz w:val="24"/>
                <w:szCs w:val="24"/>
              </w:rPr>
              <w:t>Case no</w:t>
            </w:r>
          </w:p>
        </w:tc>
        <w:tc>
          <w:tcPr>
            <w:tcW w:w="1134" w:type="dxa"/>
            <w:tcMar>
              <w:top w:w="0" w:type="dxa"/>
              <w:left w:w="108" w:type="dxa"/>
              <w:bottom w:w="0" w:type="dxa"/>
              <w:right w:w="108" w:type="dxa"/>
            </w:tcMar>
          </w:tcPr>
          <w:p w:rsidR="00525A72" w:rsidRDefault="00FB5132">
            <w:r>
              <w:rPr>
                <w:sz w:val="24"/>
                <w:szCs w:val="24"/>
              </w:rPr>
              <w:t>Code point 1</w:t>
            </w:r>
          </w:p>
        </w:tc>
        <w:tc>
          <w:tcPr>
            <w:tcW w:w="992" w:type="dxa"/>
            <w:tcMar>
              <w:top w:w="0" w:type="dxa"/>
              <w:left w:w="108" w:type="dxa"/>
              <w:bottom w:w="0" w:type="dxa"/>
              <w:right w:w="108" w:type="dxa"/>
            </w:tcMar>
          </w:tcPr>
          <w:p w:rsidR="00525A72" w:rsidRDefault="00FB5132">
            <w:r>
              <w:rPr>
                <w:sz w:val="24"/>
                <w:szCs w:val="24"/>
              </w:rPr>
              <w:t>Glyph 1</w:t>
            </w:r>
          </w:p>
        </w:tc>
        <w:tc>
          <w:tcPr>
            <w:tcW w:w="851" w:type="dxa"/>
            <w:tcMar>
              <w:top w:w="0" w:type="dxa"/>
              <w:left w:w="108" w:type="dxa"/>
              <w:bottom w:w="0" w:type="dxa"/>
              <w:right w:w="108" w:type="dxa"/>
            </w:tcMar>
          </w:tcPr>
          <w:p w:rsidR="00525A72" w:rsidRDefault="00FB5132">
            <w:r>
              <w:rPr>
                <w:sz w:val="24"/>
                <w:szCs w:val="24"/>
              </w:rPr>
              <w:t>Glyph 2</w:t>
            </w:r>
          </w:p>
        </w:tc>
        <w:tc>
          <w:tcPr>
            <w:tcW w:w="1134" w:type="dxa"/>
            <w:tcMar>
              <w:top w:w="0" w:type="dxa"/>
              <w:left w:w="108" w:type="dxa"/>
              <w:bottom w:w="0" w:type="dxa"/>
              <w:right w:w="108" w:type="dxa"/>
            </w:tcMar>
          </w:tcPr>
          <w:p w:rsidR="00525A72" w:rsidRDefault="00FB5132">
            <w:r>
              <w:rPr>
                <w:sz w:val="24"/>
                <w:szCs w:val="24"/>
              </w:rPr>
              <w:t>Code point 2</w:t>
            </w:r>
          </w:p>
        </w:tc>
        <w:tc>
          <w:tcPr>
            <w:tcW w:w="4059" w:type="dxa"/>
            <w:tcMar>
              <w:top w:w="0" w:type="dxa"/>
              <w:left w:w="108" w:type="dxa"/>
              <w:bottom w:w="0" w:type="dxa"/>
              <w:right w:w="108" w:type="dxa"/>
            </w:tcMar>
          </w:tcPr>
          <w:p w:rsidR="00525A72" w:rsidRDefault="00FB5132">
            <w:r>
              <w:rPr>
                <w:sz w:val="24"/>
                <w:szCs w:val="24"/>
              </w:rPr>
              <w:t>Variants or "merely visually similar"</w:t>
            </w:r>
          </w:p>
          <w:p w:rsidR="00525A72" w:rsidRDefault="00FB5132">
            <w:r>
              <w:rPr>
                <w:sz w:val="24"/>
                <w:szCs w:val="24"/>
              </w:rPr>
              <w:t>or confusable or something else</w:t>
            </w:r>
          </w:p>
        </w:tc>
      </w:tr>
      <w:tr w:rsidR="00525A72">
        <w:tc>
          <w:tcPr>
            <w:tcW w:w="846" w:type="dxa"/>
            <w:tcMar>
              <w:top w:w="0" w:type="dxa"/>
              <w:left w:w="108" w:type="dxa"/>
              <w:bottom w:w="0" w:type="dxa"/>
              <w:right w:w="108" w:type="dxa"/>
            </w:tcMar>
          </w:tcPr>
          <w:p w:rsidR="00525A72" w:rsidRDefault="00525A72">
            <w:pPr>
              <w:numPr>
                <w:ilvl w:val="0"/>
                <w:numId w:val="1"/>
              </w:numPr>
              <w:pBdr>
                <w:top w:val="nil"/>
                <w:left w:val="nil"/>
                <w:bottom w:val="nil"/>
                <w:right w:val="nil"/>
                <w:between w:val="nil"/>
              </w:pBdr>
              <w:ind w:left="0" w:firstLine="0"/>
              <w:contextualSpacing/>
              <w:rPr>
                <w:color w:val="000000"/>
                <w:sz w:val="24"/>
                <w:szCs w:val="24"/>
              </w:rPr>
            </w:pPr>
          </w:p>
        </w:tc>
        <w:tc>
          <w:tcPr>
            <w:tcW w:w="1134" w:type="dxa"/>
            <w:tcMar>
              <w:top w:w="0" w:type="dxa"/>
              <w:left w:w="108" w:type="dxa"/>
              <w:bottom w:w="0" w:type="dxa"/>
              <w:right w:w="108" w:type="dxa"/>
            </w:tcMar>
          </w:tcPr>
          <w:p w:rsidR="00525A72" w:rsidRDefault="00FB5132">
            <w:r>
              <w:rPr>
                <w:sz w:val="24"/>
                <w:szCs w:val="24"/>
              </w:rPr>
              <w:t>0131</w:t>
            </w:r>
          </w:p>
        </w:tc>
        <w:tc>
          <w:tcPr>
            <w:tcW w:w="992" w:type="dxa"/>
            <w:tcMar>
              <w:top w:w="0" w:type="dxa"/>
              <w:left w:w="108" w:type="dxa"/>
              <w:bottom w:w="0" w:type="dxa"/>
              <w:right w:w="108" w:type="dxa"/>
            </w:tcMar>
          </w:tcPr>
          <w:p w:rsidR="00525A72" w:rsidRDefault="00FB5132">
            <w:r>
              <w:rPr>
                <w:sz w:val="24"/>
                <w:szCs w:val="24"/>
              </w:rPr>
              <w:t>ı</w:t>
            </w:r>
          </w:p>
        </w:tc>
        <w:tc>
          <w:tcPr>
            <w:tcW w:w="851" w:type="dxa"/>
            <w:tcMar>
              <w:top w:w="0" w:type="dxa"/>
              <w:left w:w="108" w:type="dxa"/>
              <w:bottom w:w="0" w:type="dxa"/>
              <w:right w:w="108" w:type="dxa"/>
            </w:tcMar>
          </w:tcPr>
          <w:p w:rsidR="00525A72" w:rsidRDefault="00FB5132">
            <w:r>
              <w:rPr>
                <w:sz w:val="24"/>
                <w:szCs w:val="24"/>
              </w:rPr>
              <w:t>ɩ</w:t>
            </w:r>
          </w:p>
        </w:tc>
        <w:tc>
          <w:tcPr>
            <w:tcW w:w="1134" w:type="dxa"/>
            <w:tcMar>
              <w:top w:w="0" w:type="dxa"/>
              <w:left w:w="108" w:type="dxa"/>
              <w:bottom w:w="0" w:type="dxa"/>
              <w:right w:w="108" w:type="dxa"/>
            </w:tcMar>
          </w:tcPr>
          <w:p w:rsidR="00525A72" w:rsidRDefault="00FB5132">
            <w:r>
              <w:rPr>
                <w:sz w:val="24"/>
                <w:szCs w:val="24"/>
              </w:rPr>
              <w:t>0269</w:t>
            </w:r>
          </w:p>
        </w:tc>
        <w:tc>
          <w:tcPr>
            <w:tcW w:w="4059" w:type="dxa"/>
            <w:tcMar>
              <w:top w:w="0" w:type="dxa"/>
              <w:left w:w="108" w:type="dxa"/>
              <w:bottom w:w="0" w:type="dxa"/>
              <w:right w:w="108" w:type="dxa"/>
            </w:tcMar>
          </w:tcPr>
          <w:p w:rsidR="00525A72" w:rsidRDefault="00FB5132">
            <w:r>
              <w:rPr>
                <w:sz w:val="24"/>
                <w:szCs w:val="24"/>
              </w:rPr>
              <w:t> </w:t>
            </w:r>
          </w:p>
        </w:tc>
      </w:tr>
      <w:tr w:rsidR="00525A72">
        <w:tc>
          <w:tcPr>
            <w:tcW w:w="846" w:type="dxa"/>
            <w:tcMar>
              <w:top w:w="0" w:type="dxa"/>
              <w:left w:w="108" w:type="dxa"/>
              <w:bottom w:w="0" w:type="dxa"/>
              <w:right w:w="108" w:type="dxa"/>
            </w:tcMar>
          </w:tcPr>
          <w:p w:rsidR="00525A72" w:rsidRDefault="00525A72">
            <w:pPr>
              <w:numPr>
                <w:ilvl w:val="0"/>
                <w:numId w:val="1"/>
              </w:numPr>
              <w:pBdr>
                <w:top w:val="nil"/>
                <w:left w:val="nil"/>
                <w:bottom w:val="nil"/>
                <w:right w:val="nil"/>
                <w:between w:val="nil"/>
              </w:pBdr>
              <w:ind w:left="0" w:firstLine="0"/>
              <w:contextualSpacing/>
              <w:rPr>
                <w:color w:val="000000"/>
                <w:sz w:val="24"/>
                <w:szCs w:val="24"/>
              </w:rPr>
            </w:pPr>
          </w:p>
        </w:tc>
        <w:tc>
          <w:tcPr>
            <w:tcW w:w="1134" w:type="dxa"/>
            <w:tcMar>
              <w:top w:w="0" w:type="dxa"/>
              <w:left w:w="108" w:type="dxa"/>
              <w:bottom w:w="0" w:type="dxa"/>
              <w:right w:w="108" w:type="dxa"/>
            </w:tcMar>
          </w:tcPr>
          <w:p w:rsidR="00525A72" w:rsidRDefault="00FB5132">
            <w:r>
              <w:rPr>
                <w:sz w:val="24"/>
                <w:szCs w:val="24"/>
              </w:rPr>
              <w:t>00E1</w:t>
            </w:r>
          </w:p>
        </w:tc>
        <w:tc>
          <w:tcPr>
            <w:tcW w:w="992" w:type="dxa"/>
            <w:tcMar>
              <w:top w:w="0" w:type="dxa"/>
              <w:left w:w="108" w:type="dxa"/>
              <w:bottom w:w="0" w:type="dxa"/>
              <w:right w:w="108" w:type="dxa"/>
            </w:tcMar>
          </w:tcPr>
          <w:p w:rsidR="00525A72" w:rsidRDefault="00FB5132">
            <w:r>
              <w:rPr>
                <w:sz w:val="24"/>
                <w:szCs w:val="24"/>
              </w:rPr>
              <w:t>ă</w:t>
            </w:r>
          </w:p>
        </w:tc>
        <w:tc>
          <w:tcPr>
            <w:tcW w:w="851" w:type="dxa"/>
            <w:tcMar>
              <w:top w:w="0" w:type="dxa"/>
              <w:left w:w="108" w:type="dxa"/>
              <w:bottom w:w="0" w:type="dxa"/>
              <w:right w:w="108" w:type="dxa"/>
            </w:tcMar>
          </w:tcPr>
          <w:p w:rsidR="00525A72" w:rsidRDefault="00FB5132">
            <w:r>
              <w:rPr>
                <w:sz w:val="24"/>
                <w:szCs w:val="24"/>
              </w:rPr>
              <w:t>ǎ </w:t>
            </w:r>
          </w:p>
        </w:tc>
        <w:tc>
          <w:tcPr>
            <w:tcW w:w="1134" w:type="dxa"/>
            <w:tcMar>
              <w:top w:w="0" w:type="dxa"/>
              <w:left w:w="108" w:type="dxa"/>
              <w:bottom w:w="0" w:type="dxa"/>
              <w:right w:w="108" w:type="dxa"/>
            </w:tcMar>
          </w:tcPr>
          <w:p w:rsidR="00525A72" w:rsidRDefault="00FB5132">
            <w:r>
              <w:rPr>
                <w:sz w:val="24"/>
                <w:szCs w:val="24"/>
              </w:rPr>
              <w:t>01CE</w:t>
            </w:r>
          </w:p>
        </w:tc>
        <w:tc>
          <w:tcPr>
            <w:tcW w:w="4059" w:type="dxa"/>
            <w:tcMar>
              <w:top w:w="0" w:type="dxa"/>
              <w:left w:w="108" w:type="dxa"/>
              <w:bottom w:w="0" w:type="dxa"/>
              <w:right w:w="108" w:type="dxa"/>
            </w:tcMar>
          </w:tcPr>
          <w:p w:rsidR="00525A72" w:rsidRDefault="00FB5132">
            <w:r>
              <w:rPr>
                <w:sz w:val="24"/>
                <w:szCs w:val="24"/>
              </w:rPr>
              <w:t> </w:t>
            </w:r>
          </w:p>
        </w:tc>
      </w:tr>
      <w:tr w:rsidR="00525A72">
        <w:tc>
          <w:tcPr>
            <w:tcW w:w="846" w:type="dxa"/>
            <w:tcMar>
              <w:top w:w="0" w:type="dxa"/>
              <w:left w:w="108" w:type="dxa"/>
              <w:bottom w:w="0" w:type="dxa"/>
              <w:right w:w="108" w:type="dxa"/>
            </w:tcMar>
          </w:tcPr>
          <w:p w:rsidR="00525A72" w:rsidRDefault="00525A72">
            <w:pPr>
              <w:numPr>
                <w:ilvl w:val="0"/>
                <w:numId w:val="1"/>
              </w:numPr>
              <w:pBdr>
                <w:top w:val="nil"/>
                <w:left w:val="nil"/>
                <w:bottom w:val="nil"/>
                <w:right w:val="nil"/>
                <w:between w:val="nil"/>
              </w:pBdr>
              <w:ind w:left="0" w:firstLine="0"/>
              <w:contextualSpacing/>
              <w:rPr>
                <w:color w:val="000000"/>
                <w:sz w:val="24"/>
                <w:szCs w:val="24"/>
              </w:rPr>
            </w:pPr>
          </w:p>
        </w:tc>
        <w:tc>
          <w:tcPr>
            <w:tcW w:w="1134" w:type="dxa"/>
            <w:tcMar>
              <w:top w:w="0" w:type="dxa"/>
              <w:left w:w="108" w:type="dxa"/>
              <w:bottom w:w="0" w:type="dxa"/>
              <w:right w:w="108" w:type="dxa"/>
            </w:tcMar>
          </w:tcPr>
          <w:p w:rsidR="00525A72" w:rsidRDefault="00FB5132">
            <w:r>
              <w:rPr>
                <w:sz w:val="24"/>
                <w:szCs w:val="24"/>
              </w:rPr>
              <w:t>006A</w:t>
            </w:r>
          </w:p>
        </w:tc>
        <w:tc>
          <w:tcPr>
            <w:tcW w:w="992" w:type="dxa"/>
            <w:tcMar>
              <w:top w:w="0" w:type="dxa"/>
              <w:left w:w="108" w:type="dxa"/>
              <w:bottom w:w="0" w:type="dxa"/>
              <w:right w:w="108" w:type="dxa"/>
            </w:tcMar>
          </w:tcPr>
          <w:p w:rsidR="00525A72" w:rsidRDefault="00FB5132">
            <w:r>
              <w:rPr>
                <w:sz w:val="24"/>
                <w:szCs w:val="24"/>
              </w:rPr>
              <w:t>j</w:t>
            </w:r>
          </w:p>
        </w:tc>
        <w:tc>
          <w:tcPr>
            <w:tcW w:w="851" w:type="dxa"/>
            <w:tcMar>
              <w:top w:w="0" w:type="dxa"/>
              <w:left w:w="108" w:type="dxa"/>
              <w:bottom w:w="0" w:type="dxa"/>
              <w:right w:w="108" w:type="dxa"/>
            </w:tcMar>
          </w:tcPr>
          <w:p w:rsidR="00525A72" w:rsidRDefault="00FB5132">
            <w:r>
              <w:rPr>
                <w:sz w:val="24"/>
                <w:szCs w:val="24"/>
              </w:rPr>
              <w:t>į</w:t>
            </w:r>
          </w:p>
        </w:tc>
        <w:tc>
          <w:tcPr>
            <w:tcW w:w="1134" w:type="dxa"/>
            <w:tcMar>
              <w:top w:w="0" w:type="dxa"/>
              <w:left w:w="108" w:type="dxa"/>
              <w:bottom w:w="0" w:type="dxa"/>
              <w:right w:w="108" w:type="dxa"/>
            </w:tcMar>
          </w:tcPr>
          <w:p w:rsidR="00525A72" w:rsidRDefault="00FB5132">
            <w:r>
              <w:rPr>
                <w:sz w:val="24"/>
                <w:szCs w:val="24"/>
              </w:rPr>
              <w:t>012F</w:t>
            </w:r>
          </w:p>
        </w:tc>
        <w:tc>
          <w:tcPr>
            <w:tcW w:w="4059" w:type="dxa"/>
            <w:tcMar>
              <w:top w:w="0" w:type="dxa"/>
              <w:left w:w="108" w:type="dxa"/>
              <w:bottom w:w="0" w:type="dxa"/>
              <w:right w:w="108" w:type="dxa"/>
            </w:tcMar>
          </w:tcPr>
          <w:p w:rsidR="00525A72" w:rsidRDefault="00FB5132">
            <w:r>
              <w:rPr>
                <w:sz w:val="24"/>
                <w:szCs w:val="24"/>
              </w:rPr>
              <w:t> </w:t>
            </w:r>
          </w:p>
        </w:tc>
      </w:tr>
      <w:tr w:rsidR="00525A72">
        <w:tc>
          <w:tcPr>
            <w:tcW w:w="846" w:type="dxa"/>
            <w:tcMar>
              <w:top w:w="0" w:type="dxa"/>
              <w:left w:w="108" w:type="dxa"/>
              <w:bottom w:w="0" w:type="dxa"/>
              <w:right w:w="108" w:type="dxa"/>
            </w:tcMar>
          </w:tcPr>
          <w:p w:rsidR="00525A72" w:rsidRDefault="00525A72">
            <w:pPr>
              <w:numPr>
                <w:ilvl w:val="0"/>
                <w:numId w:val="1"/>
              </w:numPr>
              <w:pBdr>
                <w:top w:val="nil"/>
                <w:left w:val="nil"/>
                <w:bottom w:val="nil"/>
                <w:right w:val="nil"/>
                <w:between w:val="nil"/>
              </w:pBdr>
              <w:ind w:left="0" w:firstLine="0"/>
              <w:contextualSpacing/>
              <w:rPr>
                <w:color w:val="000000"/>
                <w:sz w:val="24"/>
                <w:szCs w:val="24"/>
              </w:rPr>
            </w:pPr>
          </w:p>
        </w:tc>
        <w:tc>
          <w:tcPr>
            <w:tcW w:w="1134" w:type="dxa"/>
            <w:tcMar>
              <w:top w:w="0" w:type="dxa"/>
              <w:left w:w="108" w:type="dxa"/>
              <w:bottom w:w="0" w:type="dxa"/>
              <w:right w:w="108" w:type="dxa"/>
            </w:tcMar>
          </w:tcPr>
          <w:p w:rsidR="00525A72" w:rsidRDefault="00FB5132">
            <w:r>
              <w:rPr>
                <w:sz w:val="24"/>
                <w:szCs w:val="24"/>
              </w:rPr>
              <w:t>00FC</w:t>
            </w:r>
          </w:p>
        </w:tc>
        <w:tc>
          <w:tcPr>
            <w:tcW w:w="992" w:type="dxa"/>
            <w:tcMar>
              <w:top w:w="0" w:type="dxa"/>
              <w:left w:w="108" w:type="dxa"/>
              <w:bottom w:w="0" w:type="dxa"/>
              <w:right w:w="108" w:type="dxa"/>
            </w:tcMar>
          </w:tcPr>
          <w:p w:rsidR="00525A72" w:rsidRDefault="00FB5132">
            <w:r>
              <w:rPr>
                <w:sz w:val="24"/>
                <w:szCs w:val="24"/>
              </w:rPr>
              <w:t>ü</w:t>
            </w:r>
          </w:p>
        </w:tc>
        <w:tc>
          <w:tcPr>
            <w:tcW w:w="851" w:type="dxa"/>
            <w:tcMar>
              <w:top w:w="0" w:type="dxa"/>
              <w:left w:w="108" w:type="dxa"/>
              <w:bottom w:w="0" w:type="dxa"/>
              <w:right w:w="108" w:type="dxa"/>
            </w:tcMar>
          </w:tcPr>
          <w:p w:rsidR="00525A72" w:rsidRDefault="00FB5132">
            <w:r>
              <w:rPr>
                <w:sz w:val="24"/>
                <w:szCs w:val="24"/>
              </w:rPr>
              <w:t>ű</w:t>
            </w:r>
          </w:p>
        </w:tc>
        <w:tc>
          <w:tcPr>
            <w:tcW w:w="1134" w:type="dxa"/>
            <w:tcMar>
              <w:top w:w="0" w:type="dxa"/>
              <w:left w:w="108" w:type="dxa"/>
              <w:bottom w:w="0" w:type="dxa"/>
              <w:right w:w="108" w:type="dxa"/>
            </w:tcMar>
          </w:tcPr>
          <w:p w:rsidR="00525A72" w:rsidRDefault="00FB5132">
            <w:r>
              <w:rPr>
                <w:sz w:val="24"/>
                <w:szCs w:val="24"/>
              </w:rPr>
              <w:t>0171</w:t>
            </w:r>
          </w:p>
        </w:tc>
        <w:tc>
          <w:tcPr>
            <w:tcW w:w="4059" w:type="dxa"/>
            <w:tcMar>
              <w:top w:w="0" w:type="dxa"/>
              <w:left w:w="108" w:type="dxa"/>
              <w:bottom w:w="0" w:type="dxa"/>
              <w:right w:w="108" w:type="dxa"/>
            </w:tcMar>
          </w:tcPr>
          <w:p w:rsidR="00525A72" w:rsidRDefault="00FB5132">
            <w:r>
              <w:rPr>
                <w:sz w:val="24"/>
                <w:szCs w:val="24"/>
              </w:rPr>
              <w:t> </w:t>
            </w:r>
          </w:p>
        </w:tc>
      </w:tr>
      <w:tr w:rsidR="00525A72">
        <w:tc>
          <w:tcPr>
            <w:tcW w:w="846" w:type="dxa"/>
            <w:tcMar>
              <w:top w:w="0" w:type="dxa"/>
              <w:left w:w="108" w:type="dxa"/>
              <w:bottom w:w="0" w:type="dxa"/>
              <w:right w:w="108" w:type="dxa"/>
            </w:tcMar>
          </w:tcPr>
          <w:p w:rsidR="00525A72" w:rsidRDefault="00525A72">
            <w:pPr>
              <w:numPr>
                <w:ilvl w:val="0"/>
                <w:numId w:val="1"/>
              </w:numPr>
              <w:pBdr>
                <w:top w:val="nil"/>
                <w:left w:val="nil"/>
                <w:bottom w:val="nil"/>
                <w:right w:val="nil"/>
                <w:between w:val="nil"/>
              </w:pBdr>
              <w:ind w:left="0" w:firstLine="0"/>
              <w:contextualSpacing/>
              <w:rPr>
                <w:color w:val="000000"/>
                <w:sz w:val="24"/>
                <w:szCs w:val="24"/>
              </w:rPr>
            </w:pPr>
          </w:p>
        </w:tc>
        <w:tc>
          <w:tcPr>
            <w:tcW w:w="1134" w:type="dxa"/>
            <w:tcMar>
              <w:top w:w="0" w:type="dxa"/>
              <w:left w:w="108" w:type="dxa"/>
              <w:bottom w:w="0" w:type="dxa"/>
              <w:right w:w="108" w:type="dxa"/>
            </w:tcMar>
          </w:tcPr>
          <w:p w:rsidR="00525A72" w:rsidRDefault="00FB5132">
            <w:r>
              <w:rPr>
                <w:sz w:val="24"/>
                <w:szCs w:val="24"/>
              </w:rPr>
              <w:t>006C</w:t>
            </w:r>
          </w:p>
        </w:tc>
        <w:tc>
          <w:tcPr>
            <w:tcW w:w="992" w:type="dxa"/>
            <w:tcMar>
              <w:top w:w="0" w:type="dxa"/>
              <w:left w:w="108" w:type="dxa"/>
              <w:bottom w:w="0" w:type="dxa"/>
              <w:right w:w="108" w:type="dxa"/>
            </w:tcMar>
          </w:tcPr>
          <w:p w:rsidR="00525A72" w:rsidRDefault="00FB5132">
            <w:r>
              <w:rPr>
                <w:sz w:val="24"/>
                <w:szCs w:val="24"/>
              </w:rPr>
              <w:t>m</w:t>
            </w:r>
          </w:p>
        </w:tc>
        <w:tc>
          <w:tcPr>
            <w:tcW w:w="851" w:type="dxa"/>
            <w:tcMar>
              <w:top w:w="0" w:type="dxa"/>
              <w:left w:w="108" w:type="dxa"/>
              <w:bottom w:w="0" w:type="dxa"/>
              <w:right w:w="108" w:type="dxa"/>
            </w:tcMar>
          </w:tcPr>
          <w:p w:rsidR="00525A72" w:rsidRDefault="00FB5132">
            <w:r>
              <w:rPr>
                <w:sz w:val="24"/>
                <w:szCs w:val="24"/>
              </w:rPr>
              <w:t>rn</w:t>
            </w:r>
          </w:p>
        </w:tc>
        <w:tc>
          <w:tcPr>
            <w:tcW w:w="1134" w:type="dxa"/>
            <w:tcMar>
              <w:top w:w="0" w:type="dxa"/>
              <w:left w:w="108" w:type="dxa"/>
              <w:bottom w:w="0" w:type="dxa"/>
              <w:right w:w="108" w:type="dxa"/>
            </w:tcMar>
          </w:tcPr>
          <w:p w:rsidR="00525A72" w:rsidRDefault="00FB5132">
            <w:r>
              <w:rPr>
                <w:sz w:val="24"/>
                <w:szCs w:val="24"/>
              </w:rPr>
              <w:t>0072 +  006D</w:t>
            </w:r>
          </w:p>
        </w:tc>
        <w:tc>
          <w:tcPr>
            <w:tcW w:w="4059" w:type="dxa"/>
            <w:tcMar>
              <w:top w:w="0" w:type="dxa"/>
              <w:left w:w="108" w:type="dxa"/>
              <w:bottom w:w="0" w:type="dxa"/>
              <w:right w:w="108" w:type="dxa"/>
            </w:tcMar>
          </w:tcPr>
          <w:p w:rsidR="00525A72" w:rsidRDefault="00FB5132">
            <w:r>
              <w:rPr>
                <w:sz w:val="24"/>
                <w:szCs w:val="24"/>
              </w:rPr>
              <w:t> </w:t>
            </w:r>
          </w:p>
        </w:tc>
      </w:tr>
      <w:tr w:rsidR="00525A72">
        <w:tc>
          <w:tcPr>
            <w:tcW w:w="846" w:type="dxa"/>
            <w:tcMar>
              <w:top w:w="0" w:type="dxa"/>
              <w:left w:w="108" w:type="dxa"/>
              <w:bottom w:w="0" w:type="dxa"/>
              <w:right w:w="108" w:type="dxa"/>
            </w:tcMar>
          </w:tcPr>
          <w:p w:rsidR="00525A72" w:rsidRDefault="00525A72">
            <w:pPr>
              <w:numPr>
                <w:ilvl w:val="0"/>
                <w:numId w:val="1"/>
              </w:numPr>
              <w:pBdr>
                <w:top w:val="nil"/>
                <w:left w:val="nil"/>
                <w:bottom w:val="nil"/>
                <w:right w:val="nil"/>
                <w:between w:val="nil"/>
              </w:pBdr>
              <w:ind w:left="0" w:firstLine="0"/>
              <w:contextualSpacing/>
              <w:rPr>
                <w:color w:val="000000"/>
                <w:sz w:val="24"/>
                <w:szCs w:val="24"/>
              </w:rPr>
            </w:pPr>
          </w:p>
        </w:tc>
        <w:tc>
          <w:tcPr>
            <w:tcW w:w="1134" w:type="dxa"/>
            <w:tcMar>
              <w:top w:w="0" w:type="dxa"/>
              <w:left w:w="108" w:type="dxa"/>
              <w:bottom w:w="0" w:type="dxa"/>
              <w:right w:w="108" w:type="dxa"/>
            </w:tcMar>
          </w:tcPr>
          <w:p w:rsidR="00525A72" w:rsidRDefault="00FB5132">
            <w:r>
              <w:rPr>
                <w:sz w:val="24"/>
                <w:szCs w:val="24"/>
              </w:rPr>
              <w:t>006B</w:t>
            </w:r>
          </w:p>
        </w:tc>
        <w:tc>
          <w:tcPr>
            <w:tcW w:w="992" w:type="dxa"/>
            <w:tcMar>
              <w:top w:w="0" w:type="dxa"/>
              <w:left w:w="108" w:type="dxa"/>
              <w:bottom w:w="0" w:type="dxa"/>
              <w:right w:w="108" w:type="dxa"/>
            </w:tcMar>
          </w:tcPr>
          <w:p w:rsidR="00525A72" w:rsidRDefault="00FB5132">
            <w:r>
              <w:rPr>
                <w:sz w:val="24"/>
                <w:szCs w:val="24"/>
              </w:rPr>
              <w:t>k</w:t>
            </w:r>
          </w:p>
        </w:tc>
        <w:tc>
          <w:tcPr>
            <w:tcW w:w="851" w:type="dxa"/>
            <w:tcMar>
              <w:top w:w="0" w:type="dxa"/>
              <w:left w:w="108" w:type="dxa"/>
              <w:bottom w:w="0" w:type="dxa"/>
              <w:right w:w="108" w:type="dxa"/>
            </w:tcMar>
          </w:tcPr>
          <w:p w:rsidR="00525A72" w:rsidRDefault="00FB5132">
            <w:r>
              <w:rPr>
                <w:sz w:val="24"/>
                <w:szCs w:val="24"/>
              </w:rPr>
              <w:t>ƙ    </w:t>
            </w:r>
          </w:p>
        </w:tc>
        <w:tc>
          <w:tcPr>
            <w:tcW w:w="1134" w:type="dxa"/>
            <w:tcMar>
              <w:top w:w="0" w:type="dxa"/>
              <w:left w:w="108" w:type="dxa"/>
              <w:bottom w:w="0" w:type="dxa"/>
              <w:right w:w="108" w:type="dxa"/>
            </w:tcMar>
          </w:tcPr>
          <w:p w:rsidR="00525A72" w:rsidRDefault="00FB5132">
            <w:r>
              <w:rPr>
                <w:sz w:val="24"/>
                <w:szCs w:val="24"/>
              </w:rPr>
              <w:t>0199</w:t>
            </w:r>
          </w:p>
        </w:tc>
        <w:tc>
          <w:tcPr>
            <w:tcW w:w="4059" w:type="dxa"/>
            <w:tcMar>
              <w:top w:w="0" w:type="dxa"/>
              <w:left w:w="108" w:type="dxa"/>
              <w:bottom w:w="0" w:type="dxa"/>
              <w:right w:w="108" w:type="dxa"/>
            </w:tcMar>
          </w:tcPr>
          <w:p w:rsidR="00525A72" w:rsidRDefault="00FB5132">
            <w:r>
              <w:rPr>
                <w:sz w:val="24"/>
                <w:szCs w:val="24"/>
              </w:rPr>
              <w:t> </w:t>
            </w:r>
          </w:p>
        </w:tc>
      </w:tr>
      <w:tr w:rsidR="00525A72">
        <w:tc>
          <w:tcPr>
            <w:tcW w:w="846" w:type="dxa"/>
            <w:tcMar>
              <w:top w:w="0" w:type="dxa"/>
              <w:left w:w="108" w:type="dxa"/>
              <w:bottom w:w="0" w:type="dxa"/>
              <w:right w:w="108" w:type="dxa"/>
            </w:tcMar>
          </w:tcPr>
          <w:p w:rsidR="00525A72" w:rsidRDefault="00525A72">
            <w:pPr>
              <w:numPr>
                <w:ilvl w:val="0"/>
                <w:numId w:val="1"/>
              </w:numPr>
              <w:pBdr>
                <w:top w:val="nil"/>
                <w:left w:val="nil"/>
                <w:bottom w:val="nil"/>
                <w:right w:val="nil"/>
                <w:between w:val="nil"/>
              </w:pBdr>
              <w:ind w:left="0" w:firstLine="0"/>
              <w:contextualSpacing/>
              <w:rPr>
                <w:color w:val="000000"/>
                <w:sz w:val="24"/>
                <w:szCs w:val="24"/>
              </w:rPr>
            </w:pPr>
          </w:p>
        </w:tc>
        <w:tc>
          <w:tcPr>
            <w:tcW w:w="1134" w:type="dxa"/>
            <w:tcMar>
              <w:top w:w="0" w:type="dxa"/>
              <w:left w:w="108" w:type="dxa"/>
              <w:bottom w:w="0" w:type="dxa"/>
              <w:right w:w="108" w:type="dxa"/>
            </w:tcMar>
          </w:tcPr>
          <w:p w:rsidR="00525A72" w:rsidRDefault="00FB5132">
            <w:r>
              <w:rPr>
                <w:sz w:val="24"/>
                <w:szCs w:val="24"/>
              </w:rPr>
              <w:t>0070</w:t>
            </w:r>
          </w:p>
        </w:tc>
        <w:tc>
          <w:tcPr>
            <w:tcW w:w="992" w:type="dxa"/>
            <w:tcMar>
              <w:top w:w="0" w:type="dxa"/>
              <w:left w:w="108" w:type="dxa"/>
              <w:bottom w:w="0" w:type="dxa"/>
              <w:right w:w="108" w:type="dxa"/>
            </w:tcMar>
          </w:tcPr>
          <w:p w:rsidR="00525A72" w:rsidRDefault="00FB5132">
            <w:r>
              <w:rPr>
                <w:sz w:val="24"/>
                <w:szCs w:val="24"/>
              </w:rPr>
              <w:t>p</w:t>
            </w:r>
          </w:p>
        </w:tc>
        <w:tc>
          <w:tcPr>
            <w:tcW w:w="851" w:type="dxa"/>
            <w:tcMar>
              <w:top w:w="0" w:type="dxa"/>
              <w:left w:w="108" w:type="dxa"/>
              <w:bottom w:w="0" w:type="dxa"/>
              <w:right w:w="108" w:type="dxa"/>
            </w:tcMar>
          </w:tcPr>
          <w:p w:rsidR="00525A72" w:rsidRDefault="00FB5132">
            <w:r>
              <w:rPr>
                <w:sz w:val="24"/>
                <w:szCs w:val="24"/>
              </w:rPr>
              <w:t>þ</w:t>
            </w:r>
          </w:p>
        </w:tc>
        <w:tc>
          <w:tcPr>
            <w:tcW w:w="1134" w:type="dxa"/>
            <w:tcMar>
              <w:top w:w="0" w:type="dxa"/>
              <w:left w:w="108" w:type="dxa"/>
              <w:bottom w:w="0" w:type="dxa"/>
              <w:right w:w="108" w:type="dxa"/>
            </w:tcMar>
          </w:tcPr>
          <w:p w:rsidR="00525A72" w:rsidRDefault="00FB5132">
            <w:r>
              <w:rPr>
                <w:sz w:val="24"/>
                <w:szCs w:val="24"/>
              </w:rPr>
              <w:t>00FE</w:t>
            </w:r>
          </w:p>
        </w:tc>
        <w:tc>
          <w:tcPr>
            <w:tcW w:w="4059" w:type="dxa"/>
            <w:tcMar>
              <w:top w:w="0" w:type="dxa"/>
              <w:left w:w="108" w:type="dxa"/>
              <w:bottom w:w="0" w:type="dxa"/>
              <w:right w:w="108" w:type="dxa"/>
            </w:tcMar>
          </w:tcPr>
          <w:p w:rsidR="00525A72" w:rsidRDefault="00FB5132">
            <w:r>
              <w:rPr>
                <w:sz w:val="24"/>
                <w:szCs w:val="24"/>
              </w:rPr>
              <w:t> </w:t>
            </w:r>
          </w:p>
        </w:tc>
      </w:tr>
      <w:tr w:rsidR="00525A72">
        <w:tc>
          <w:tcPr>
            <w:tcW w:w="846" w:type="dxa"/>
            <w:tcMar>
              <w:top w:w="0" w:type="dxa"/>
              <w:left w:w="108" w:type="dxa"/>
              <w:bottom w:w="0" w:type="dxa"/>
              <w:right w:w="108" w:type="dxa"/>
            </w:tcMar>
          </w:tcPr>
          <w:p w:rsidR="00525A72" w:rsidRDefault="00525A72">
            <w:pPr>
              <w:numPr>
                <w:ilvl w:val="0"/>
                <w:numId w:val="1"/>
              </w:numPr>
              <w:pBdr>
                <w:top w:val="nil"/>
                <w:left w:val="nil"/>
                <w:bottom w:val="nil"/>
                <w:right w:val="nil"/>
                <w:between w:val="nil"/>
              </w:pBdr>
              <w:ind w:left="0" w:firstLine="0"/>
              <w:contextualSpacing/>
              <w:rPr>
                <w:color w:val="000000"/>
                <w:sz w:val="24"/>
                <w:szCs w:val="24"/>
              </w:rPr>
            </w:pPr>
          </w:p>
        </w:tc>
        <w:tc>
          <w:tcPr>
            <w:tcW w:w="1134" w:type="dxa"/>
            <w:tcMar>
              <w:top w:w="0" w:type="dxa"/>
              <w:left w:w="108" w:type="dxa"/>
              <w:bottom w:w="0" w:type="dxa"/>
              <w:right w:w="108" w:type="dxa"/>
            </w:tcMar>
          </w:tcPr>
          <w:p w:rsidR="00525A72" w:rsidRDefault="00FB5132">
            <w:r>
              <w:rPr>
                <w:sz w:val="24"/>
                <w:szCs w:val="24"/>
              </w:rPr>
              <w:t>0064</w:t>
            </w:r>
          </w:p>
        </w:tc>
        <w:tc>
          <w:tcPr>
            <w:tcW w:w="992" w:type="dxa"/>
            <w:tcMar>
              <w:top w:w="0" w:type="dxa"/>
              <w:left w:w="108" w:type="dxa"/>
              <w:bottom w:w="0" w:type="dxa"/>
              <w:right w:w="108" w:type="dxa"/>
            </w:tcMar>
          </w:tcPr>
          <w:p w:rsidR="00525A72" w:rsidRDefault="00FB5132">
            <w:r>
              <w:rPr>
                <w:sz w:val="24"/>
                <w:szCs w:val="24"/>
              </w:rPr>
              <w:t>d</w:t>
            </w:r>
          </w:p>
        </w:tc>
        <w:tc>
          <w:tcPr>
            <w:tcW w:w="851" w:type="dxa"/>
            <w:tcMar>
              <w:top w:w="0" w:type="dxa"/>
              <w:left w:w="108" w:type="dxa"/>
              <w:bottom w:w="0" w:type="dxa"/>
              <w:right w:w="108" w:type="dxa"/>
            </w:tcMar>
          </w:tcPr>
          <w:p w:rsidR="00525A72" w:rsidRDefault="00FB5132">
            <w:r>
              <w:rPr>
                <w:sz w:val="24"/>
                <w:szCs w:val="24"/>
              </w:rPr>
              <w:t>ɗ</w:t>
            </w:r>
          </w:p>
        </w:tc>
        <w:tc>
          <w:tcPr>
            <w:tcW w:w="1134" w:type="dxa"/>
            <w:tcMar>
              <w:top w:w="0" w:type="dxa"/>
              <w:left w:w="108" w:type="dxa"/>
              <w:bottom w:w="0" w:type="dxa"/>
              <w:right w:w="108" w:type="dxa"/>
            </w:tcMar>
          </w:tcPr>
          <w:p w:rsidR="00525A72" w:rsidRDefault="00FB5132">
            <w:r>
              <w:rPr>
                <w:sz w:val="24"/>
                <w:szCs w:val="24"/>
              </w:rPr>
              <w:t>0257</w:t>
            </w:r>
          </w:p>
        </w:tc>
        <w:tc>
          <w:tcPr>
            <w:tcW w:w="4059" w:type="dxa"/>
            <w:tcMar>
              <w:top w:w="0" w:type="dxa"/>
              <w:left w:w="108" w:type="dxa"/>
              <w:bottom w:w="0" w:type="dxa"/>
              <w:right w:w="108" w:type="dxa"/>
            </w:tcMar>
          </w:tcPr>
          <w:p w:rsidR="00525A72" w:rsidRDefault="00FB5132">
            <w:r>
              <w:rPr>
                <w:sz w:val="24"/>
                <w:szCs w:val="24"/>
              </w:rPr>
              <w:t> </w:t>
            </w:r>
          </w:p>
        </w:tc>
      </w:tr>
      <w:tr w:rsidR="00525A72">
        <w:tc>
          <w:tcPr>
            <w:tcW w:w="846" w:type="dxa"/>
            <w:tcMar>
              <w:top w:w="0" w:type="dxa"/>
              <w:left w:w="108" w:type="dxa"/>
              <w:bottom w:w="0" w:type="dxa"/>
              <w:right w:w="108" w:type="dxa"/>
            </w:tcMar>
          </w:tcPr>
          <w:p w:rsidR="00525A72" w:rsidRDefault="00525A72">
            <w:pPr>
              <w:numPr>
                <w:ilvl w:val="0"/>
                <w:numId w:val="1"/>
              </w:numPr>
              <w:pBdr>
                <w:top w:val="nil"/>
                <w:left w:val="nil"/>
                <w:bottom w:val="nil"/>
                <w:right w:val="nil"/>
                <w:between w:val="nil"/>
              </w:pBdr>
              <w:ind w:left="0" w:firstLine="0"/>
              <w:contextualSpacing/>
              <w:rPr>
                <w:color w:val="000000"/>
                <w:sz w:val="24"/>
                <w:szCs w:val="24"/>
              </w:rPr>
            </w:pPr>
          </w:p>
        </w:tc>
        <w:tc>
          <w:tcPr>
            <w:tcW w:w="1134" w:type="dxa"/>
            <w:tcMar>
              <w:top w:w="0" w:type="dxa"/>
              <w:left w:w="108" w:type="dxa"/>
              <w:bottom w:w="0" w:type="dxa"/>
              <w:right w:w="108" w:type="dxa"/>
            </w:tcMar>
          </w:tcPr>
          <w:p w:rsidR="00525A72" w:rsidRDefault="00FB5132">
            <w:r>
              <w:rPr>
                <w:sz w:val="24"/>
                <w:szCs w:val="24"/>
              </w:rPr>
              <w:t>00F5</w:t>
            </w:r>
          </w:p>
        </w:tc>
        <w:tc>
          <w:tcPr>
            <w:tcW w:w="992" w:type="dxa"/>
            <w:tcMar>
              <w:top w:w="0" w:type="dxa"/>
              <w:left w:w="108" w:type="dxa"/>
              <w:bottom w:w="0" w:type="dxa"/>
              <w:right w:w="108" w:type="dxa"/>
            </w:tcMar>
          </w:tcPr>
          <w:p w:rsidR="00525A72" w:rsidRDefault="00FB5132">
            <w:r>
              <w:rPr>
                <w:sz w:val="24"/>
                <w:szCs w:val="24"/>
              </w:rPr>
              <w:t>õ </w:t>
            </w:r>
          </w:p>
        </w:tc>
        <w:tc>
          <w:tcPr>
            <w:tcW w:w="851" w:type="dxa"/>
            <w:tcMar>
              <w:top w:w="0" w:type="dxa"/>
              <w:left w:w="108" w:type="dxa"/>
              <w:bottom w:w="0" w:type="dxa"/>
              <w:right w:w="108" w:type="dxa"/>
            </w:tcMar>
          </w:tcPr>
          <w:p w:rsidR="00525A72" w:rsidRDefault="00FB5132">
            <w:r>
              <w:rPr>
                <w:sz w:val="24"/>
                <w:szCs w:val="24"/>
              </w:rPr>
              <w:t>ō</w:t>
            </w:r>
          </w:p>
        </w:tc>
        <w:tc>
          <w:tcPr>
            <w:tcW w:w="1134" w:type="dxa"/>
            <w:tcMar>
              <w:top w:w="0" w:type="dxa"/>
              <w:left w:w="108" w:type="dxa"/>
              <w:bottom w:w="0" w:type="dxa"/>
              <w:right w:w="108" w:type="dxa"/>
            </w:tcMar>
          </w:tcPr>
          <w:p w:rsidR="00525A72" w:rsidRDefault="00FB5132">
            <w:r>
              <w:rPr>
                <w:sz w:val="24"/>
                <w:szCs w:val="24"/>
              </w:rPr>
              <w:t>014D</w:t>
            </w:r>
          </w:p>
        </w:tc>
        <w:tc>
          <w:tcPr>
            <w:tcW w:w="4059" w:type="dxa"/>
            <w:tcMar>
              <w:top w:w="0" w:type="dxa"/>
              <w:left w:w="108" w:type="dxa"/>
              <w:bottom w:w="0" w:type="dxa"/>
              <w:right w:w="108" w:type="dxa"/>
            </w:tcMar>
          </w:tcPr>
          <w:p w:rsidR="00525A72" w:rsidRDefault="00FB5132">
            <w:r>
              <w:rPr>
                <w:sz w:val="24"/>
                <w:szCs w:val="24"/>
              </w:rPr>
              <w:t> </w:t>
            </w:r>
          </w:p>
        </w:tc>
      </w:tr>
      <w:tr w:rsidR="00525A72">
        <w:tc>
          <w:tcPr>
            <w:tcW w:w="846" w:type="dxa"/>
            <w:tcMar>
              <w:top w:w="0" w:type="dxa"/>
              <w:left w:w="108" w:type="dxa"/>
              <w:bottom w:w="0" w:type="dxa"/>
              <w:right w:w="108" w:type="dxa"/>
            </w:tcMar>
          </w:tcPr>
          <w:p w:rsidR="00525A72" w:rsidRDefault="00525A72">
            <w:pPr>
              <w:numPr>
                <w:ilvl w:val="0"/>
                <w:numId w:val="1"/>
              </w:numPr>
              <w:pBdr>
                <w:top w:val="nil"/>
                <w:left w:val="nil"/>
                <w:bottom w:val="nil"/>
                <w:right w:val="nil"/>
                <w:between w:val="nil"/>
              </w:pBdr>
              <w:ind w:left="0" w:firstLine="0"/>
              <w:contextualSpacing/>
              <w:rPr>
                <w:color w:val="000000"/>
                <w:sz w:val="24"/>
                <w:szCs w:val="24"/>
              </w:rPr>
            </w:pPr>
          </w:p>
        </w:tc>
        <w:tc>
          <w:tcPr>
            <w:tcW w:w="1134" w:type="dxa"/>
            <w:tcMar>
              <w:top w:w="0" w:type="dxa"/>
              <w:left w:w="108" w:type="dxa"/>
              <w:bottom w:w="0" w:type="dxa"/>
              <w:right w:w="108" w:type="dxa"/>
            </w:tcMar>
          </w:tcPr>
          <w:p w:rsidR="00525A72" w:rsidRDefault="00FB5132">
            <w:r>
              <w:rPr>
                <w:sz w:val="24"/>
                <w:szCs w:val="24"/>
              </w:rPr>
              <w:t>0069</w:t>
            </w:r>
          </w:p>
        </w:tc>
        <w:tc>
          <w:tcPr>
            <w:tcW w:w="992" w:type="dxa"/>
            <w:tcMar>
              <w:top w:w="0" w:type="dxa"/>
              <w:left w:w="108" w:type="dxa"/>
              <w:bottom w:w="0" w:type="dxa"/>
              <w:right w:w="108" w:type="dxa"/>
            </w:tcMar>
          </w:tcPr>
          <w:p w:rsidR="00525A72" w:rsidRDefault="00FB5132">
            <w:r>
              <w:rPr>
                <w:sz w:val="24"/>
                <w:szCs w:val="24"/>
              </w:rPr>
              <w:t>i</w:t>
            </w:r>
          </w:p>
        </w:tc>
        <w:tc>
          <w:tcPr>
            <w:tcW w:w="851" w:type="dxa"/>
            <w:tcMar>
              <w:top w:w="0" w:type="dxa"/>
              <w:left w:w="108" w:type="dxa"/>
              <w:bottom w:w="0" w:type="dxa"/>
              <w:right w:w="108" w:type="dxa"/>
            </w:tcMar>
          </w:tcPr>
          <w:p w:rsidR="00525A72" w:rsidRDefault="00FB5132">
            <w:r>
              <w:rPr>
                <w:sz w:val="24"/>
                <w:szCs w:val="24"/>
              </w:rPr>
              <w:t>ı</w:t>
            </w:r>
          </w:p>
        </w:tc>
        <w:tc>
          <w:tcPr>
            <w:tcW w:w="1134" w:type="dxa"/>
            <w:tcMar>
              <w:top w:w="0" w:type="dxa"/>
              <w:left w:w="108" w:type="dxa"/>
              <w:bottom w:w="0" w:type="dxa"/>
              <w:right w:w="108" w:type="dxa"/>
            </w:tcMar>
          </w:tcPr>
          <w:p w:rsidR="00525A72" w:rsidRDefault="00FB5132">
            <w:r>
              <w:rPr>
                <w:sz w:val="24"/>
                <w:szCs w:val="24"/>
              </w:rPr>
              <w:t>0131</w:t>
            </w:r>
          </w:p>
        </w:tc>
        <w:tc>
          <w:tcPr>
            <w:tcW w:w="4059" w:type="dxa"/>
            <w:tcMar>
              <w:top w:w="0" w:type="dxa"/>
              <w:left w:w="108" w:type="dxa"/>
              <w:bottom w:w="0" w:type="dxa"/>
              <w:right w:w="108" w:type="dxa"/>
            </w:tcMar>
          </w:tcPr>
          <w:p w:rsidR="00525A72" w:rsidRDefault="00FB5132">
            <w:r>
              <w:rPr>
                <w:sz w:val="24"/>
                <w:szCs w:val="24"/>
              </w:rPr>
              <w:t> </w:t>
            </w:r>
          </w:p>
        </w:tc>
      </w:tr>
      <w:tr w:rsidR="00525A72">
        <w:tc>
          <w:tcPr>
            <w:tcW w:w="846" w:type="dxa"/>
            <w:tcMar>
              <w:top w:w="0" w:type="dxa"/>
              <w:left w:w="108" w:type="dxa"/>
              <w:bottom w:w="0" w:type="dxa"/>
              <w:right w:w="108" w:type="dxa"/>
            </w:tcMar>
          </w:tcPr>
          <w:p w:rsidR="00525A72" w:rsidRDefault="00525A72">
            <w:pPr>
              <w:numPr>
                <w:ilvl w:val="0"/>
                <w:numId w:val="1"/>
              </w:numPr>
              <w:pBdr>
                <w:top w:val="nil"/>
                <w:left w:val="nil"/>
                <w:bottom w:val="nil"/>
                <w:right w:val="nil"/>
                <w:between w:val="nil"/>
              </w:pBdr>
              <w:ind w:left="0" w:firstLine="0"/>
              <w:contextualSpacing/>
              <w:rPr>
                <w:color w:val="000000"/>
                <w:sz w:val="24"/>
                <w:szCs w:val="24"/>
              </w:rPr>
            </w:pPr>
          </w:p>
        </w:tc>
        <w:tc>
          <w:tcPr>
            <w:tcW w:w="1134" w:type="dxa"/>
            <w:tcMar>
              <w:top w:w="0" w:type="dxa"/>
              <w:left w:w="108" w:type="dxa"/>
              <w:bottom w:w="0" w:type="dxa"/>
              <w:right w:w="108" w:type="dxa"/>
            </w:tcMar>
          </w:tcPr>
          <w:p w:rsidR="00525A72" w:rsidRDefault="00FB5132">
            <w:pPr>
              <w:rPr>
                <w:sz w:val="24"/>
                <w:szCs w:val="24"/>
              </w:rPr>
            </w:pPr>
            <w:r>
              <w:rPr>
                <w:sz w:val="24"/>
                <w:szCs w:val="24"/>
              </w:rPr>
              <w:t>1E35</w:t>
            </w:r>
          </w:p>
        </w:tc>
        <w:tc>
          <w:tcPr>
            <w:tcW w:w="992" w:type="dxa"/>
            <w:tcMar>
              <w:top w:w="0" w:type="dxa"/>
              <w:left w:w="108" w:type="dxa"/>
              <w:bottom w:w="0" w:type="dxa"/>
              <w:right w:w="108" w:type="dxa"/>
            </w:tcMar>
          </w:tcPr>
          <w:p w:rsidR="00525A72" w:rsidRDefault="00FB5132">
            <w:pPr>
              <w:pBdr>
                <w:top w:val="nil"/>
                <w:left w:val="nil"/>
                <w:bottom w:val="nil"/>
                <w:right w:val="nil"/>
                <w:between w:val="nil"/>
              </w:pBdr>
              <w:rPr>
                <w:color w:val="000000"/>
                <w:sz w:val="24"/>
                <w:szCs w:val="24"/>
              </w:rPr>
            </w:pPr>
            <w:r>
              <w:rPr>
                <w:color w:val="000000"/>
                <w:sz w:val="24"/>
                <w:szCs w:val="24"/>
              </w:rPr>
              <w:t>ḵ</w:t>
            </w:r>
          </w:p>
        </w:tc>
        <w:tc>
          <w:tcPr>
            <w:tcW w:w="851" w:type="dxa"/>
            <w:tcMar>
              <w:top w:w="0" w:type="dxa"/>
              <w:left w:w="108" w:type="dxa"/>
              <w:bottom w:w="0" w:type="dxa"/>
              <w:right w:w="108" w:type="dxa"/>
            </w:tcMar>
          </w:tcPr>
          <w:p w:rsidR="00525A72" w:rsidRDefault="00FB5132">
            <w:pPr>
              <w:rPr>
                <w:sz w:val="24"/>
                <w:szCs w:val="24"/>
              </w:rPr>
            </w:pPr>
            <w:r>
              <w:rPr>
                <w:color w:val="000000"/>
                <w:sz w:val="24"/>
                <w:szCs w:val="24"/>
              </w:rPr>
              <w:t>k</w:t>
            </w:r>
          </w:p>
        </w:tc>
        <w:tc>
          <w:tcPr>
            <w:tcW w:w="1134" w:type="dxa"/>
            <w:tcMar>
              <w:top w:w="0" w:type="dxa"/>
              <w:left w:w="108" w:type="dxa"/>
              <w:bottom w:w="0" w:type="dxa"/>
              <w:right w:w="108" w:type="dxa"/>
            </w:tcMar>
          </w:tcPr>
          <w:p w:rsidR="00525A72" w:rsidRDefault="00FB5132">
            <w:pPr>
              <w:rPr>
                <w:sz w:val="24"/>
                <w:szCs w:val="24"/>
              </w:rPr>
            </w:pPr>
            <w:r>
              <w:rPr>
                <w:sz w:val="24"/>
                <w:szCs w:val="24"/>
              </w:rPr>
              <w:t>006B</w:t>
            </w:r>
          </w:p>
        </w:tc>
        <w:tc>
          <w:tcPr>
            <w:tcW w:w="4059" w:type="dxa"/>
            <w:tcMar>
              <w:top w:w="0" w:type="dxa"/>
              <w:left w:w="108" w:type="dxa"/>
              <w:bottom w:w="0" w:type="dxa"/>
              <w:right w:w="108" w:type="dxa"/>
            </w:tcMar>
          </w:tcPr>
          <w:p w:rsidR="00525A72" w:rsidRDefault="00525A72">
            <w:pPr>
              <w:rPr>
                <w:sz w:val="24"/>
                <w:szCs w:val="24"/>
              </w:rPr>
            </w:pPr>
          </w:p>
        </w:tc>
      </w:tr>
      <w:tr w:rsidR="00525A72">
        <w:tc>
          <w:tcPr>
            <w:tcW w:w="846" w:type="dxa"/>
            <w:tcMar>
              <w:top w:w="0" w:type="dxa"/>
              <w:left w:w="108" w:type="dxa"/>
              <w:bottom w:w="0" w:type="dxa"/>
              <w:right w:w="108" w:type="dxa"/>
            </w:tcMar>
          </w:tcPr>
          <w:p w:rsidR="00525A72" w:rsidRDefault="00525A72">
            <w:pPr>
              <w:numPr>
                <w:ilvl w:val="0"/>
                <w:numId w:val="1"/>
              </w:numPr>
              <w:pBdr>
                <w:top w:val="nil"/>
                <w:left w:val="nil"/>
                <w:bottom w:val="nil"/>
                <w:right w:val="nil"/>
                <w:between w:val="nil"/>
              </w:pBdr>
              <w:ind w:left="0" w:firstLine="0"/>
              <w:contextualSpacing/>
              <w:rPr>
                <w:color w:val="000000"/>
                <w:sz w:val="24"/>
                <w:szCs w:val="24"/>
              </w:rPr>
            </w:pPr>
          </w:p>
        </w:tc>
        <w:tc>
          <w:tcPr>
            <w:tcW w:w="1134" w:type="dxa"/>
            <w:tcMar>
              <w:top w:w="0" w:type="dxa"/>
              <w:left w:w="108" w:type="dxa"/>
              <w:bottom w:w="0" w:type="dxa"/>
              <w:right w:w="108" w:type="dxa"/>
            </w:tcMar>
          </w:tcPr>
          <w:p w:rsidR="00525A72" w:rsidRDefault="00FB5132">
            <w:pPr>
              <w:rPr>
                <w:sz w:val="24"/>
                <w:szCs w:val="24"/>
              </w:rPr>
            </w:pPr>
            <w:r>
              <w:rPr>
                <w:sz w:val="24"/>
                <w:szCs w:val="24"/>
              </w:rPr>
              <w:t>0137</w:t>
            </w:r>
          </w:p>
        </w:tc>
        <w:tc>
          <w:tcPr>
            <w:tcW w:w="992" w:type="dxa"/>
            <w:tcMar>
              <w:top w:w="0" w:type="dxa"/>
              <w:left w:w="108" w:type="dxa"/>
              <w:bottom w:w="0" w:type="dxa"/>
              <w:right w:w="108" w:type="dxa"/>
            </w:tcMar>
          </w:tcPr>
          <w:p w:rsidR="00525A72" w:rsidRDefault="00FB5132">
            <w:pPr>
              <w:rPr>
                <w:sz w:val="24"/>
                <w:szCs w:val="24"/>
              </w:rPr>
            </w:pPr>
            <w:r>
              <w:rPr>
                <w:color w:val="000000"/>
                <w:sz w:val="24"/>
                <w:szCs w:val="24"/>
              </w:rPr>
              <w:t>ķ</w:t>
            </w:r>
          </w:p>
        </w:tc>
        <w:tc>
          <w:tcPr>
            <w:tcW w:w="851" w:type="dxa"/>
            <w:tcMar>
              <w:top w:w="0" w:type="dxa"/>
              <w:left w:w="108" w:type="dxa"/>
              <w:bottom w:w="0" w:type="dxa"/>
              <w:right w:w="108" w:type="dxa"/>
            </w:tcMar>
          </w:tcPr>
          <w:p w:rsidR="00525A72" w:rsidRDefault="00FB5132">
            <w:pPr>
              <w:rPr>
                <w:sz w:val="24"/>
                <w:szCs w:val="24"/>
              </w:rPr>
            </w:pPr>
            <w:r>
              <w:rPr>
                <w:color w:val="000000"/>
                <w:sz w:val="24"/>
                <w:szCs w:val="24"/>
              </w:rPr>
              <w:t>k</w:t>
            </w:r>
          </w:p>
        </w:tc>
        <w:tc>
          <w:tcPr>
            <w:tcW w:w="1134" w:type="dxa"/>
            <w:tcMar>
              <w:top w:w="0" w:type="dxa"/>
              <w:left w:w="108" w:type="dxa"/>
              <w:bottom w:w="0" w:type="dxa"/>
              <w:right w:w="108" w:type="dxa"/>
            </w:tcMar>
          </w:tcPr>
          <w:p w:rsidR="00525A72" w:rsidRDefault="00FB5132">
            <w:pPr>
              <w:rPr>
                <w:sz w:val="24"/>
                <w:szCs w:val="24"/>
              </w:rPr>
            </w:pPr>
            <w:r>
              <w:rPr>
                <w:sz w:val="24"/>
                <w:szCs w:val="24"/>
              </w:rPr>
              <w:t>006B</w:t>
            </w:r>
          </w:p>
        </w:tc>
        <w:tc>
          <w:tcPr>
            <w:tcW w:w="4059" w:type="dxa"/>
            <w:tcMar>
              <w:top w:w="0" w:type="dxa"/>
              <w:left w:w="108" w:type="dxa"/>
              <w:bottom w:w="0" w:type="dxa"/>
              <w:right w:w="108" w:type="dxa"/>
            </w:tcMar>
          </w:tcPr>
          <w:p w:rsidR="00525A72" w:rsidRDefault="00525A72">
            <w:pPr>
              <w:rPr>
                <w:sz w:val="24"/>
                <w:szCs w:val="24"/>
              </w:rPr>
            </w:pPr>
          </w:p>
        </w:tc>
      </w:tr>
      <w:tr w:rsidR="00525A72">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525A72">
            <w:pPr>
              <w:numPr>
                <w:ilvl w:val="0"/>
                <w:numId w:val="1"/>
              </w:numPr>
              <w:pBdr>
                <w:top w:val="nil"/>
                <w:left w:val="nil"/>
                <w:bottom w:val="nil"/>
                <w:right w:val="nil"/>
                <w:between w:val="nil"/>
              </w:pBdr>
              <w:ind w:left="0" w:firstLine="0"/>
              <w:contextualSpacing/>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FB5132">
            <w:pPr>
              <w:rPr>
                <w:sz w:val="24"/>
                <w:szCs w:val="24"/>
              </w:rPr>
            </w:pPr>
            <w:r>
              <w:rPr>
                <w:sz w:val="24"/>
                <w:szCs w:val="24"/>
              </w:rPr>
              <w:t>014D</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FB5132">
            <w:pPr>
              <w:rPr>
                <w:color w:val="000000"/>
                <w:sz w:val="24"/>
                <w:szCs w:val="24"/>
              </w:rPr>
            </w:pPr>
            <w:r>
              <w:rPr>
                <w:color w:val="000000"/>
                <w:sz w:val="24"/>
                <w:szCs w:val="24"/>
              </w:rPr>
              <w:t>ō</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FB5132">
            <w:pPr>
              <w:rPr>
                <w:color w:val="000000"/>
                <w:sz w:val="24"/>
                <w:szCs w:val="24"/>
              </w:rPr>
            </w:pPr>
            <w:r>
              <w:rPr>
                <w:color w:val="000000"/>
                <w:sz w:val="24"/>
                <w:szCs w:val="24"/>
              </w:rPr>
              <w:t>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FB5132">
            <w:pPr>
              <w:rPr>
                <w:sz w:val="24"/>
                <w:szCs w:val="24"/>
              </w:rPr>
            </w:pPr>
            <w:r>
              <w:rPr>
                <w:sz w:val="24"/>
                <w:szCs w:val="24"/>
              </w:rPr>
              <w:t>006F</w:t>
            </w:r>
          </w:p>
        </w:tc>
        <w:tc>
          <w:tcPr>
            <w:tcW w:w="4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525A72">
            <w:pPr>
              <w:rPr>
                <w:sz w:val="24"/>
                <w:szCs w:val="24"/>
              </w:rPr>
            </w:pPr>
          </w:p>
        </w:tc>
      </w:tr>
      <w:tr w:rsidR="00525A72">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FB5132">
            <w:pPr>
              <w:pBdr>
                <w:top w:val="nil"/>
                <w:left w:val="nil"/>
                <w:bottom w:val="nil"/>
                <w:right w:val="nil"/>
                <w:between w:val="nil"/>
              </w:pBdr>
              <w:rPr>
                <w:color w:val="000000"/>
                <w:sz w:val="24"/>
                <w:szCs w:val="24"/>
              </w:rPr>
            </w:pPr>
            <w:r>
              <w:rPr>
                <w:sz w:val="24"/>
                <w:szCs w:val="24"/>
              </w:rPr>
              <w:t>14.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FB5132">
            <w:pPr>
              <w:rPr>
                <w:sz w:val="24"/>
                <w:szCs w:val="24"/>
              </w:rPr>
            </w:pPr>
            <w:r>
              <w:rPr>
                <w:sz w:val="24"/>
                <w:szCs w:val="24"/>
              </w:rPr>
              <w:t>1E37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FB5132">
            <w:pPr>
              <w:rPr>
                <w:color w:val="000000"/>
                <w:sz w:val="24"/>
                <w:szCs w:val="24"/>
              </w:rPr>
            </w:pPr>
            <w:r>
              <w:rPr>
                <w:sz w:val="24"/>
                <w:szCs w:val="24"/>
              </w:rPr>
              <w:t>ḷ</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FB5132">
            <w:pPr>
              <w:rPr>
                <w:color w:val="000000"/>
                <w:sz w:val="24"/>
                <w:szCs w:val="24"/>
              </w:rPr>
            </w:pPr>
            <w:r>
              <w:rPr>
                <w:sz w:val="24"/>
                <w:szCs w:val="24"/>
              </w:rPr>
              <w:t xml:space="preserve">l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FB5132">
            <w:pPr>
              <w:rPr>
                <w:sz w:val="24"/>
                <w:szCs w:val="24"/>
              </w:rPr>
            </w:pPr>
            <w:r>
              <w:rPr>
                <w:sz w:val="24"/>
                <w:szCs w:val="24"/>
              </w:rPr>
              <w:t>006C</w:t>
            </w:r>
          </w:p>
        </w:tc>
        <w:tc>
          <w:tcPr>
            <w:tcW w:w="4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525A72">
            <w:pPr>
              <w:rPr>
                <w:sz w:val="24"/>
                <w:szCs w:val="24"/>
              </w:rPr>
            </w:pPr>
          </w:p>
        </w:tc>
      </w:tr>
      <w:tr w:rsidR="00525A72">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FB5132">
            <w:pPr>
              <w:pBdr>
                <w:top w:val="nil"/>
                <w:left w:val="nil"/>
                <w:bottom w:val="nil"/>
                <w:right w:val="nil"/>
                <w:between w:val="nil"/>
              </w:pBdr>
              <w:rPr>
                <w:sz w:val="24"/>
                <w:szCs w:val="24"/>
              </w:rPr>
            </w:pPr>
            <w:r>
              <w:rPr>
                <w:sz w:val="24"/>
                <w:szCs w:val="24"/>
              </w:rPr>
              <w:t>15.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FB5132">
            <w:pPr>
              <w:rPr>
                <w:sz w:val="24"/>
                <w:szCs w:val="24"/>
              </w:rPr>
            </w:pPr>
            <w:r>
              <w:rPr>
                <w:sz w:val="24"/>
                <w:szCs w:val="24"/>
              </w:rPr>
              <w:t>010B</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FB5132">
            <w:pPr>
              <w:rPr>
                <w:sz w:val="24"/>
                <w:szCs w:val="24"/>
              </w:rPr>
            </w:pPr>
            <w:r>
              <w:rPr>
                <w:sz w:val="24"/>
                <w:szCs w:val="24"/>
              </w:rPr>
              <w:t>ċ</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FB5132">
            <w:pPr>
              <w:rPr>
                <w:sz w:val="24"/>
                <w:szCs w:val="24"/>
              </w:rPr>
            </w:pPr>
            <w:r>
              <w:rPr>
                <w:sz w:val="24"/>
                <w:szCs w:val="24"/>
              </w:rPr>
              <w:t>c</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FB5132">
            <w:pPr>
              <w:rPr>
                <w:sz w:val="24"/>
                <w:szCs w:val="24"/>
              </w:rPr>
            </w:pPr>
            <w:r>
              <w:rPr>
                <w:sz w:val="24"/>
                <w:szCs w:val="24"/>
              </w:rPr>
              <w:t>0063</w:t>
            </w:r>
          </w:p>
        </w:tc>
        <w:tc>
          <w:tcPr>
            <w:tcW w:w="4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525A72">
            <w:pPr>
              <w:rPr>
                <w:sz w:val="24"/>
                <w:szCs w:val="24"/>
              </w:rPr>
            </w:pPr>
          </w:p>
        </w:tc>
      </w:tr>
      <w:tr w:rsidR="00525A72">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FB5132">
            <w:pPr>
              <w:pBdr>
                <w:top w:val="nil"/>
                <w:left w:val="nil"/>
                <w:bottom w:val="nil"/>
                <w:right w:val="nil"/>
                <w:between w:val="nil"/>
              </w:pBdr>
              <w:rPr>
                <w:sz w:val="24"/>
                <w:szCs w:val="24"/>
              </w:rPr>
            </w:pPr>
            <w:r>
              <w:rPr>
                <w:sz w:val="24"/>
                <w:szCs w:val="24"/>
              </w:rPr>
              <w:t>16.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FB5132">
            <w:pPr>
              <w:rPr>
                <w:sz w:val="24"/>
                <w:szCs w:val="24"/>
              </w:rPr>
            </w:pPr>
            <w:r>
              <w:rPr>
                <w:sz w:val="24"/>
                <w:szCs w:val="24"/>
              </w:rPr>
              <w:t>006C</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FB5132">
            <w:pPr>
              <w:rPr>
                <w:sz w:val="24"/>
                <w:szCs w:val="24"/>
              </w:rPr>
            </w:pPr>
            <w:r>
              <w:rPr>
                <w:sz w:val="24"/>
                <w:szCs w:val="24"/>
              </w:rPr>
              <w:t>m</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FB5132">
            <w:pPr>
              <w:rPr>
                <w:sz w:val="24"/>
                <w:szCs w:val="24"/>
              </w:rPr>
            </w:pPr>
            <w:r>
              <w:rPr>
                <w:sz w:val="24"/>
                <w:szCs w:val="24"/>
              </w:rPr>
              <w:t>м</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FB5132">
            <w:pPr>
              <w:rPr>
                <w:sz w:val="24"/>
                <w:szCs w:val="24"/>
              </w:rPr>
            </w:pPr>
            <w:r>
              <w:rPr>
                <w:sz w:val="24"/>
                <w:szCs w:val="24"/>
              </w:rPr>
              <w:t>043C</w:t>
            </w:r>
          </w:p>
        </w:tc>
        <w:tc>
          <w:tcPr>
            <w:tcW w:w="4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525A72">
            <w:pPr>
              <w:rPr>
                <w:sz w:val="24"/>
                <w:szCs w:val="24"/>
              </w:rPr>
            </w:pPr>
          </w:p>
        </w:tc>
      </w:tr>
      <w:tr w:rsidR="00525A72">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FB5132">
            <w:pPr>
              <w:pBdr>
                <w:top w:val="nil"/>
                <w:left w:val="nil"/>
                <w:bottom w:val="nil"/>
                <w:right w:val="nil"/>
                <w:between w:val="nil"/>
              </w:pBdr>
              <w:rPr>
                <w:sz w:val="24"/>
                <w:szCs w:val="24"/>
              </w:rPr>
            </w:pPr>
            <w:r>
              <w:rPr>
                <w:sz w:val="24"/>
                <w:szCs w:val="24"/>
              </w:rPr>
              <w:t>17.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FB5132">
            <w:pPr>
              <w:rPr>
                <w:sz w:val="24"/>
                <w:szCs w:val="24"/>
              </w:rPr>
            </w:pPr>
            <w:r>
              <w:rPr>
                <w:sz w:val="24"/>
                <w:szCs w:val="24"/>
              </w:rPr>
              <w:t>014B</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FB5132">
            <w:pPr>
              <w:rPr>
                <w:sz w:val="24"/>
                <w:szCs w:val="24"/>
              </w:rPr>
            </w:pPr>
            <w:r>
              <w:rPr>
                <w:rFonts w:ascii="Arial" w:eastAsia="Arial" w:hAnsi="Arial" w:cs="Arial"/>
                <w:sz w:val="24"/>
                <w:szCs w:val="24"/>
              </w:rPr>
              <w:t>ŋ</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FB5132">
            <w:pPr>
              <w:rPr>
                <w:sz w:val="24"/>
                <w:szCs w:val="24"/>
              </w:rPr>
            </w:pPr>
            <w:r>
              <w:rPr>
                <w:rFonts w:ascii="Arial" w:eastAsia="Arial" w:hAnsi="Arial" w:cs="Arial"/>
                <w:sz w:val="24"/>
                <w:szCs w:val="24"/>
              </w:rPr>
              <w:t>η</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FB5132">
            <w:pPr>
              <w:rPr>
                <w:sz w:val="24"/>
                <w:szCs w:val="24"/>
              </w:rPr>
            </w:pPr>
            <w:r>
              <w:rPr>
                <w:sz w:val="24"/>
                <w:szCs w:val="24"/>
              </w:rPr>
              <w:t>03B7</w:t>
            </w:r>
          </w:p>
        </w:tc>
        <w:tc>
          <w:tcPr>
            <w:tcW w:w="4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525A72">
            <w:pPr>
              <w:rPr>
                <w:sz w:val="24"/>
                <w:szCs w:val="24"/>
              </w:rPr>
            </w:pPr>
          </w:p>
        </w:tc>
      </w:tr>
      <w:tr w:rsidR="00525A72">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FB5132">
            <w:pPr>
              <w:pBdr>
                <w:top w:val="nil"/>
                <w:left w:val="nil"/>
                <w:bottom w:val="nil"/>
                <w:right w:val="nil"/>
                <w:between w:val="nil"/>
              </w:pBdr>
              <w:rPr>
                <w:sz w:val="24"/>
                <w:szCs w:val="24"/>
              </w:rPr>
            </w:pPr>
            <w:r>
              <w:rPr>
                <w:sz w:val="24"/>
                <w:szCs w:val="24"/>
              </w:rPr>
              <w:t>18.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FB5132">
            <w:pPr>
              <w:rPr>
                <w:sz w:val="24"/>
                <w:szCs w:val="24"/>
              </w:rPr>
            </w:pPr>
            <w:r>
              <w:rPr>
                <w:rFonts w:ascii="Arial" w:eastAsia="Arial" w:hAnsi="Arial" w:cs="Arial"/>
                <w:sz w:val="24"/>
                <w:szCs w:val="24"/>
              </w:rPr>
              <w:t>0062 + 006C</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FB5132">
            <w:pPr>
              <w:rPr>
                <w:rFonts w:ascii="Arial" w:eastAsia="Arial" w:hAnsi="Arial" w:cs="Arial"/>
                <w:sz w:val="24"/>
                <w:szCs w:val="24"/>
              </w:rPr>
            </w:pPr>
            <w:r>
              <w:rPr>
                <w:rFonts w:ascii="Arial" w:eastAsia="Arial" w:hAnsi="Arial" w:cs="Arial"/>
                <w:sz w:val="24"/>
                <w:szCs w:val="24"/>
              </w:rPr>
              <w:t>bl</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FB5132">
            <w:pPr>
              <w:rPr>
                <w:rFonts w:ascii="Arial" w:eastAsia="Arial" w:hAnsi="Arial" w:cs="Arial"/>
                <w:sz w:val="24"/>
                <w:szCs w:val="24"/>
              </w:rPr>
            </w:pPr>
            <w:r>
              <w:rPr>
                <w:rFonts w:ascii="Arial" w:eastAsia="Arial" w:hAnsi="Arial" w:cs="Arial"/>
                <w:sz w:val="24"/>
                <w:szCs w:val="24"/>
              </w:rPr>
              <w:t>ы</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FB5132">
            <w:pPr>
              <w:rPr>
                <w:sz w:val="24"/>
                <w:szCs w:val="24"/>
              </w:rPr>
            </w:pPr>
            <w:r>
              <w:rPr>
                <w:sz w:val="24"/>
                <w:szCs w:val="24"/>
              </w:rPr>
              <w:t>044B</w:t>
            </w:r>
          </w:p>
        </w:tc>
        <w:tc>
          <w:tcPr>
            <w:tcW w:w="4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A72" w:rsidRDefault="00525A72">
            <w:pPr>
              <w:rPr>
                <w:sz w:val="24"/>
                <w:szCs w:val="24"/>
              </w:rPr>
            </w:pPr>
          </w:p>
        </w:tc>
      </w:tr>
    </w:tbl>
    <w:p w:rsidR="00525A72" w:rsidRDefault="00FB5132">
      <w:pPr>
        <w:ind w:left="720"/>
        <w:rPr>
          <w:color w:val="000000"/>
        </w:rPr>
      </w:pPr>
      <w:r>
        <w:rPr>
          <w:color w:val="000000"/>
          <w:sz w:val="24"/>
          <w:szCs w:val="24"/>
        </w:rPr>
        <w:t> </w:t>
      </w:r>
    </w:p>
    <w:p w:rsidR="00525A72" w:rsidRDefault="00525A72">
      <w:pPr>
        <w:ind w:left="720"/>
        <w:rPr>
          <w:color w:val="000000"/>
        </w:rPr>
      </w:pPr>
    </w:p>
    <w:p w:rsidR="00525A72" w:rsidRDefault="00FB5132">
      <w:pPr>
        <w:jc w:val="both"/>
        <w:rPr>
          <w:color w:val="000000"/>
        </w:rPr>
      </w:pPr>
      <w:r>
        <w:rPr>
          <w:color w:val="000000"/>
          <w:sz w:val="24"/>
          <w:szCs w:val="24"/>
        </w:rPr>
        <w:t>FYI, Case no 10 in the previous table, an experiment with a couple dozen native speakers of English found them unable to spot occurrences of the latter.  Even when told that there was a variation on the letter I somewhere in the text.</w:t>
      </w:r>
    </w:p>
    <w:p w:rsidR="00525A72" w:rsidRDefault="00FB5132">
      <w:pPr>
        <w:ind w:left="720"/>
        <w:rPr>
          <w:color w:val="000000"/>
        </w:rPr>
      </w:pPr>
      <w:r>
        <w:rPr>
          <w:color w:val="000000"/>
          <w:sz w:val="24"/>
          <w:szCs w:val="24"/>
        </w:rPr>
        <w:t> </w:t>
      </w:r>
    </w:p>
    <w:p w:rsidR="00525A72" w:rsidRDefault="00FB5132">
      <w:pPr>
        <w:rPr>
          <w:color w:val="000000"/>
        </w:rPr>
      </w:pPr>
      <w:r>
        <w:rPr>
          <w:color w:val="000000"/>
        </w:rPr>
        <w:t> </w:t>
      </w:r>
    </w:p>
    <w:p w:rsidR="00525A72" w:rsidRDefault="00525A72">
      <w:pPr>
        <w:rPr>
          <w:sz w:val="24"/>
          <w:szCs w:val="24"/>
        </w:rPr>
      </w:pPr>
    </w:p>
    <w:sectPr w:rsidR="00525A72">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3615A"/>
    <w:multiLevelType w:val="multilevel"/>
    <w:tmpl w:val="2BFE0F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72"/>
    <w:rsid w:val="00525A72"/>
    <w:rsid w:val="00CE3AEA"/>
    <w:rsid w:val="00D14FE2"/>
    <w:rsid w:val="00FB5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B566C22B-C2AE-544D-99FC-28E4C6EA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E3AE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3AEA"/>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CE3AEA"/>
    <w:rPr>
      <w:b/>
      <w:bCs/>
    </w:rPr>
  </w:style>
  <w:style w:type="character" w:customStyle="1" w:styleId="CommentSubjectChar">
    <w:name w:val="Comment Subject Char"/>
    <w:basedOn w:val="CommentTextChar"/>
    <w:link w:val="CommentSubject"/>
    <w:uiPriority w:val="99"/>
    <w:semiHidden/>
    <w:rsid w:val="00CE3A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Mirjana Tasić</cp:lastModifiedBy>
  <cp:revision>2</cp:revision>
  <dcterms:created xsi:type="dcterms:W3CDTF">2018-09-15T12:20:00Z</dcterms:created>
  <dcterms:modified xsi:type="dcterms:W3CDTF">2018-09-15T12:20:00Z</dcterms:modified>
</cp:coreProperties>
</file>