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56D" w:rsidRPr="00F52654" w:rsidRDefault="000E456D" w:rsidP="00F52654">
      <w:pPr>
        <w:spacing w:after="240" w:line="276" w:lineRule="auto"/>
        <w:rPr>
          <w:rFonts w:ascii="Arial" w:hAnsi="Arial" w:cs="Arial"/>
          <w:b/>
          <w:bCs/>
          <w:sz w:val="22"/>
          <w:szCs w:val="22"/>
          <w:shd w:val="clear" w:color="auto" w:fill="FFFFFF"/>
        </w:rPr>
      </w:pPr>
      <w:r w:rsidRPr="00F52654">
        <w:rPr>
          <w:rFonts w:ascii="Arial" w:hAnsi="Arial" w:cs="Arial"/>
          <w:b/>
          <w:bCs/>
          <w:sz w:val="22"/>
          <w:szCs w:val="22"/>
          <w:shd w:val="clear" w:color="auto" w:fill="FFFFFF"/>
        </w:rPr>
        <w:t>Latin Generation Panel (GP) Meeting</w:t>
      </w:r>
      <w:r w:rsidR="00F52654">
        <w:rPr>
          <w:rFonts w:ascii="Arial" w:hAnsi="Arial" w:cs="Arial"/>
          <w:b/>
          <w:bCs/>
          <w:sz w:val="22"/>
          <w:szCs w:val="22"/>
          <w:shd w:val="clear" w:color="auto" w:fill="FFFFFF"/>
        </w:rPr>
        <w:br/>
      </w:r>
      <w:r w:rsidRPr="00F52654">
        <w:rPr>
          <w:rFonts w:ascii="Arial" w:hAnsi="Arial" w:cs="Arial"/>
          <w:b/>
          <w:bCs/>
          <w:sz w:val="22"/>
          <w:szCs w:val="22"/>
          <w:lang w:eastAsia="en-SG"/>
        </w:rPr>
        <w:t>Notes from the meeting on 20 June 2019</w:t>
      </w:r>
    </w:p>
    <w:p w:rsidR="000E456D" w:rsidRPr="00F52654" w:rsidRDefault="000E456D" w:rsidP="00F52654">
      <w:pPr>
        <w:shd w:val="clear" w:color="auto" w:fill="FFFFFF"/>
        <w:spacing w:before="120" w:after="240" w:line="276" w:lineRule="auto"/>
        <w:rPr>
          <w:rFonts w:ascii="Arial" w:hAnsi="Arial" w:cs="Arial"/>
          <w:sz w:val="22"/>
          <w:szCs w:val="22"/>
          <w:lang w:eastAsia="en-SG"/>
        </w:rPr>
      </w:pPr>
      <w:r w:rsidRPr="00F52654">
        <w:rPr>
          <w:rFonts w:ascii="Arial" w:hAnsi="Arial" w:cs="Arial"/>
          <w:sz w:val="22"/>
          <w:szCs w:val="22"/>
          <w:lang w:eastAsia="en-SG"/>
        </w:rPr>
        <w:t>Meeting Attendees (in alphabetical order)</w:t>
      </w:r>
    </w:p>
    <w:p w:rsidR="000E456D" w:rsidRPr="00F52654" w:rsidRDefault="000E456D" w:rsidP="00F52654">
      <w:pPr>
        <w:shd w:val="clear" w:color="auto" w:fill="FFFFFF"/>
        <w:spacing w:line="276" w:lineRule="auto"/>
        <w:rPr>
          <w:rFonts w:ascii="Arial" w:hAnsi="Arial" w:cs="Arial"/>
          <w:sz w:val="22"/>
          <w:szCs w:val="22"/>
          <w:lang w:eastAsia="en-SG"/>
        </w:rPr>
      </w:pPr>
      <w:r w:rsidRPr="00F52654">
        <w:rPr>
          <w:rFonts w:ascii="Arial" w:hAnsi="Arial" w:cs="Arial"/>
          <w:sz w:val="22"/>
          <w:szCs w:val="22"/>
          <w:lang w:eastAsia="en-SG"/>
        </w:rPr>
        <w:tab/>
        <w:t>GP members:</w:t>
      </w:r>
    </w:p>
    <w:p w:rsidR="000E456D" w:rsidRPr="00F52654" w:rsidRDefault="000E456D" w:rsidP="00F52654">
      <w:pPr>
        <w:pStyle w:val="ListParagraph"/>
        <w:numPr>
          <w:ilvl w:val="0"/>
          <w:numId w:val="9"/>
        </w:numPr>
        <w:shd w:val="clear" w:color="auto" w:fill="FFFFFF"/>
        <w:spacing w:before="0" w:beforeAutospacing="0" w:after="240" w:afterAutospacing="0" w:line="276" w:lineRule="auto"/>
        <w:contextualSpacing/>
        <w:rPr>
          <w:rFonts w:ascii="Arial" w:hAnsi="Arial" w:cs="Arial"/>
          <w:shd w:val="clear" w:color="auto" w:fill="FFFFFF"/>
        </w:rPr>
      </w:pPr>
      <w:r w:rsidRPr="00F52654">
        <w:rPr>
          <w:rFonts w:ascii="Arial" w:hAnsi="Arial" w:cs="Arial"/>
          <w:shd w:val="clear" w:color="auto" w:fill="FFFFFF"/>
        </w:rPr>
        <w:t>Bill Jouris</w:t>
      </w:r>
    </w:p>
    <w:p w:rsidR="000E456D" w:rsidRPr="00F52654" w:rsidRDefault="000E456D" w:rsidP="00F52654">
      <w:pPr>
        <w:pStyle w:val="ListParagraph"/>
        <w:numPr>
          <w:ilvl w:val="0"/>
          <w:numId w:val="9"/>
        </w:numPr>
        <w:shd w:val="clear" w:color="auto" w:fill="FFFFFF"/>
        <w:spacing w:before="0" w:beforeAutospacing="0" w:after="240" w:afterAutospacing="0" w:line="276" w:lineRule="auto"/>
        <w:contextualSpacing/>
        <w:rPr>
          <w:rFonts w:ascii="Arial" w:hAnsi="Arial" w:cs="Arial"/>
          <w:shd w:val="clear" w:color="auto" w:fill="FFFFFF"/>
        </w:rPr>
      </w:pPr>
      <w:r w:rsidRPr="00F52654">
        <w:rPr>
          <w:rFonts w:ascii="Arial" w:hAnsi="Arial" w:cs="Arial"/>
          <w:shd w:val="clear" w:color="auto" w:fill="FFFFFF"/>
        </w:rPr>
        <w:t>Dennis T. Tanaka</w:t>
      </w:r>
    </w:p>
    <w:p w:rsidR="000E456D" w:rsidRPr="00F52654" w:rsidRDefault="000E456D" w:rsidP="00F52654">
      <w:pPr>
        <w:pStyle w:val="ListParagraph"/>
        <w:numPr>
          <w:ilvl w:val="0"/>
          <w:numId w:val="9"/>
        </w:numPr>
        <w:shd w:val="clear" w:color="auto" w:fill="FFFFFF"/>
        <w:spacing w:before="0" w:beforeAutospacing="0" w:after="240" w:afterAutospacing="0" w:line="276" w:lineRule="auto"/>
        <w:contextualSpacing/>
        <w:rPr>
          <w:rFonts w:ascii="Arial" w:hAnsi="Arial" w:cs="Arial"/>
          <w:shd w:val="clear" w:color="auto" w:fill="FFFFFF"/>
        </w:rPr>
      </w:pPr>
      <w:r w:rsidRPr="00F52654">
        <w:rPr>
          <w:rFonts w:ascii="Arial" w:hAnsi="Arial" w:cs="Arial"/>
          <w:shd w:val="clear" w:color="auto" w:fill="FFFFFF"/>
        </w:rPr>
        <w:t>Hazem Hezzah</w:t>
      </w:r>
    </w:p>
    <w:p w:rsidR="000E456D" w:rsidRPr="00F52654" w:rsidRDefault="000E456D" w:rsidP="00F52654">
      <w:pPr>
        <w:pStyle w:val="ListParagraph"/>
        <w:numPr>
          <w:ilvl w:val="0"/>
          <w:numId w:val="9"/>
        </w:numPr>
        <w:spacing w:before="0" w:beforeAutospacing="0" w:after="240" w:afterAutospacing="0" w:line="276" w:lineRule="auto"/>
        <w:contextualSpacing/>
        <w:rPr>
          <w:rFonts w:ascii="Arial" w:hAnsi="Arial" w:cs="Arial"/>
        </w:rPr>
      </w:pPr>
      <w:r w:rsidRPr="00F52654">
        <w:rPr>
          <w:rFonts w:ascii="Arial" w:hAnsi="Arial" w:cs="Arial"/>
        </w:rPr>
        <w:t>Mats Dufberg</w:t>
      </w:r>
    </w:p>
    <w:p w:rsidR="000E456D" w:rsidRPr="00F52654" w:rsidRDefault="000E456D" w:rsidP="00F52654">
      <w:pPr>
        <w:pStyle w:val="ListParagraph"/>
        <w:numPr>
          <w:ilvl w:val="0"/>
          <w:numId w:val="9"/>
        </w:numPr>
        <w:spacing w:before="0" w:beforeAutospacing="0" w:after="240" w:afterAutospacing="0" w:line="276" w:lineRule="auto"/>
        <w:contextualSpacing/>
        <w:rPr>
          <w:rFonts w:ascii="Arial" w:hAnsi="Arial" w:cs="Arial"/>
        </w:rPr>
      </w:pPr>
      <w:r w:rsidRPr="00F52654">
        <w:rPr>
          <w:rFonts w:ascii="Arial" w:hAnsi="Arial" w:cs="Arial"/>
        </w:rPr>
        <w:t>Mirjana Tasić</w:t>
      </w:r>
    </w:p>
    <w:p w:rsidR="000E456D" w:rsidRPr="00F52654" w:rsidRDefault="000E456D" w:rsidP="00F52654">
      <w:pPr>
        <w:shd w:val="clear" w:color="auto" w:fill="FFFFFF"/>
        <w:spacing w:line="276" w:lineRule="auto"/>
        <w:ind w:firstLine="720"/>
        <w:rPr>
          <w:rFonts w:ascii="Arial" w:hAnsi="Arial" w:cs="Arial"/>
          <w:sz w:val="22"/>
          <w:szCs w:val="22"/>
          <w:lang w:eastAsia="en-SG"/>
        </w:rPr>
      </w:pPr>
      <w:r w:rsidRPr="00F52654">
        <w:rPr>
          <w:rFonts w:ascii="Arial" w:hAnsi="Arial" w:cs="Arial"/>
          <w:sz w:val="22"/>
          <w:szCs w:val="22"/>
          <w:lang w:eastAsia="en-SG"/>
        </w:rPr>
        <w:t>Staff:</w:t>
      </w:r>
    </w:p>
    <w:p w:rsidR="000E456D" w:rsidRPr="00F52654" w:rsidRDefault="000E456D" w:rsidP="00F52654">
      <w:pPr>
        <w:pStyle w:val="ListParagraph"/>
        <w:numPr>
          <w:ilvl w:val="0"/>
          <w:numId w:val="9"/>
        </w:numPr>
        <w:shd w:val="clear" w:color="auto" w:fill="FFFFFF"/>
        <w:spacing w:before="0" w:beforeAutospacing="0" w:after="240" w:afterAutospacing="0" w:line="276" w:lineRule="auto"/>
        <w:contextualSpacing/>
        <w:rPr>
          <w:rFonts w:ascii="Arial" w:hAnsi="Arial" w:cs="Arial"/>
          <w:lang w:eastAsia="en-SG"/>
        </w:rPr>
      </w:pPr>
      <w:r w:rsidRPr="00F52654">
        <w:rPr>
          <w:rFonts w:ascii="Arial" w:hAnsi="Arial" w:cs="Arial"/>
          <w:lang w:eastAsia="en-SG"/>
        </w:rPr>
        <w:t>Pitinan Kooarmornpatana</w:t>
      </w:r>
    </w:p>
    <w:p w:rsidR="000E456D" w:rsidRPr="00F52654" w:rsidRDefault="000E456D" w:rsidP="00F52654">
      <w:pPr>
        <w:shd w:val="clear" w:color="auto" w:fill="FFFFFF"/>
        <w:spacing w:before="120" w:after="240" w:line="276" w:lineRule="auto"/>
        <w:rPr>
          <w:rFonts w:ascii="Arial" w:hAnsi="Arial" w:cs="Arial"/>
          <w:sz w:val="22"/>
          <w:szCs w:val="22"/>
          <w:lang w:eastAsia="en-SG"/>
        </w:rPr>
      </w:pPr>
      <w:r w:rsidRPr="00F52654">
        <w:rPr>
          <w:rFonts w:ascii="Arial" w:hAnsi="Arial" w:cs="Arial"/>
          <w:sz w:val="22"/>
          <w:szCs w:val="22"/>
          <w:u w:val="single"/>
          <w:lang w:eastAsia="en-SG"/>
        </w:rPr>
        <w:t>Meeting Notes</w:t>
      </w:r>
      <w:r w:rsidRPr="00F52654">
        <w:rPr>
          <w:rFonts w:ascii="Arial" w:hAnsi="Arial" w:cs="Arial"/>
          <w:sz w:val="22"/>
          <w:szCs w:val="22"/>
          <w:lang w:eastAsia="en-SG"/>
        </w:rPr>
        <w:t xml:space="preserve"> </w:t>
      </w:r>
    </w:p>
    <w:p w:rsidR="00F52654" w:rsidRPr="00F52654" w:rsidRDefault="00F52654" w:rsidP="00F52654">
      <w:pPr>
        <w:pStyle w:val="ListParagraph"/>
        <w:numPr>
          <w:ilvl w:val="0"/>
          <w:numId w:val="10"/>
        </w:numPr>
        <w:shd w:val="clear" w:color="auto" w:fill="FFFFFF"/>
        <w:snapToGrid w:val="0"/>
        <w:spacing w:before="120" w:beforeAutospacing="0" w:after="240" w:afterAutospacing="0" w:line="276" w:lineRule="auto"/>
        <w:rPr>
          <w:rFonts w:ascii="Arial" w:hAnsi="Arial" w:cs="Arial"/>
          <w:b/>
          <w:bCs/>
          <w:lang w:eastAsia="en-SG"/>
        </w:rPr>
      </w:pPr>
      <w:r w:rsidRPr="00F52654">
        <w:rPr>
          <w:rFonts w:ascii="Arial" w:hAnsi="Arial" w:cs="Arial"/>
          <w:b/>
          <w:bCs/>
          <w:lang w:eastAsia="en-SG"/>
        </w:rPr>
        <w:t>Latin GP</w:t>
      </w:r>
      <w:r w:rsidR="000E456D" w:rsidRPr="00F52654">
        <w:rPr>
          <w:rFonts w:ascii="Arial" w:hAnsi="Arial" w:cs="Arial"/>
          <w:b/>
          <w:bCs/>
          <w:lang w:eastAsia="en-SG"/>
        </w:rPr>
        <w:t xml:space="preserve"> schedule </w:t>
      </w:r>
    </w:p>
    <w:p w:rsidR="00050898" w:rsidRDefault="00F52654" w:rsidP="00F52654">
      <w:pPr>
        <w:pStyle w:val="ListParagraph"/>
        <w:shd w:val="clear" w:color="auto" w:fill="FFFFFF"/>
        <w:snapToGrid w:val="0"/>
        <w:spacing w:before="120" w:beforeAutospacing="0" w:after="240" w:afterAutospacing="0" w:line="276" w:lineRule="auto"/>
        <w:ind w:left="360"/>
        <w:rPr>
          <w:rFonts w:ascii="Arial" w:hAnsi="Arial" w:cs="Arial"/>
          <w:lang w:eastAsia="en-SG"/>
        </w:rPr>
      </w:pPr>
      <w:r w:rsidRPr="00F52654">
        <w:rPr>
          <w:rFonts w:ascii="Arial" w:hAnsi="Arial" w:cs="Arial"/>
          <w:lang w:eastAsia="en-SG"/>
        </w:rPr>
        <w:t>The GP discussed the</w:t>
      </w:r>
      <w:r>
        <w:rPr>
          <w:rFonts w:ascii="Arial" w:hAnsi="Arial" w:cs="Arial"/>
          <w:lang w:eastAsia="en-SG"/>
        </w:rPr>
        <w:t xml:space="preserve"> </w:t>
      </w:r>
      <w:hyperlink r:id="rId5" w:anchor="gid=1115838130" w:history="1">
        <w:r w:rsidRPr="00050898">
          <w:rPr>
            <w:rStyle w:val="Hyperlink"/>
            <w:rFonts w:ascii="Arial" w:hAnsi="Arial" w:cs="Arial"/>
            <w:lang w:eastAsia="en-SG"/>
          </w:rPr>
          <w:t>schedule</w:t>
        </w:r>
      </w:hyperlink>
      <w:r w:rsidRPr="00F52654">
        <w:rPr>
          <w:rFonts w:ascii="Arial" w:hAnsi="Arial" w:cs="Arial"/>
          <w:lang w:eastAsia="en-SG"/>
        </w:rPr>
        <w:t xml:space="preserve"> </w:t>
      </w:r>
      <w:r w:rsidR="000E456D" w:rsidRPr="00F52654">
        <w:rPr>
          <w:rFonts w:ascii="Arial" w:hAnsi="Arial" w:cs="Arial"/>
          <w:lang w:eastAsia="en-SG"/>
        </w:rPr>
        <w:t>and agreed to cancel the meeting on 27 June 2019 as many members are travelling and the assigned task would not be ready</w:t>
      </w:r>
      <w:r w:rsidR="00BE3AEF" w:rsidRPr="00F52654">
        <w:rPr>
          <w:rFonts w:ascii="Arial" w:hAnsi="Arial" w:cs="Arial"/>
          <w:lang w:eastAsia="en-SG"/>
        </w:rPr>
        <w:t xml:space="preserve"> for discussion</w:t>
      </w:r>
      <w:r w:rsidR="000E456D" w:rsidRPr="00F52654">
        <w:rPr>
          <w:rFonts w:ascii="Arial" w:hAnsi="Arial" w:cs="Arial"/>
          <w:lang w:eastAsia="en-SG"/>
        </w:rPr>
        <w:t xml:space="preserve">. The GP will regroup on 4 July to discuss and finalize the Non-Visual Analysis. Mirjana will reach out to Meikal to lead the </w:t>
      </w:r>
      <w:r w:rsidR="00BE3AEF" w:rsidRPr="00F52654">
        <w:rPr>
          <w:rFonts w:ascii="Arial" w:hAnsi="Arial" w:cs="Arial"/>
          <w:lang w:eastAsia="en-SG"/>
        </w:rPr>
        <w:t>agenda</w:t>
      </w:r>
      <w:r w:rsidR="000E456D" w:rsidRPr="00F52654">
        <w:rPr>
          <w:rFonts w:ascii="Arial" w:hAnsi="Arial" w:cs="Arial"/>
          <w:lang w:eastAsia="en-SG"/>
        </w:rPr>
        <w:t xml:space="preserve">. </w:t>
      </w:r>
      <w:r w:rsidR="00050898">
        <w:rPr>
          <w:rFonts w:ascii="Arial" w:hAnsi="Arial" w:cs="Arial"/>
          <w:lang w:eastAsia="en-SG"/>
        </w:rPr>
        <w:t>T</w:t>
      </w:r>
      <w:r w:rsidRPr="00F52654">
        <w:rPr>
          <w:rFonts w:ascii="Arial" w:hAnsi="Arial" w:cs="Arial"/>
          <w:lang w:eastAsia="en-SG"/>
        </w:rPr>
        <w:t xml:space="preserve">he GP also </w:t>
      </w:r>
      <w:r w:rsidR="00050898">
        <w:rPr>
          <w:rFonts w:ascii="Arial" w:hAnsi="Arial" w:cs="Arial"/>
          <w:lang w:eastAsia="en-SG"/>
        </w:rPr>
        <w:t xml:space="preserve">planned to </w:t>
      </w:r>
      <w:r w:rsidRPr="00F52654">
        <w:rPr>
          <w:rFonts w:ascii="Arial" w:hAnsi="Arial" w:cs="Arial"/>
          <w:lang w:eastAsia="en-SG"/>
        </w:rPr>
        <w:t xml:space="preserve">discuss the </w:t>
      </w:r>
      <w:hyperlink r:id="rId6" w:history="1">
        <w:r w:rsidR="00050898" w:rsidRPr="00050898">
          <w:rPr>
            <w:rStyle w:val="Hyperlink"/>
            <w:rFonts w:ascii="Arial" w:hAnsi="Arial" w:cs="Arial"/>
            <w:lang w:eastAsia="en-SG"/>
          </w:rPr>
          <w:t>Stacking with Combining Diacritics</w:t>
        </w:r>
      </w:hyperlink>
      <w:r w:rsidR="00050898">
        <w:rPr>
          <w:rFonts w:ascii="Arial" w:hAnsi="Arial" w:cs="Arial"/>
          <w:lang w:eastAsia="en-SG"/>
        </w:rPr>
        <w:t xml:space="preserve"> in the next meeting, if time allows. </w:t>
      </w:r>
      <w:r w:rsidR="00050898" w:rsidRPr="00050898">
        <w:rPr>
          <w:rFonts w:ascii="Arial" w:hAnsi="Arial" w:cs="Arial"/>
          <w:lang w:eastAsia="en-SG"/>
        </w:rPr>
        <w:t xml:space="preserve"> </w:t>
      </w:r>
    </w:p>
    <w:p w:rsidR="000E456D" w:rsidRPr="00F52654" w:rsidRDefault="000E456D" w:rsidP="00F52654">
      <w:pPr>
        <w:pStyle w:val="ListParagraph"/>
        <w:shd w:val="clear" w:color="auto" w:fill="FFFFFF"/>
        <w:snapToGrid w:val="0"/>
        <w:spacing w:before="120" w:beforeAutospacing="0" w:after="240" w:afterAutospacing="0" w:line="276" w:lineRule="auto"/>
        <w:ind w:left="360"/>
        <w:rPr>
          <w:rFonts w:ascii="Arial" w:hAnsi="Arial" w:cs="Arial"/>
          <w:lang w:eastAsia="en-SG"/>
        </w:rPr>
      </w:pPr>
      <w:r w:rsidRPr="00F52654">
        <w:rPr>
          <w:rFonts w:ascii="Arial" w:hAnsi="Arial" w:cs="Arial"/>
          <w:lang w:eastAsia="en-SG"/>
        </w:rPr>
        <w:t xml:space="preserve">It is noted that there </w:t>
      </w:r>
      <w:r w:rsidR="007E22AD" w:rsidRPr="00F52654">
        <w:rPr>
          <w:rFonts w:ascii="Arial" w:hAnsi="Arial" w:cs="Arial"/>
          <w:lang w:eastAsia="en-SG"/>
        </w:rPr>
        <w:t xml:space="preserve">was </w:t>
      </w:r>
      <w:r w:rsidRPr="00F52654">
        <w:rPr>
          <w:rFonts w:ascii="Arial" w:hAnsi="Arial" w:cs="Arial"/>
          <w:lang w:eastAsia="en-SG"/>
        </w:rPr>
        <w:t xml:space="preserve">still no volunteer </w:t>
      </w:r>
      <w:r w:rsidR="007E22AD" w:rsidRPr="00F52654">
        <w:rPr>
          <w:rFonts w:ascii="Arial" w:hAnsi="Arial" w:cs="Arial"/>
          <w:lang w:eastAsia="en-SG"/>
        </w:rPr>
        <w:t xml:space="preserve">for Visual Analysis task. </w:t>
      </w:r>
    </w:p>
    <w:p w:rsidR="00F52654" w:rsidRDefault="00F52654" w:rsidP="00F52654">
      <w:pPr>
        <w:pStyle w:val="ListParagraph"/>
        <w:numPr>
          <w:ilvl w:val="0"/>
          <w:numId w:val="10"/>
        </w:numPr>
        <w:shd w:val="clear" w:color="auto" w:fill="FFFFFF"/>
        <w:snapToGrid w:val="0"/>
        <w:spacing w:before="120" w:beforeAutospacing="0" w:after="240" w:afterAutospacing="0" w:line="276" w:lineRule="auto"/>
        <w:rPr>
          <w:rFonts w:ascii="Arial" w:hAnsi="Arial" w:cs="Arial"/>
          <w:lang w:eastAsia="en-SG"/>
        </w:rPr>
      </w:pPr>
      <w:r w:rsidRPr="00F52654">
        <w:rPr>
          <w:rFonts w:ascii="Arial" w:hAnsi="Arial" w:cs="Arial"/>
          <w:b/>
          <w:bCs/>
          <w:lang w:eastAsia="en-SG"/>
        </w:rPr>
        <w:t>U</w:t>
      </w:r>
      <w:r w:rsidR="000E456D" w:rsidRPr="00F52654">
        <w:rPr>
          <w:rFonts w:ascii="Arial" w:hAnsi="Arial" w:cs="Arial"/>
          <w:b/>
          <w:bCs/>
          <w:lang w:eastAsia="en-SG"/>
        </w:rPr>
        <w:t>nderlining analysis.</w:t>
      </w:r>
      <w:r w:rsidR="000E456D" w:rsidRPr="00F52654">
        <w:rPr>
          <w:rFonts w:ascii="Arial" w:hAnsi="Arial" w:cs="Arial"/>
          <w:lang w:eastAsia="en-SG"/>
        </w:rPr>
        <w:t xml:space="preserve"> </w:t>
      </w:r>
    </w:p>
    <w:p w:rsidR="000E456D" w:rsidRPr="00F52654" w:rsidRDefault="000E456D" w:rsidP="00F52654">
      <w:pPr>
        <w:pStyle w:val="ListParagraph"/>
        <w:shd w:val="clear" w:color="auto" w:fill="FFFFFF"/>
        <w:snapToGrid w:val="0"/>
        <w:spacing w:before="120" w:beforeAutospacing="0" w:after="240" w:afterAutospacing="0" w:line="276" w:lineRule="auto"/>
        <w:ind w:left="360"/>
        <w:rPr>
          <w:rFonts w:ascii="Arial" w:hAnsi="Arial" w:cs="Arial"/>
          <w:lang w:eastAsia="en-SG"/>
        </w:rPr>
      </w:pPr>
      <w:r w:rsidRPr="00F52654">
        <w:rPr>
          <w:rFonts w:ascii="Arial" w:hAnsi="Arial" w:cs="Arial"/>
          <w:lang w:eastAsia="en-SG"/>
        </w:rPr>
        <w:t>One more pair for D with circumflex below will be added to the</w:t>
      </w:r>
      <w:r w:rsidR="00050898">
        <w:rPr>
          <w:rFonts w:ascii="Arial" w:hAnsi="Arial" w:cs="Arial"/>
          <w:lang w:eastAsia="en-SG"/>
        </w:rPr>
        <w:t xml:space="preserve"> </w:t>
      </w:r>
      <w:hyperlink r:id="rId7" w:anchor="gid=0" w:history="1">
        <w:r w:rsidR="00050898" w:rsidRPr="00050898">
          <w:rPr>
            <w:rStyle w:val="Hyperlink"/>
            <w:rFonts w:ascii="Arial" w:hAnsi="Arial" w:cs="Arial"/>
            <w:lang w:eastAsia="en-SG"/>
          </w:rPr>
          <w:t>Underlining Analysis</w:t>
        </w:r>
        <w:r w:rsidRPr="00050898">
          <w:rPr>
            <w:rStyle w:val="Hyperlink"/>
            <w:rFonts w:ascii="Arial" w:hAnsi="Arial" w:cs="Arial"/>
            <w:lang w:eastAsia="en-SG"/>
          </w:rPr>
          <w:t xml:space="preserve"> list</w:t>
        </w:r>
      </w:hyperlink>
      <w:r w:rsidRPr="00F52654">
        <w:rPr>
          <w:rFonts w:ascii="Arial" w:hAnsi="Arial" w:cs="Arial"/>
          <w:lang w:eastAsia="en-SG"/>
        </w:rPr>
        <w:t xml:space="preserve">. The members in the call were requested to rate this additional pair. </w:t>
      </w:r>
    </w:p>
    <w:p w:rsidR="00F52654" w:rsidRPr="00F52654" w:rsidRDefault="007E22AD" w:rsidP="00F52654">
      <w:pPr>
        <w:pStyle w:val="ListParagraph"/>
        <w:numPr>
          <w:ilvl w:val="0"/>
          <w:numId w:val="10"/>
        </w:numPr>
        <w:shd w:val="clear" w:color="auto" w:fill="FFFFFF"/>
        <w:snapToGrid w:val="0"/>
        <w:spacing w:before="120" w:beforeAutospacing="0" w:after="240" w:afterAutospacing="0" w:line="276" w:lineRule="auto"/>
        <w:rPr>
          <w:rFonts w:ascii="Arial" w:hAnsi="Arial" w:cs="Arial"/>
          <w:b/>
          <w:bCs/>
          <w:lang w:eastAsia="en-SG"/>
        </w:rPr>
      </w:pPr>
      <w:r w:rsidRPr="00F52654">
        <w:rPr>
          <w:rFonts w:ascii="Arial" w:hAnsi="Arial" w:cs="Arial"/>
          <w:b/>
          <w:bCs/>
          <w:lang w:eastAsia="en-SG"/>
        </w:rPr>
        <w:t xml:space="preserve">SMALL LETTER DOTLESS I </w:t>
      </w:r>
    </w:p>
    <w:p w:rsidR="00F52654" w:rsidRDefault="00F52654" w:rsidP="00F52654">
      <w:pPr>
        <w:pStyle w:val="ListParagraph"/>
        <w:shd w:val="clear" w:color="auto" w:fill="FFFFFF"/>
        <w:snapToGrid w:val="0"/>
        <w:spacing w:before="120" w:beforeAutospacing="0" w:after="240" w:afterAutospacing="0" w:line="276" w:lineRule="auto"/>
        <w:ind w:left="360"/>
        <w:rPr>
          <w:rFonts w:ascii="Arial" w:hAnsi="Arial" w:cs="Arial"/>
          <w:lang w:eastAsia="en-SG"/>
        </w:rPr>
      </w:pPr>
      <w:r w:rsidRPr="00F52654">
        <w:rPr>
          <w:rFonts w:ascii="Arial" w:hAnsi="Arial" w:cs="Arial"/>
          <w:lang w:eastAsia="en-SG"/>
        </w:rPr>
        <w:t xml:space="preserve">The GP discussed the draft text for </w:t>
      </w:r>
      <w:r w:rsidR="007E22AD" w:rsidRPr="00F52654">
        <w:rPr>
          <w:rFonts w:ascii="Arial" w:hAnsi="Arial" w:cs="Arial"/>
          <w:lang w:eastAsia="en-SG"/>
        </w:rPr>
        <w:t xml:space="preserve">and agreed that the logical mechanism for risk mitigation is to define variant relationship between the SMALL LETTER DOTLESS I  and SMALL LETTER I. It was agreed to remove code point in the text to improve the reading flow. </w:t>
      </w:r>
    </w:p>
    <w:p w:rsidR="00F52654" w:rsidRDefault="00F52654" w:rsidP="00F52654">
      <w:pPr>
        <w:pStyle w:val="ListParagraph"/>
        <w:shd w:val="clear" w:color="auto" w:fill="FFFFFF"/>
        <w:snapToGrid w:val="0"/>
        <w:spacing w:before="120" w:beforeAutospacing="0" w:after="240" w:afterAutospacing="0" w:line="276" w:lineRule="auto"/>
        <w:ind w:left="360"/>
        <w:rPr>
          <w:rFonts w:ascii="Arial" w:hAnsi="Arial" w:cs="Arial"/>
          <w:lang w:eastAsia="en-SG"/>
        </w:rPr>
      </w:pPr>
      <w:r>
        <w:rPr>
          <w:rFonts w:ascii="Arial" w:hAnsi="Arial" w:cs="Arial"/>
          <w:lang w:eastAsia="en-SG"/>
        </w:rPr>
        <w:t>Editorial points were discussed to improve the reading flow. It was agreed that c</w:t>
      </w:r>
      <w:r w:rsidR="007E22AD" w:rsidRPr="00F52654">
        <w:rPr>
          <w:rFonts w:ascii="Arial" w:hAnsi="Arial" w:cs="Arial"/>
          <w:lang w:eastAsia="en-SG"/>
        </w:rPr>
        <w:t xml:space="preserve">ode points will only be listed in the table. </w:t>
      </w:r>
      <w:r>
        <w:rPr>
          <w:rFonts w:ascii="Arial" w:hAnsi="Arial" w:cs="Arial"/>
          <w:lang w:eastAsia="en-SG"/>
        </w:rPr>
        <w:t xml:space="preserve">It was agree to keep the conclusion in the main document and move the detailed rational to the appendix. </w:t>
      </w:r>
    </w:p>
    <w:p w:rsidR="007E22AD" w:rsidRPr="00F52654" w:rsidRDefault="00F52654" w:rsidP="00F52654">
      <w:pPr>
        <w:pStyle w:val="ListParagraph"/>
        <w:shd w:val="clear" w:color="auto" w:fill="FFFFFF"/>
        <w:snapToGrid w:val="0"/>
        <w:spacing w:before="120" w:beforeAutospacing="0" w:after="240" w:afterAutospacing="0" w:line="276" w:lineRule="auto"/>
        <w:ind w:left="360"/>
        <w:rPr>
          <w:rFonts w:ascii="Arial" w:hAnsi="Arial" w:cs="Arial"/>
          <w:lang w:eastAsia="en-SG"/>
        </w:rPr>
      </w:pPr>
      <w:r w:rsidRPr="00F52654">
        <w:rPr>
          <w:rFonts w:ascii="Arial" w:hAnsi="Arial" w:cs="Arial"/>
          <w:lang w:eastAsia="en-SG"/>
        </w:rPr>
        <w:t xml:space="preserve">The GP also discussed the terms for denial of service, though the term is used in the SAC60 report, it might be confusing to general reader as cyber attack. The GP did not reach conclusion at this time. </w:t>
      </w:r>
    </w:p>
    <w:p w:rsidR="000E456D" w:rsidRPr="00F52654" w:rsidRDefault="000E456D" w:rsidP="00F52654">
      <w:pPr>
        <w:pStyle w:val="ListParagraph"/>
        <w:numPr>
          <w:ilvl w:val="0"/>
          <w:numId w:val="10"/>
        </w:numPr>
        <w:shd w:val="clear" w:color="auto" w:fill="FFFFFF"/>
        <w:spacing w:before="120" w:beforeAutospacing="0" w:after="240" w:afterAutospacing="0" w:line="276" w:lineRule="auto"/>
        <w:rPr>
          <w:rFonts w:ascii="Arial" w:hAnsi="Arial" w:cs="Arial"/>
          <w:b/>
          <w:bCs/>
          <w:lang w:eastAsia="en-SG"/>
        </w:rPr>
      </w:pPr>
      <w:r w:rsidRPr="00F52654">
        <w:rPr>
          <w:rFonts w:ascii="Arial" w:hAnsi="Arial" w:cs="Arial"/>
          <w:b/>
          <w:bCs/>
          <w:lang w:eastAsia="en-SG"/>
        </w:rPr>
        <w:t xml:space="preserve">The next meeting will be held on 4 July 2019 16:00UTC. </w:t>
      </w:r>
    </w:p>
    <w:p w:rsidR="000E456D" w:rsidRPr="00F52654" w:rsidRDefault="000E456D" w:rsidP="00F52654">
      <w:pPr>
        <w:spacing w:after="240" w:line="276" w:lineRule="auto"/>
        <w:rPr>
          <w:rFonts w:ascii="Arial" w:hAnsi="Arial" w:cs="Arial"/>
          <w:sz w:val="22"/>
          <w:szCs w:val="22"/>
          <w:lang w:eastAsia="en-SG"/>
        </w:rPr>
      </w:pPr>
      <w:r w:rsidRPr="00F52654">
        <w:rPr>
          <w:rFonts w:ascii="Arial" w:hAnsi="Arial" w:cs="Arial"/>
          <w:sz w:val="22"/>
          <w:szCs w:val="22"/>
          <w:u w:val="single"/>
          <w:lang w:eastAsia="en-SG"/>
        </w:rPr>
        <w:lastRenderedPageBreak/>
        <w:t>Action Items</w:t>
      </w:r>
      <w:r w:rsidRPr="00F52654">
        <w:rPr>
          <w:rFonts w:ascii="Arial" w:hAnsi="Arial" w:cs="Arial"/>
          <w:sz w:val="22"/>
          <w:szCs w:val="22"/>
          <w:lang w:eastAsia="en-SG"/>
        </w:rPr>
        <w:t xml:space="preserve"> </w:t>
      </w:r>
    </w:p>
    <w:tbl>
      <w:tblPr>
        <w:tblStyle w:val="TableGrid"/>
        <w:tblW w:w="0" w:type="auto"/>
        <w:tblInd w:w="355" w:type="dxa"/>
        <w:tblLook w:val="04A0" w:firstRow="1" w:lastRow="0" w:firstColumn="1" w:lastColumn="0" w:noHBand="0" w:noVBand="1"/>
      </w:tblPr>
      <w:tblGrid>
        <w:gridCol w:w="990"/>
        <w:gridCol w:w="6660"/>
        <w:gridCol w:w="1080"/>
      </w:tblGrid>
      <w:tr w:rsidR="000E456D" w:rsidRPr="00F52654" w:rsidTr="001D76DA">
        <w:tc>
          <w:tcPr>
            <w:tcW w:w="990" w:type="dxa"/>
          </w:tcPr>
          <w:p w:rsidR="000E456D" w:rsidRPr="00F52654" w:rsidRDefault="000E456D" w:rsidP="00050898">
            <w:pPr>
              <w:spacing w:after="120" w:line="276" w:lineRule="auto"/>
              <w:jc w:val="center"/>
              <w:rPr>
                <w:rFonts w:ascii="Arial" w:hAnsi="Arial" w:cs="Arial"/>
                <w:b/>
                <w:bCs/>
                <w:szCs w:val="22"/>
                <w:lang w:eastAsia="en-SG"/>
              </w:rPr>
            </w:pPr>
            <w:r w:rsidRPr="00F52654">
              <w:rPr>
                <w:rFonts w:ascii="Arial" w:hAnsi="Arial" w:cs="Arial"/>
                <w:b/>
                <w:bCs/>
                <w:szCs w:val="22"/>
                <w:lang w:eastAsia="en-SG"/>
              </w:rPr>
              <w:t>S. No.</w:t>
            </w:r>
          </w:p>
        </w:tc>
        <w:tc>
          <w:tcPr>
            <w:tcW w:w="6660" w:type="dxa"/>
          </w:tcPr>
          <w:p w:rsidR="000E456D" w:rsidRPr="00F52654" w:rsidRDefault="000E456D" w:rsidP="00050898">
            <w:pPr>
              <w:spacing w:after="120" w:line="276" w:lineRule="auto"/>
              <w:rPr>
                <w:rFonts w:ascii="Arial" w:hAnsi="Arial" w:cs="Arial"/>
                <w:b/>
                <w:bCs/>
                <w:szCs w:val="22"/>
                <w:lang w:eastAsia="en-SG"/>
              </w:rPr>
            </w:pPr>
            <w:r w:rsidRPr="00F52654">
              <w:rPr>
                <w:rFonts w:ascii="Arial" w:hAnsi="Arial" w:cs="Arial"/>
                <w:b/>
                <w:bCs/>
                <w:szCs w:val="22"/>
                <w:lang w:eastAsia="en-SG"/>
              </w:rPr>
              <w:t>Action Items</w:t>
            </w:r>
          </w:p>
        </w:tc>
        <w:tc>
          <w:tcPr>
            <w:tcW w:w="1080" w:type="dxa"/>
          </w:tcPr>
          <w:p w:rsidR="000E456D" w:rsidRPr="00F52654" w:rsidRDefault="000E456D" w:rsidP="00D75644">
            <w:pPr>
              <w:spacing w:after="120" w:line="276" w:lineRule="auto"/>
              <w:jc w:val="center"/>
              <w:rPr>
                <w:rFonts w:ascii="Arial" w:hAnsi="Arial" w:cs="Arial"/>
                <w:b/>
                <w:bCs/>
                <w:szCs w:val="22"/>
                <w:lang w:eastAsia="en-SG"/>
              </w:rPr>
            </w:pPr>
            <w:r w:rsidRPr="00F52654">
              <w:rPr>
                <w:rFonts w:ascii="Arial" w:hAnsi="Arial" w:cs="Arial"/>
                <w:b/>
                <w:bCs/>
                <w:szCs w:val="22"/>
                <w:lang w:eastAsia="en-SG"/>
              </w:rPr>
              <w:t>Owner</w:t>
            </w:r>
          </w:p>
        </w:tc>
      </w:tr>
      <w:tr w:rsidR="000E456D" w:rsidRPr="00F52654" w:rsidTr="001D76DA">
        <w:tc>
          <w:tcPr>
            <w:tcW w:w="990" w:type="dxa"/>
          </w:tcPr>
          <w:p w:rsidR="000E456D" w:rsidRPr="00F52654" w:rsidRDefault="000E456D" w:rsidP="00050898">
            <w:pPr>
              <w:spacing w:after="120" w:line="276" w:lineRule="auto"/>
              <w:jc w:val="center"/>
              <w:rPr>
                <w:rFonts w:ascii="Arial" w:hAnsi="Arial" w:cs="Arial"/>
                <w:i/>
                <w:iCs/>
                <w:szCs w:val="22"/>
                <w:lang w:eastAsia="en-SG"/>
              </w:rPr>
            </w:pPr>
            <w:r w:rsidRPr="00F52654">
              <w:rPr>
                <w:rFonts w:ascii="Arial" w:hAnsi="Arial" w:cs="Arial"/>
                <w:i/>
                <w:iCs/>
                <w:szCs w:val="22"/>
                <w:lang w:eastAsia="en-SG"/>
              </w:rPr>
              <w:t>1</w:t>
            </w:r>
          </w:p>
        </w:tc>
        <w:tc>
          <w:tcPr>
            <w:tcW w:w="6660" w:type="dxa"/>
          </w:tcPr>
          <w:p w:rsidR="000E456D" w:rsidRPr="00F52654" w:rsidRDefault="000E456D" w:rsidP="00050898">
            <w:pPr>
              <w:spacing w:after="120" w:line="276" w:lineRule="auto"/>
              <w:rPr>
                <w:rFonts w:ascii="Arial" w:hAnsi="Arial" w:cs="Arial"/>
                <w:i/>
                <w:iCs/>
                <w:szCs w:val="22"/>
                <w:lang w:val="en-US" w:eastAsia="en-SG"/>
              </w:rPr>
            </w:pPr>
            <w:r w:rsidRPr="00F52654">
              <w:rPr>
                <w:rFonts w:ascii="Arial" w:hAnsi="Arial" w:cs="Arial"/>
                <w:i/>
                <w:iCs/>
                <w:szCs w:val="22"/>
                <w:lang w:eastAsia="en-SG"/>
              </w:rPr>
              <w:t xml:space="preserve">Rate </w:t>
            </w:r>
            <w:r w:rsidR="00050898">
              <w:rPr>
                <w:rFonts w:ascii="Arial" w:hAnsi="Arial" w:cs="Arial"/>
                <w:i/>
                <w:iCs/>
                <w:szCs w:val="22"/>
                <w:lang w:eastAsia="en-SG"/>
              </w:rPr>
              <w:t xml:space="preserve">additional pair for </w:t>
            </w:r>
            <w:r w:rsidR="00050898" w:rsidRPr="00050898">
              <w:rPr>
                <w:rFonts w:ascii="Arial" w:hAnsi="Arial" w:cs="Arial"/>
                <w:i/>
                <w:iCs/>
                <w:szCs w:val="22"/>
                <w:lang w:eastAsia="en-SG"/>
              </w:rPr>
              <w:t>D with circumflex below</w:t>
            </w:r>
            <w:r w:rsidR="00050898" w:rsidRPr="00F52654">
              <w:rPr>
                <w:rFonts w:ascii="Arial" w:hAnsi="Arial" w:cs="Arial"/>
                <w:szCs w:val="22"/>
                <w:lang w:eastAsia="en-SG"/>
              </w:rPr>
              <w:t xml:space="preserve"> </w:t>
            </w:r>
            <w:r w:rsidR="00050898">
              <w:rPr>
                <w:rFonts w:ascii="Arial" w:hAnsi="Arial" w:cs="Arial"/>
                <w:i/>
                <w:iCs/>
                <w:szCs w:val="22"/>
                <w:lang w:eastAsia="en-SG"/>
              </w:rPr>
              <w:t xml:space="preserve">in the </w:t>
            </w:r>
            <w:hyperlink r:id="rId8" w:anchor="gid=0" w:history="1">
              <w:r w:rsidR="00050898" w:rsidRPr="00050898">
                <w:rPr>
                  <w:rStyle w:val="Hyperlink"/>
                  <w:rFonts w:ascii="Arial" w:hAnsi="Arial" w:cs="Arial"/>
                  <w:i/>
                  <w:iCs/>
                  <w:szCs w:val="22"/>
                  <w:lang w:eastAsia="en-SG"/>
                </w:rPr>
                <w:t>Underlining Analysis</w:t>
              </w:r>
            </w:hyperlink>
            <w:r w:rsidR="00050898">
              <w:rPr>
                <w:rFonts w:ascii="Arial" w:hAnsi="Arial" w:cs="Arial"/>
                <w:i/>
                <w:iCs/>
                <w:szCs w:val="22"/>
                <w:lang w:eastAsia="en-SG"/>
              </w:rPr>
              <w:t xml:space="preserve"> (line 17-19)</w:t>
            </w:r>
          </w:p>
        </w:tc>
        <w:tc>
          <w:tcPr>
            <w:tcW w:w="1080" w:type="dxa"/>
          </w:tcPr>
          <w:p w:rsidR="000E456D" w:rsidRPr="00F52654" w:rsidRDefault="000E456D" w:rsidP="00D75644">
            <w:pPr>
              <w:spacing w:after="120" w:line="276" w:lineRule="auto"/>
              <w:jc w:val="center"/>
              <w:rPr>
                <w:rFonts w:ascii="Arial" w:hAnsi="Arial" w:cs="Arial"/>
                <w:szCs w:val="22"/>
                <w:lang w:eastAsia="en-SG"/>
              </w:rPr>
            </w:pPr>
            <w:r w:rsidRPr="00F52654">
              <w:rPr>
                <w:rFonts w:ascii="Arial" w:hAnsi="Arial" w:cs="Arial"/>
                <w:szCs w:val="22"/>
                <w:lang w:eastAsia="en-SG"/>
              </w:rPr>
              <w:t>ALL</w:t>
            </w:r>
          </w:p>
        </w:tc>
      </w:tr>
      <w:tr w:rsidR="00050898" w:rsidRPr="00F52654" w:rsidTr="001D76DA">
        <w:tc>
          <w:tcPr>
            <w:tcW w:w="990" w:type="dxa"/>
          </w:tcPr>
          <w:p w:rsidR="00050898" w:rsidRPr="00F52654" w:rsidRDefault="00050898" w:rsidP="00050898">
            <w:pPr>
              <w:spacing w:after="120" w:line="276" w:lineRule="auto"/>
              <w:jc w:val="center"/>
              <w:rPr>
                <w:rFonts w:ascii="Arial" w:hAnsi="Arial" w:cs="Arial"/>
                <w:i/>
                <w:iCs/>
                <w:szCs w:val="22"/>
                <w:lang w:eastAsia="en-SG"/>
              </w:rPr>
            </w:pPr>
            <w:r>
              <w:rPr>
                <w:rFonts w:ascii="Arial" w:hAnsi="Arial" w:cs="Arial"/>
                <w:i/>
                <w:iCs/>
                <w:szCs w:val="22"/>
                <w:lang w:eastAsia="en-SG"/>
              </w:rPr>
              <w:t>2</w:t>
            </w:r>
          </w:p>
        </w:tc>
        <w:tc>
          <w:tcPr>
            <w:tcW w:w="6660" w:type="dxa"/>
          </w:tcPr>
          <w:p w:rsidR="00050898" w:rsidRPr="00F52654" w:rsidRDefault="00050898" w:rsidP="00050898">
            <w:pPr>
              <w:spacing w:after="120" w:line="276" w:lineRule="auto"/>
              <w:rPr>
                <w:rFonts w:ascii="Arial" w:hAnsi="Arial" w:cs="Arial"/>
                <w:i/>
                <w:iCs/>
                <w:szCs w:val="22"/>
                <w:lang w:eastAsia="en-SG"/>
              </w:rPr>
            </w:pPr>
            <w:r>
              <w:rPr>
                <w:rFonts w:ascii="Arial" w:hAnsi="Arial" w:cs="Arial"/>
                <w:i/>
                <w:iCs/>
                <w:szCs w:val="22"/>
                <w:lang w:eastAsia="en-SG"/>
              </w:rPr>
              <w:t>Review the text for Dotless I as discussed by the GP</w:t>
            </w:r>
          </w:p>
        </w:tc>
        <w:tc>
          <w:tcPr>
            <w:tcW w:w="1080" w:type="dxa"/>
          </w:tcPr>
          <w:p w:rsidR="00050898" w:rsidRPr="00F52654" w:rsidRDefault="00050898" w:rsidP="00D75644">
            <w:pPr>
              <w:spacing w:after="120" w:line="276" w:lineRule="auto"/>
              <w:jc w:val="center"/>
              <w:rPr>
                <w:rFonts w:ascii="Arial" w:hAnsi="Arial" w:cs="Arial"/>
                <w:szCs w:val="22"/>
                <w:lang w:eastAsia="en-SG"/>
              </w:rPr>
            </w:pPr>
            <w:r>
              <w:rPr>
                <w:rFonts w:ascii="Arial" w:hAnsi="Arial" w:cs="Arial"/>
                <w:szCs w:val="22"/>
                <w:lang w:eastAsia="en-SG"/>
              </w:rPr>
              <w:t>MD</w:t>
            </w:r>
          </w:p>
        </w:tc>
      </w:tr>
      <w:tr w:rsidR="00050898" w:rsidRPr="00F52654" w:rsidTr="001D76DA">
        <w:tc>
          <w:tcPr>
            <w:tcW w:w="990" w:type="dxa"/>
          </w:tcPr>
          <w:p w:rsidR="00050898" w:rsidRDefault="00050898" w:rsidP="00050898">
            <w:pPr>
              <w:spacing w:after="120" w:line="276" w:lineRule="auto"/>
              <w:jc w:val="center"/>
              <w:rPr>
                <w:rFonts w:ascii="Arial" w:hAnsi="Arial" w:cs="Arial"/>
                <w:i/>
                <w:iCs/>
                <w:szCs w:val="22"/>
                <w:lang w:eastAsia="en-SG"/>
              </w:rPr>
            </w:pPr>
            <w:r>
              <w:rPr>
                <w:rFonts w:ascii="Arial" w:hAnsi="Arial" w:cs="Arial"/>
                <w:i/>
                <w:iCs/>
                <w:szCs w:val="22"/>
                <w:lang w:eastAsia="en-SG"/>
              </w:rPr>
              <w:t>3</w:t>
            </w:r>
          </w:p>
        </w:tc>
        <w:tc>
          <w:tcPr>
            <w:tcW w:w="6660" w:type="dxa"/>
          </w:tcPr>
          <w:p w:rsidR="00050898" w:rsidRPr="00F52654" w:rsidRDefault="00050898" w:rsidP="00050898">
            <w:pPr>
              <w:spacing w:after="120" w:line="276" w:lineRule="auto"/>
              <w:rPr>
                <w:rFonts w:ascii="Arial" w:hAnsi="Arial" w:cs="Arial"/>
                <w:i/>
                <w:iCs/>
                <w:szCs w:val="22"/>
                <w:lang w:eastAsia="en-SG"/>
              </w:rPr>
            </w:pPr>
            <w:r>
              <w:rPr>
                <w:rFonts w:ascii="Arial" w:hAnsi="Arial" w:cs="Arial"/>
                <w:i/>
                <w:iCs/>
                <w:szCs w:val="22"/>
                <w:lang w:eastAsia="en-SG"/>
              </w:rPr>
              <w:t>Reach out to Meikal and Bill to prepare for the non-visual and stacking analysis</w:t>
            </w:r>
            <w:r w:rsidR="00D12F93">
              <w:rPr>
                <w:rFonts w:ascii="Arial" w:hAnsi="Arial" w:cs="Arial"/>
                <w:i/>
                <w:iCs/>
                <w:szCs w:val="22"/>
                <w:lang w:eastAsia="en-SG"/>
              </w:rPr>
              <w:t xml:space="preserve"> in the next meeting</w:t>
            </w:r>
            <w:bookmarkStart w:id="0" w:name="_GoBack"/>
            <w:bookmarkEnd w:id="0"/>
          </w:p>
        </w:tc>
        <w:tc>
          <w:tcPr>
            <w:tcW w:w="1080" w:type="dxa"/>
          </w:tcPr>
          <w:p w:rsidR="00050898" w:rsidRPr="00F52654" w:rsidRDefault="00050898" w:rsidP="00D75644">
            <w:pPr>
              <w:spacing w:after="120" w:line="276" w:lineRule="auto"/>
              <w:jc w:val="center"/>
              <w:rPr>
                <w:rFonts w:ascii="Arial" w:hAnsi="Arial" w:cs="Arial"/>
                <w:szCs w:val="22"/>
                <w:lang w:eastAsia="en-SG"/>
              </w:rPr>
            </w:pPr>
            <w:r>
              <w:rPr>
                <w:rFonts w:ascii="Arial" w:hAnsi="Arial" w:cs="Arial"/>
                <w:szCs w:val="22"/>
                <w:lang w:eastAsia="en-SG"/>
              </w:rPr>
              <w:t>MT</w:t>
            </w:r>
          </w:p>
        </w:tc>
      </w:tr>
    </w:tbl>
    <w:p w:rsidR="000E456D" w:rsidRPr="00F52654" w:rsidRDefault="000E456D" w:rsidP="00F52654">
      <w:pPr>
        <w:tabs>
          <w:tab w:val="left" w:pos="1112"/>
        </w:tabs>
        <w:spacing w:after="240" w:line="276" w:lineRule="auto"/>
        <w:rPr>
          <w:rFonts w:ascii="Arial" w:hAnsi="Arial" w:cs="Arial"/>
          <w:sz w:val="22"/>
          <w:szCs w:val="22"/>
          <w:lang w:eastAsia="en-SG"/>
        </w:rPr>
      </w:pPr>
    </w:p>
    <w:p w:rsidR="00ED0659" w:rsidRPr="00F52654" w:rsidRDefault="00D12F93" w:rsidP="00F52654">
      <w:pPr>
        <w:spacing w:after="240" w:line="276" w:lineRule="auto"/>
        <w:rPr>
          <w:rFonts w:ascii="Arial" w:hAnsi="Arial" w:cs="Arial"/>
          <w:sz w:val="22"/>
          <w:szCs w:val="22"/>
        </w:rPr>
      </w:pPr>
    </w:p>
    <w:sectPr w:rsidR="00ED0659" w:rsidRPr="00F52654" w:rsidSect="0031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70A9"/>
    <w:multiLevelType w:val="multilevel"/>
    <w:tmpl w:val="CD6A141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7A60B9"/>
    <w:multiLevelType w:val="multilevel"/>
    <w:tmpl w:val="CD6A141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DF392D"/>
    <w:multiLevelType w:val="multilevel"/>
    <w:tmpl w:val="CD6A14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 w15:restartNumberingAfterBreak="0">
    <w:nsid w:val="428354DC"/>
    <w:multiLevelType w:val="multilevel"/>
    <w:tmpl w:val="CD6A1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8D26FA3"/>
    <w:multiLevelType w:val="multilevel"/>
    <w:tmpl w:val="CD6A14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D17AFD"/>
    <w:multiLevelType w:val="multilevel"/>
    <w:tmpl w:val="CD6A141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9844BC"/>
    <w:multiLevelType w:val="multilevel"/>
    <w:tmpl w:val="CD6A1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E934846"/>
    <w:multiLevelType w:val="multilevel"/>
    <w:tmpl w:val="B6D48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E83AE4"/>
    <w:multiLevelType w:val="hybridMultilevel"/>
    <w:tmpl w:val="431E2E20"/>
    <w:lvl w:ilvl="0" w:tplc="DAA235F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A7"/>
    <w:rsid w:val="00050898"/>
    <w:rsid w:val="000E456D"/>
    <w:rsid w:val="001D64A7"/>
    <w:rsid w:val="002B74ED"/>
    <w:rsid w:val="00314B86"/>
    <w:rsid w:val="005B0C0F"/>
    <w:rsid w:val="007E22AD"/>
    <w:rsid w:val="00B3088A"/>
    <w:rsid w:val="00B75C01"/>
    <w:rsid w:val="00BE3AEF"/>
    <w:rsid w:val="00D12F93"/>
    <w:rsid w:val="00D75644"/>
    <w:rsid w:val="00F52654"/>
    <w:rsid w:val="00FD12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4AA901C6"/>
  <w15:chartTrackingRefBased/>
  <w15:docId w15:val="{5ED2EFB3-FAD3-9A42-953D-21BBEE5A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4A7"/>
    <w:rPr>
      <w:rFonts w:ascii="Calibri" w:hAnsi="Calibri" w:cs="Calibr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4A7"/>
    <w:rPr>
      <w:color w:val="0563C1"/>
      <w:u w:val="single"/>
    </w:rPr>
  </w:style>
  <w:style w:type="paragraph" w:styleId="ListParagraph">
    <w:name w:val="List Paragraph"/>
    <w:basedOn w:val="Normal"/>
    <w:uiPriority w:val="34"/>
    <w:qFormat/>
    <w:rsid w:val="001D64A7"/>
    <w:pPr>
      <w:spacing w:before="100" w:beforeAutospacing="1" w:after="100" w:afterAutospacing="1"/>
    </w:pPr>
    <w:rPr>
      <w:sz w:val="22"/>
      <w:szCs w:val="22"/>
    </w:rPr>
  </w:style>
  <w:style w:type="character" w:customStyle="1" w:styleId="apple-converted-space">
    <w:name w:val="apple-converted-space"/>
    <w:basedOn w:val="DefaultParagraphFont"/>
    <w:rsid w:val="001D64A7"/>
  </w:style>
  <w:style w:type="character" w:styleId="FollowedHyperlink">
    <w:name w:val="FollowedHyperlink"/>
    <w:basedOn w:val="DefaultParagraphFont"/>
    <w:uiPriority w:val="99"/>
    <w:semiHidden/>
    <w:unhideWhenUsed/>
    <w:rsid w:val="001D64A7"/>
    <w:rPr>
      <w:color w:val="954F72" w:themeColor="followedHyperlink"/>
      <w:u w:val="single"/>
    </w:rPr>
  </w:style>
  <w:style w:type="table" w:styleId="TableGrid">
    <w:name w:val="Table Grid"/>
    <w:basedOn w:val="TableNormal"/>
    <w:uiPriority w:val="39"/>
    <w:rsid w:val="000E456D"/>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4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27030">
      <w:bodyDiv w:val="1"/>
      <w:marLeft w:val="0"/>
      <w:marRight w:val="0"/>
      <w:marTop w:val="0"/>
      <w:marBottom w:val="0"/>
      <w:divBdr>
        <w:top w:val="none" w:sz="0" w:space="0" w:color="auto"/>
        <w:left w:val="none" w:sz="0" w:space="0" w:color="auto"/>
        <w:bottom w:val="none" w:sz="0" w:space="0" w:color="auto"/>
        <w:right w:val="none" w:sz="0" w:space="0" w:color="auto"/>
      </w:divBdr>
    </w:div>
    <w:div w:id="620918220">
      <w:bodyDiv w:val="1"/>
      <w:marLeft w:val="0"/>
      <w:marRight w:val="0"/>
      <w:marTop w:val="0"/>
      <w:marBottom w:val="0"/>
      <w:divBdr>
        <w:top w:val="none" w:sz="0" w:space="0" w:color="auto"/>
        <w:left w:val="none" w:sz="0" w:space="0" w:color="auto"/>
        <w:bottom w:val="none" w:sz="0" w:space="0" w:color="auto"/>
        <w:right w:val="none" w:sz="0" w:space="0" w:color="auto"/>
      </w:divBdr>
    </w:div>
    <w:div w:id="891968429">
      <w:bodyDiv w:val="1"/>
      <w:marLeft w:val="0"/>
      <w:marRight w:val="0"/>
      <w:marTop w:val="0"/>
      <w:marBottom w:val="0"/>
      <w:divBdr>
        <w:top w:val="none" w:sz="0" w:space="0" w:color="auto"/>
        <w:left w:val="none" w:sz="0" w:space="0" w:color="auto"/>
        <w:bottom w:val="none" w:sz="0" w:space="0" w:color="auto"/>
        <w:right w:val="none" w:sz="0" w:space="0" w:color="auto"/>
      </w:divBdr>
    </w:div>
    <w:div w:id="968822088">
      <w:bodyDiv w:val="1"/>
      <w:marLeft w:val="0"/>
      <w:marRight w:val="0"/>
      <w:marTop w:val="0"/>
      <w:marBottom w:val="0"/>
      <w:divBdr>
        <w:top w:val="none" w:sz="0" w:space="0" w:color="auto"/>
        <w:left w:val="none" w:sz="0" w:space="0" w:color="auto"/>
        <w:bottom w:val="none" w:sz="0" w:space="0" w:color="auto"/>
        <w:right w:val="none" w:sz="0" w:space="0" w:color="auto"/>
      </w:divBdr>
    </w:div>
    <w:div w:id="1110781361">
      <w:bodyDiv w:val="1"/>
      <w:marLeft w:val="0"/>
      <w:marRight w:val="0"/>
      <w:marTop w:val="0"/>
      <w:marBottom w:val="0"/>
      <w:divBdr>
        <w:top w:val="none" w:sz="0" w:space="0" w:color="auto"/>
        <w:left w:val="none" w:sz="0" w:space="0" w:color="auto"/>
        <w:bottom w:val="none" w:sz="0" w:space="0" w:color="auto"/>
        <w:right w:val="none" w:sz="0" w:space="0" w:color="auto"/>
      </w:divBdr>
    </w:div>
    <w:div w:id="1126001890">
      <w:bodyDiv w:val="1"/>
      <w:marLeft w:val="0"/>
      <w:marRight w:val="0"/>
      <w:marTop w:val="0"/>
      <w:marBottom w:val="0"/>
      <w:divBdr>
        <w:top w:val="none" w:sz="0" w:space="0" w:color="auto"/>
        <w:left w:val="none" w:sz="0" w:space="0" w:color="auto"/>
        <w:bottom w:val="none" w:sz="0" w:space="0" w:color="auto"/>
        <w:right w:val="none" w:sz="0" w:space="0" w:color="auto"/>
      </w:divBdr>
    </w:div>
    <w:div w:id="16484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9FZmntXOan_7LF0ckzKZNLrla0L8eC_GxWEfAmmOMkU/edit" TargetMode="External"/><Relationship Id="rId3" Type="http://schemas.openxmlformats.org/officeDocument/2006/relationships/settings" Target="settings.xml"/><Relationship Id="rId7" Type="http://schemas.openxmlformats.org/officeDocument/2006/relationships/hyperlink" Target="https://docs.google.com/spreadsheets/d/19FZmntXOan_7LF0ckzKZNLrla0L8eC_GxWEfAmmOMkU/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GKJ-NF5MnRllFiz7iaa5hsmyNpg5oxPxqBl2MNtxV_Y/edit" TargetMode="External"/><Relationship Id="rId5" Type="http://schemas.openxmlformats.org/officeDocument/2006/relationships/hyperlink" Target="https://docs.google.com/spreadsheets/d/1siFPKNqSr-YGj0DKurvS3hcoa8Y8eAJUBHpS5BhwJPw/ed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5</cp:revision>
  <dcterms:created xsi:type="dcterms:W3CDTF">2019-06-21T08:47:00Z</dcterms:created>
  <dcterms:modified xsi:type="dcterms:W3CDTF">2019-06-21T09:57:00Z</dcterms:modified>
</cp:coreProperties>
</file>