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C6E" w:rsidRPr="006A0DD6" w:rsidRDefault="00E06C6E" w:rsidP="009B7358">
      <w:pPr>
        <w:spacing w:after="120" w:line="276" w:lineRule="auto"/>
        <w:rPr>
          <w:b/>
          <w:bCs/>
          <w:shd w:val="clear" w:color="auto" w:fill="FFFFFF"/>
        </w:rPr>
      </w:pPr>
      <w:r w:rsidRPr="006A0DD6">
        <w:rPr>
          <w:b/>
          <w:bCs/>
          <w:shd w:val="clear" w:color="auto" w:fill="FFFFFF"/>
        </w:rPr>
        <w:t>Latin Generation Panel (GP) Meeting</w:t>
      </w:r>
      <w:r w:rsidRPr="006A0DD6">
        <w:rPr>
          <w:b/>
          <w:bCs/>
          <w:shd w:val="clear" w:color="auto" w:fill="FFFFFF"/>
        </w:rPr>
        <w:br/>
      </w:r>
      <w:r w:rsidRPr="006A0DD6">
        <w:rPr>
          <w:b/>
          <w:bCs/>
          <w:lang w:eastAsia="en-SG"/>
        </w:rPr>
        <w:t>Notes from the meeting on</w:t>
      </w:r>
      <w:r w:rsidR="00CD2A3E" w:rsidRPr="006A0DD6">
        <w:rPr>
          <w:b/>
          <w:bCs/>
          <w:cs/>
          <w:lang w:eastAsia="en-SG"/>
        </w:rPr>
        <w:t xml:space="preserve"> </w:t>
      </w:r>
      <w:r w:rsidR="00D4749F">
        <w:rPr>
          <w:b/>
          <w:bCs/>
          <w:lang w:eastAsia="en-SG"/>
        </w:rPr>
        <w:t>30</w:t>
      </w:r>
      <w:r w:rsidR="001670A1" w:rsidRPr="006A0DD6">
        <w:rPr>
          <w:b/>
          <w:bCs/>
          <w:lang w:eastAsia="en-SG"/>
        </w:rPr>
        <w:t xml:space="preserve"> </w:t>
      </w:r>
      <w:r w:rsidR="00D7505C">
        <w:rPr>
          <w:b/>
          <w:bCs/>
          <w:lang w:eastAsia="en-SG"/>
        </w:rPr>
        <w:t>Jul</w:t>
      </w:r>
      <w:r w:rsidR="0087727D">
        <w:rPr>
          <w:b/>
          <w:bCs/>
          <w:lang w:eastAsia="en-SG"/>
        </w:rPr>
        <w:t>y</w:t>
      </w:r>
      <w:r w:rsidRPr="006A0DD6">
        <w:rPr>
          <w:b/>
          <w:bCs/>
          <w:lang w:eastAsia="en-SG"/>
        </w:rPr>
        <w:t xml:space="preserve"> 20</w:t>
      </w:r>
      <w:r w:rsidR="00F75E8D" w:rsidRPr="006A0DD6">
        <w:rPr>
          <w:b/>
          <w:bCs/>
          <w:lang w:eastAsia="en-SG"/>
        </w:rPr>
        <w:t>20</w:t>
      </w:r>
    </w:p>
    <w:p w:rsidR="00E06C6E" w:rsidRPr="006A0DD6" w:rsidRDefault="00E06C6E" w:rsidP="00513CE4">
      <w:pPr>
        <w:shd w:val="clear" w:color="auto" w:fill="FFFFFF"/>
        <w:rPr>
          <w:lang w:eastAsia="en-SG"/>
        </w:rPr>
      </w:pPr>
      <w:r w:rsidRPr="006A0DD6">
        <w:rPr>
          <w:lang w:eastAsia="en-SG"/>
        </w:rPr>
        <w:t>Meeting Attendees (in alphabetical order)</w:t>
      </w:r>
    </w:p>
    <w:p w:rsidR="00E06C6E" w:rsidRPr="006A0DD6" w:rsidRDefault="00E06C6E" w:rsidP="00513CE4">
      <w:pPr>
        <w:shd w:val="clear" w:color="auto" w:fill="FFFFFF"/>
        <w:rPr>
          <w:lang w:eastAsia="en-SG"/>
        </w:rPr>
      </w:pPr>
      <w:r w:rsidRPr="006A0DD6">
        <w:rPr>
          <w:lang w:eastAsia="en-SG"/>
        </w:rPr>
        <w:tab/>
        <w:t>GP members:</w:t>
      </w:r>
      <w:r w:rsidR="003C4F37" w:rsidRPr="006A0DD6">
        <w:rPr>
          <w:lang w:eastAsia="en-SG"/>
        </w:rPr>
        <w:t xml:space="preserve">   </w:t>
      </w:r>
      <w:r w:rsidR="007A5E0C" w:rsidRPr="006A0DD6">
        <w:rPr>
          <w:lang w:eastAsia="en-SG"/>
        </w:rPr>
        <w:t xml:space="preserve"> </w:t>
      </w:r>
    </w:p>
    <w:p w:rsidR="005B19CA" w:rsidRPr="006A0DD6" w:rsidRDefault="005B19CA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Bill </w:t>
      </w:r>
      <w:proofErr w:type="spellStart"/>
      <w:r w:rsidRPr="006A0DD6">
        <w:rPr>
          <w:sz w:val="24"/>
          <w:szCs w:val="24"/>
        </w:rPr>
        <w:t>Jouris</w:t>
      </w:r>
      <w:proofErr w:type="spellEnd"/>
      <w:r w:rsidRPr="006A0DD6">
        <w:rPr>
          <w:sz w:val="24"/>
          <w:szCs w:val="24"/>
        </w:rPr>
        <w:t xml:space="preserve"> </w:t>
      </w:r>
    </w:p>
    <w:p w:rsidR="007A5E0C" w:rsidRPr="006A0DD6" w:rsidRDefault="007A5E0C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>Dennis Tan</w:t>
      </w:r>
    </w:p>
    <w:p w:rsidR="003C4F37" w:rsidRDefault="003C4F37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Mats </w:t>
      </w:r>
      <w:proofErr w:type="spellStart"/>
      <w:r w:rsidRPr="006A0DD6">
        <w:rPr>
          <w:sz w:val="24"/>
          <w:szCs w:val="24"/>
        </w:rPr>
        <w:t>Dufberg</w:t>
      </w:r>
      <w:proofErr w:type="spellEnd"/>
    </w:p>
    <w:p w:rsidR="00486FFA" w:rsidRDefault="00486FFA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Meikal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Mumin</w:t>
      </w:r>
      <w:proofErr w:type="spellEnd"/>
    </w:p>
    <w:p w:rsidR="007A5E0C" w:rsidRPr="006A0DD6" w:rsidRDefault="007A5E0C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Michael </w:t>
      </w:r>
      <w:proofErr w:type="spellStart"/>
      <w:r w:rsidRPr="006A0DD6">
        <w:rPr>
          <w:sz w:val="24"/>
          <w:szCs w:val="24"/>
        </w:rPr>
        <w:t>Bouland</w:t>
      </w:r>
      <w:proofErr w:type="spellEnd"/>
    </w:p>
    <w:p w:rsidR="00B47D76" w:rsidRDefault="00640A9F" w:rsidP="00513CE4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Mirjana </w:t>
      </w:r>
      <w:proofErr w:type="spellStart"/>
      <w:r w:rsidRPr="006A0DD6">
        <w:rPr>
          <w:sz w:val="24"/>
          <w:szCs w:val="24"/>
        </w:rPr>
        <w:t>Tasic</w:t>
      </w:r>
      <w:proofErr w:type="spellEnd"/>
      <w:r w:rsidRPr="006A0DD6">
        <w:rPr>
          <w:sz w:val="24"/>
          <w:szCs w:val="24"/>
        </w:rPr>
        <w:t xml:space="preserve"> </w:t>
      </w:r>
    </w:p>
    <w:p w:rsidR="00BB05D7" w:rsidRPr="006A0DD6" w:rsidRDefault="00E06C6E" w:rsidP="00513CE4">
      <w:pPr>
        <w:shd w:val="clear" w:color="auto" w:fill="FFFFFF"/>
        <w:ind w:firstLine="720"/>
        <w:rPr>
          <w:lang w:eastAsia="en-SG"/>
        </w:rPr>
      </w:pPr>
      <w:r w:rsidRPr="006A0DD6">
        <w:rPr>
          <w:lang w:eastAsia="en-SG"/>
        </w:rPr>
        <w:t>Staff:</w:t>
      </w:r>
    </w:p>
    <w:p w:rsidR="00C32C9F" w:rsidRDefault="00C32C9F" w:rsidP="00513CE4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6A0DD6">
        <w:rPr>
          <w:sz w:val="24"/>
          <w:szCs w:val="24"/>
          <w:lang w:eastAsia="en-SG"/>
        </w:rPr>
        <w:t>Pitinan Kooarmornpatana</w:t>
      </w:r>
    </w:p>
    <w:p w:rsidR="00C32C9F" w:rsidRPr="00513CE4" w:rsidRDefault="00D7505C" w:rsidP="00513CE4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>Sarmad Hussain</w:t>
      </w:r>
    </w:p>
    <w:p w:rsidR="009319F6" w:rsidRPr="006A0DD6" w:rsidRDefault="00E06C6E" w:rsidP="00894E47">
      <w:pPr>
        <w:snapToGrid w:val="0"/>
        <w:spacing w:before="120" w:after="120" w:line="276" w:lineRule="auto"/>
        <w:rPr>
          <w:b/>
          <w:bCs/>
          <w:lang w:eastAsia="en-SG"/>
        </w:rPr>
      </w:pPr>
      <w:r w:rsidRPr="006A0DD6">
        <w:rPr>
          <w:b/>
          <w:bCs/>
          <w:lang w:eastAsia="en-SG"/>
        </w:rPr>
        <w:t xml:space="preserve">Meeting Notes </w:t>
      </w:r>
    </w:p>
    <w:p w:rsidR="00A90956" w:rsidRDefault="004864D6" w:rsidP="00C5336A">
      <w:pPr>
        <w:spacing w:after="240"/>
        <w:rPr>
          <w:lang w:eastAsia="en-SG"/>
        </w:rPr>
      </w:pPr>
      <w:r w:rsidRPr="00221819">
        <w:rPr>
          <w:lang w:eastAsia="en-SG"/>
        </w:rPr>
        <w:t xml:space="preserve">The GP </w:t>
      </w:r>
      <w:r w:rsidR="00485BBA">
        <w:rPr>
          <w:lang w:eastAsia="en-SG"/>
        </w:rPr>
        <w:t>discussed the estimated timeline for the next version of the LGR proposal</w:t>
      </w:r>
      <w:r w:rsidR="00576232">
        <w:rPr>
          <w:lang w:eastAsia="en-SG"/>
        </w:rPr>
        <w:t xml:space="preserve"> as per requested by ICANN staff. </w:t>
      </w:r>
      <w:r w:rsidR="00A90956">
        <w:rPr>
          <w:lang w:eastAsia="en-SG"/>
        </w:rPr>
        <w:t>It was shared that all GP’s decisions from the weekly calls were captured in the proposal</w:t>
      </w:r>
      <w:r w:rsidR="00576232">
        <w:rPr>
          <w:lang w:eastAsia="en-SG"/>
        </w:rPr>
        <w:t xml:space="preserve">. The current set of documents, except the ongoing Appendix E, </w:t>
      </w:r>
      <w:r w:rsidR="00A90956">
        <w:rPr>
          <w:lang w:eastAsia="en-SG"/>
        </w:rPr>
        <w:t xml:space="preserve">were uploaded to the folder ‘Version 30July2020’ in the working One Drive. </w:t>
      </w:r>
      <w:r w:rsidR="00A90956">
        <w:rPr>
          <w:lang w:eastAsia="en-SG"/>
        </w:rPr>
        <w:br/>
      </w:r>
      <w:r w:rsidR="00A90956">
        <w:rPr>
          <w:lang w:eastAsia="en-SG"/>
        </w:rPr>
        <w:br/>
      </w:r>
      <w:r w:rsidR="00576232">
        <w:rPr>
          <w:lang w:eastAsia="en-SG"/>
        </w:rPr>
        <w:t xml:space="preserve">It was shared that </w:t>
      </w:r>
      <w:r w:rsidR="00A90956">
        <w:rPr>
          <w:lang w:eastAsia="en-SG"/>
        </w:rPr>
        <w:t>ICANN staff could start developing the XML LGR right after the repertoire and the variant part are done</w:t>
      </w:r>
      <w:r w:rsidR="00576232">
        <w:rPr>
          <w:lang w:eastAsia="en-SG"/>
        </w:rPr>
        <w:t>. Therefore, the XML would be developed</w:t>
      </w:r>
      <w:r w:rsidR="00A90956">
        <w:rPr>
          <w:lang w:eastAsia="en-SG"/>
        </w:rPr>
        <w:t xml:space="preserve"> in parallel with the time GP would </w:t>
      </w:r>
      <w:r w:rsidR="00576232">
        <w:rPr>
          <w:lang w:eastAsia="en-SG"/>
        </w:rPr>
        <w:t xml:space="preserve">finalize </w:t>
      </w:r>
      <w:r w:rsidR="00A90956">
        <w:rPr>
          <w:lang w:eastAsia="en-SG"/>
        </w:rPr>
        <w:t xml:space="preserve">the proposal. </w:t>
      </w:r>
      <w:r w:rsidR="00576232">
        <w:rPr>
          <w:lang w:eastAsia="en-SG"/>
        </w:rPr>
        <w:t xml:space="preserve">The XML and the proposal should be ready at the same time to conduct the cross-check.  </w:t>
      </w:r>
    </w:p>
    <w:p w:rsidR="00A90956" w:rsidRDefault="00EA2110" w:rsidP="00C5336A">
      <w:pPr>
        <w:spacing w:after="240"/>
        <w:rPr>
          <w:lang w:eastAsia="en-SG"/>
        </w:rPr>
      </w:pPr>
      <w:r>
        <w:rPr>
          <w:lang w:eastAsia="en-SG"/>
        </w:rPr>
        <w:t>The GP rechecked if the case of LATIN SMALL LETTER J and LATIN SMALL LETTER I with OGONAK was considered. It was confirmed that the analysis has been done and the conclusion was not-variant.</w:t>
      </w:r>
    </w:p>
    <w:p w:rsidR="00EA2110" w:rsidRDefault="00EA2110" w:rsidP="00C5336A">
      <w:pPr>
        <w:spacing w:after="240"/>
        <w:rPr>
          <w:lang w:eastAsia="en-SG"/>
        </w:rPr>
      </w:pPr>
      <w:r>
        <w:rPr>
          <w:lang w:eastAsia="en-SG"/>
        </w:rPr>
        <w:t xml:space="preserve">The GP </w:t>
      </w:r>
      <w:r w:rsidR="00BD1725">
        <w:rPr>
          <w:lang w:eastAsia="en-SG"/>
        </w:rPr>
        <w:t>decided that</w:t>
      </w:r>
      <w:r>
        <w:rPr>
          <w:lang w:eastAsia="en-SG"/>
        </w:rPr>
        <w:t xml:space="preserve"> 31 October 2021</w:t>
      </w:r>
      <w:r w:rsidR="00BD1725">
        <w:rPr>
          <w:lang w:eastAsia="en-SG"/>
        </w:rPr>
        <w:t xml:space="preserve"> seems to be a possible </w:t>
      </w:r>
      <w:r w:rsidR="00576232">
        <w:rPr>
          <w:lang w:eastAsia="en-SG"/>
        </w:rPr>
        <w:t xml:space="preserve">timeline for the next version of the Latin LGR proposal. </w:t>
      </w:r>
    </w:p>
    <w:p w:rsidR="0076573D" w:rsidRDefault="00BD1725" w:rsidP="00C5336A">
      <w:pPr>
        <w:spacing w:after="240"/>
        <w:rPr>
          <w:lang w:eastAsia="en-SG"/>
        </w:rPr>
      </w:pPr>
      <w:r>
        <w:rPr>
          <w:lang w:eastAsia="en-SG"/>
        </w:rPr>
        <w:t xml:space="preserve">The </w:t>
      </w:r>
      <w:r w:rsidR="00576232">
        <w:rPr>
          <w:lang w:eastAsia="en-SG"/>
        </w:rPr>
        <w:t>Underlining A</w:t>
      </w:r>
      <w:r>
        <w:rPr>
          <w:lang w:eastAsia="en-SG"/>
        </w:rPr>
        <w:t xml:space="preserve">nalysis </w:t>
      </w:r>
      <w:r w:rsidR="00576232">
        <w:rPr>
          <w:lang w:eastAsia="en-SG"/>
        </w:rPr>
        <w:t xml:space="preserve">draft </w:t>
      </w:r>
      <w:r w:rsidR="00E5022C">
        <w:rPr>
          <w:lang w:eastAsia="en-SG"/>
        </w:rPr>
        <w:t xml:space="preserve">text </w:t>
      </w:r>
      <w:r>
        <w:rPr>
          <w:lang w:eastAsia="en-SG"/>
        </w:rPr>
        <w:t xml:space="preserve">was discussed. </w:t>
      </w:r>
      <w:r w:rsidR="00E5022C">
        <w:rPr>
          <w:lang w:eastAsia="en-SG"/>
        </w:rPr>
        <w:t>There was no further comment in the main text, only t</w:t>
      </w:r>
      <w:r>
        <w:rPr>
          <w:lang w:eastAsia="en-SG"/>
        </w:rPr>
        <w:t xml:space="preserve">he final conclusion was to be finalized. </w:t>
      </w:r>
      <w:r w:rsidR="00E5022C">
        <w:rPr>
          <w:lang w:eastAsia="en-SG"/>
        </w:rPr>
        <w:t>It was agreed that the</w:t>
      </w:r>
      <w:r>
        <w:rPr>
          <w:lang w:eastAsia="en-SG"/>
        </w:rPr>
        <w:t xml:space="preserve"> text will be added to Section 6.4</w:t>
      </w:r>
      <w:r w:rsidR="00E5022C">
        <w:rPr>
          <w:lang w:eastAsia="en-SG"/>
        </w:rPr>
        <w:t>.1 and it</w:t>
      </w:r>
      <w:r>
        <w:rPr>
          <w:lang w:eastAsia="en-SG"/>
        </w:rPr>
        <w:t xml:space="preserve"> should include the pointer to Appendix D.6 which provide </w:t>
      </w:r>
      <w:r w:rsidR="00576232">
        <w:rPr>
          <w:lang w:eastAsia="en-SG"/>
        </w:rPr>
        <w:t xml:space="preserve">screenshots of underlining cases. </w:t>
      </w:r>
    </w:p>
    <w:p w:rsidR="00576232" w:rsidRDefault="00576232" w:rsidP="00C5336A">
      <w:pPr>
        <w:spacing w:after="240"/>
        <w:rPr>
          <w:lang w:eastAsia="en-SG"/>
        </w:rPr>
      </w:pPr>
      <w:r>
        <w:rPr>
          <w:lang w:eastAsia="en-SG"/>
        </w:rPr>
        <w:t xml:space="preserve">The GP agreed </w:t>
      </w:r>
      <w:r w:rsidR="00E5022C">
        <w:rPr>
          <w:lang w:eastAsia="en-SG"/>
        </w:rPr>
        <w:t>that the</w:t>
      </w:r>
      <w:r>
        <w:rPr>
          <w:lang w:eastAsia="en-SG"/>
        </w:rPr>
        <w:t xml:space="preserve"> </w:t>
      </w:r>
      <w:r w:rsidR="00E5022C">
        <w:rPr>
          <w:lang w:eastAsia="en-SG"/>
        </w:rPr>
        <w:t xml:space="preserve">existing </w:t>
      </w:r>
      <w:r>
        <w:rPr>
          <w:lang w:eastAsia="en-SG"/>
        </w:rPr>
        <w:t xml:space="preserve">beginning </w:t>
      </w:r>
      <w:r w:rsidR="00E5022C">
        <w:rPr>
          <w:lang w:eastAsia="en-SG"/>
        </w:rPr>
        <w:t xml:space="preserve">paragraph in the </w:t>
      </w:r>
      <w:r>
        <w:rPr>
          <w:lang w:eastAsia="en-SG"/>
        </w:rPr>
        <w:t xml:space="preserve">Appendix D.6 </w:t>
      </w:r>
      <w:r w:rsidR="00E5022C">
        <w:rPr>
          <w:lang w:eastAsia="en-SG"/>
        </w:rPr>
        <w:t>will b</w:t>
      </w:r>
      <w:r>
        <w:rPr>
          <w:lang w:eastAsia="en-SG"/>
        </w:rPr>
        <w:t>e re</w:t>
      </w:r>
      <w:r w:rsidR="00E5022C">
        <w:rPr>
          <w:lang w:eastAsia="en-SG"/>
        </w:rPr>
        <w:t xml:space="preserve">vised to be </w:t>
      </w:r>
      <w:r>
        <w:rPr>
          <w:lang w:eastAsia="en-SG"/>
        </w:rPr>
        <w:t>only a short paragraph</w:t>
      </w:r>
      <w:r w:rsidR="00E5022C">
        <w:rPr>
          <w:lang w:eastAsia="en-SG"/>
        </w:rPr>
        <w:t xml:space="preserve"> to</w:t>
      </w:r>
      <w:r>
        <w:rPr>
          <w:lang w:eastAsia="en-SG"/>
        </w:rPr>
        <w:t xml:space="preserve"> introduc</w:t>
      </w:r>
      <w:r w:rsidR="00E5022C">
        <w:rPr>
          <w:lang w:eastAsia="en-SG"/>
        </w:rPr>
        <w:t xml:space="preserve">e </w:t>
      </w:r>
      <w:r>
        <w:rPr>
          <w:lang w:eastAsia="en-SG"/>
        </w:rPr>
        <w:t xml:space="preserve">the data in this section. </w:t>
      </w:r>
    </w:p>
    <w:p w:rsidR="00E5022C" w:rsidRDefault="00576232" w:rsidP="00C5336A">
      <w:pPr>
        <w:spacing w:after="240"/>
        <w:rPr>
          <w:lang w:eastAsia="en-SG"/>
        </w:rPr>
      </w:pPr>
      <w:r>
        <w:rPr>
          <w:lang w:eastAsia="en-SG"/>
        </w:rPr>
        <w:t xml:space="preserve">The GP then started reviewing the Appendix E: Confusable. The heading of the section was discussed and it was agreed to be “Visually Confusable Glyphs”. </w:t>
      </w:r>
    </w:p>
    <w:p w:rsidR="00513CE4" w:rsidRDefault="00576232" w:rsidP="00C5336A">
      <w:pPr>
        <w:spacing w:after="240"/>
        <w:rPr>
          <w:lang w:eastAsia="en-SG"/>
        </w:rPr>
      </w:pPr>
      <w:r>
        <w:rPr>
          <w:lang w:eastAsia="en-SG"/>
        </w:rPr>
        <w:t>The chair thanks all the member</w:t>
      </w:r>
      <w:r w:rsidR="00E5022C">
        <w:rPr>
          <w:lang w:eastAsia="en-SG"/>
        </w:rPr>
        <w:t>s f</w:t>
      </w:r>
      <w:r>
        <w:rPr>
          <w:lang w:eastAsia="en-SG"/>
        </w:rPr>
        <w:t xml:space="preserve">or participating in the meeting </w:t>
      </w:r>
      <w:r w:rsidR="00E5022C">
        <w:rPr>
          <w:lang w:eastAsia="en-SG"/>
        </w:rPr>
        <w:t>for</w:t>
      </w:r>
      <w:r>
        <w:rPr>
          <w:lang w:eastAsia="en-SG"/>
        </w:rPr>
        <w:t xml:space="preserve"> the past </w:t>
      </w:r>
      <w:r w:rsidR="00E5022C">
        <w:rPr>
          <w:lang w:eastAsia="en-SG"/>
        </w:rPr>
        <w:t>several</w:t>
      </w:r>
      <w:r>
        <w:rPr>
          <w:lang w:eastAsia="en-SG"/>
        </w:rPr>
        <w:t xml:space="preserve"> months. </w:t>
      </w:r>
    </w:p>
    <w:p w:rsidR="00FA790D" w:rsidRDefault="00E67994" w:rsidP="00576232">
      <w:pPr>
        <w:shd w:val="clear" w:color="auto" w:fill="FFFFFF"/>
        <w:snapToGrid w:val="0"/>
        <w:spacing w:before="240" w:after="120"/>
        <w:rPr>
          <w:lang w:eastAsia="en-SG"/>
        </w:rPr>
      </w:pPr>
      <w:r w:rsidRPr="006A0DD6">
        <w:rPr>
          <w:b/>
          <w:bCs/>
          <w:lang w:eastAsia="en-SG"/>
        </w:rPr>
        <w:t>Next meeting:</w:t>
      </w:r>
      <w:r w:rsidRPr="006A0DD6">
        <w:rPr>
          <w:lang w:eastAsia="en-SG"/>
        </w:rPr>
        <w:t xml:space="preserve"> </w:t>
      </w:r>
      <w:r w:rsidR="000739A3" w:rsidRPr="006A0DD6">
        <w:rPr>
          <w:lang w:eastAsia="en-SG"/>
        </w:rPr>
        <w:t xml:space="preserve">Thursday </w:t>
      </w:r>
      <w:r w:rsidR="00576232">
        <w:rPr>
          <w:lang w:eastAsia="en-SG"/>
        </w:rPr>
        <w:t>6 August</w:t>
      </w:r>
      <w:r w:rsidR="0061088E" w:rsidRPr="006A0DD6">
        <w:rPr>
          <w:lang w:eastAsia="en-SG"/>
        </w:rPr>
        <w:t xml:space="preserve"> </w:t>
      </w:r>
      <w:r w:rsidR="000739A3" w:rsidRPr="006A0DD6">
        <w:rPr>
          <w:lang w:eastAsia="en-SG"/>
        </w:rPr>
        <w:t>2020 16:00UTC</w:t>
      </w:r>
      <w:r w:rsidR="00A74B56" w:rsidRPr="006A0DD6">
        <w:rPr>
          <w:lang w:eastAsia="en-SG"/>
        </w:rPr>
        <w:t>.</w:t>
      </w:r>
      <w:r w:rsidR="00577B48" w:rsidRPr="006A0DD6">
        <w:rPr>
          <w:lang w:eastAsia="en-SG"/>
        </w:rPr>
        <w:t xml:space="preserve"> </w:t>
      </w:r>
    </w:p>
    <w:p w:rsidR="00E67994" w:rsidRPr="006A0DD6" w:rsidRDefault="00E67994" w:rsidP="00894E47">
      <w:pPr>
        <w:shd w:val="clear" w:color="auto" w:fill="FFFFFF"/>
        <w:snapToGrid w:val="0"/>
        <w:spacing w:before="120" w:line="276" w:lineRule="auto"/>
        <w:rPr>
          <w:b/>
          <w:bCs/>
          <w:lang w:eastAsia="en-SG"/>
        </w:rPr>
      </w:pPr>
      <w:r w:rsidRPr="006A0DD6">
        <w:rPr>
          <w:b/>
          <w:bCs/>
          <w:u w:val="single"/>
          <w:lang w:eastAsia="en-SG"/>
        </w:rPr>
        <w:lastRenderedPageBreak/>
        <w:t>Action Items</w:t>
      </w:r>
      <w:r w:rsidRPr="006A0DD6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E67994" w:rsidRPr="0074186B" w:rsidTr="00F66638">
        <w:tc>
          <w:tcPr>
            <w:tcW w:w="900" w:type="dxa"/>
          </w:tcPr>
          <w:p w:rsidR="00E67994" w:rsidRPr="0074186B" w:rsidRDefault="00E67994" w:rsidP="007452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74186B">
              <w:rPr>
                <w:b/>
                <w:bCs/>
                <w:sz w:val="24"/>
                <w:szCs w:val="24"/>
                <w:lang w:eastAsia="en-SG"/>
              </w:rPr>
              <w:t>S. No.</w:t>
            </w:r>
          </w:p>
        </w:tc>
        <w:tc>
          <w:tcPr>
            <w:tcW w:w="7290" w:type="dxa"/>
          </w:tcPr>
          <w:p w:rsidR="00E67994" w:rsidRPr="0074186B" w:rsidRDefault="00E67994" w:rsidP="00745264">
            <w:pPr>
              <w:spacing w:line="276" w:lineRule="auto"/>
              <w:rPr>
                <w:b/>
                <w:bCs/>
                <w:sz w:val="24"/>
                <w:szCs w:val="24"/>
                <w:lang w:eastAsia="en-SG"/>
              </w:rPr>
            </w:pPr>
            <w:r w:rsidRPr="0074186B">
              <w:rPr>
                <w:b/>
                <w:bCs/>
                <w:sz w:val="24"/>
                <w:szCs w:val="24"/>
                <w:lang w:eastAsia="en-SG"/>
              </w:rPr>
              <w:t>Action Item</w:t>
            </w:r>
          </w:p>
        </w:tc>
        <w:tc>
          <w:tcPr>
            <w:tcW w:w="1080" w:type="dxa"/>
          </w:tcPr>
          <w:p w:rsidR="00E67994" w:rsidRPr="0074186B" w:rsidRDefault="00E67994" w:rsidP="007452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74186B">
              <w:rPr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FC6260" w:rsidRPr="00576232" w:rsidTr="002D5567">
        <w:trPr>
          <w:trHeight w:val="476"/>
        </w:trPr>
        <w:tc>
          <w:tcPr>
            <w:tcW w:w="900" w:type="dxa"/>
          </w:tcPr>
          <w:p w:rsidR="00FC6260" w:rsidRPr="00576232" w:rsidRDefault="00FC6260" w:rsidP="00FC6260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576232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90" w:type="dxa"/>
          </w:tcPr>
          <w:p w:rsidR="00FC6260" w:rsidRPr="00576232" w:rsidRDefault="00E5022C" w:rsidP="00FC6260">
            <w:pPr>
              <w:spacing w:line="276" w:lineRule="auto"/>
              <w:rPr>
                <w:rFonts w:cs="Browallia New"/>
                <w:i/>
                <w:iCs/>
                <w:sz w:val="24"/>
                <w:szCs w:val="24"/>
                <w:lang w:eastAsia="en-SG"/>
              </w:rPr>
            </w:pPr>
            <w:r>
              <w:rPr>
                <w:rFonts w:cs="Browallia New"/>
                <w:i/>
                <w:iCs/>
                <w:sz w:val="24"/>
                <w:szCs w:val="24"/>
                <w:lang w:val="en-US" w:eastAsia="en-SG"/>
              </w:rPr>
              <w:t>Draft</w:t>
            </w:r>
            <w:r w:rsidR="00576232" w:rsidRPr="00576232">
              <w:rPr>
                <w:rFonts w:cs="Browallia New"/>
                <w:i/>
                <w:iCs/>
                <w:sz w:val="24"/>
                <w:szCs w:val="24"/>
                <w:lang w:val="en-US" w:eastAsia="en-SG"/>
              </w:rPr>
              <w:t xml:space="preserve"> the conclusion of the underlining analysis section and also  include the pointer to the data in Appendix D.6</w:t>
            </w:r>
          </w:p>
        </w:tc>
        <w:tc>
          <w:tcPr>
            <w:tcW w:w="1080" w:type="dxa"/>
          </w:tcPr>
          <w:p w:rsidR="00FC6260" w:rsidRPr="00576232" w:rsidRDefault="00576232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 w:rsidRPr="00576232">
              <w:rPr>
                <w:i/>
                <w:iCs/>
                <w:sz w:val="24"/>
                <w:szCs w:val="24"/>
                <w:lang w:eastAsia="en-SG"/>
              </w:rPr>
              <w:t>MD</w:t>
            </w:r>
          </w:p>
        </w:tc>
      </w:tr>
      <w:tr w:rsidR="00576232" w:rsidRPr="00576232" w:rsidTr="002D5567">
        <w:trPr>
          <w:trHeight w:val="476"/>
        </w:trPr>
        <w:tc>
          <w:tcPr>
            <w:tcW w:w="900" w:type="dxa"/>
          </w:tcPr>
          <w:p w:rsidR="00576232" w:rsidRPr="00576232" w:rsidRDefault="00576232" w:rsidP="00FC6260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576232">
              <w:rPr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290" w:type="dxa"/>
          </w:tcPr>
          <w:p w:rsidR="00576232" w:rsidRPr="00576232" w:rsidRDefault="00576232" w:rsidP="00FC6260">
            <w:pPr>
              <w:spacing w:line="276" w:lineRule="auto"/>
              <w:rPr>
                <w:rFonts w:cs="Browallia New"/>
                <w:i/>
                <w:iCs/>
                <w:sz w:val="24"/>
                <w:szCs w:val="24"/>
                <w:lang w:eastAsia="en-SG"/>
              </w:rPr>
            </w:pPr>
            <w:r w:rsidRPr="00576232">
              <w:rPr>
                <w:rFonts w:cs="Browallia New"/>
                <w:i/>
                <w:iCs/>
                <w:sz w:val="24"/>
                <w:szCs w:val="24"/>
                <w:lang w:eastAsia="en-SG"/>
              </w:rPr>
              <w:t xml:space="preserve">Revise the leading paragraph </w:t>
            </w:r>
            <w:r>
              <w:rPr>
                <w:rFonts w:cs="Browallia New"/>
                <w:i/>
                <w:iCs/>
                <w:sz w:val="24"/>
                <w:szCs w:val="24"/>
                <w:lang w:eastAsia="en-SG"/>
              </w:rPr>
              <w:t>of</w:t>
            </w:r>
            <w:r w:rsidRPr="00576232">
              <w:rPr>
                <w:rFonts w:cs="Browallia New"/>
                <w:i/>
                <w:iCs/>
                <w:sz w:val="24"/>
                <w:szCs w:val="24"/>
                <w:lang w:eastAsia="en-SG"/>
              </w:rPr>
              <w:t xml:space="preserve"> Appendix D.6</w:t>
            </w:r>
            <w:r>
              <w:rPr>
                <w:rFonts w:cs="Browallia New"/>
                <w:i/>
                <w:iCs/>
                <w:sz w:val="24"/>
                <w:szCs w:val="24"/>
                <w:lang w:eastAsia="en-SG"/>
              </w:rPr>
              <w:t xml:space="preserve"> as discussed by the GP</w:t>
            </w:r>
          </w:p>
        </w:tc>
        <w:tc>
          <w:tcPr>
            <w:tcW w:w="1080" w:type="dxa"/>
          </w:tcPr>
          <w:p w:rsidR="00576232" w:rsidRPr="00576232" w:rsidRDefault="00576232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MD</w:t>
            </w:r>
          </w:p>
        </w:tc>
      </w:tr>
    </w:tbl>
    <w:p w:rsidR="00492519" w:rsidRPr="006A0DD6" w:rsidRDefault="00492519" w:rsidP="00134ABA">
      <w:pPr>
        <w:tabs>
          <w:tab w:val="left" w:pos="5466"/>
        </w:tabs>
        <w:rPr>
          <w:highlight w:val="yellow"/>
          <w:lang w:eastAsia="en-SG"/>
        </w:rPr>
      </w:pPr>
      <w:bookmarkStart w:id="0" w:name="_GoBack"/>
      <w:bookmarkEnd w:id="0"/>
    </w:p>
    <w:sectPr w:rsidR="00492519" w:rsidRPr="006A0DD6" w:rsidSect="00FA790D">
      <w:pgSz w:w="12240" w:h="15840"/>
      <w:pgMar w:top="1215" w:right="1440" w:bottom="12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0373" w:rsidRDefault="00070373" w:rsidP="009B7358">
      <w:r>
        <w:separator/>
      </w:r>
    </w:p>
  </w:endnote>
  <w:endnote w:type="continuationSeparator" w:id="0">
    <w:p w:rsidR="00070373" w:rsidRDefault="00070373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0373" w:rsidRDefault="00070373" w:rsidP="009B7358">
      <w:r>
        <w:separator/>
      </w:r>
    </w:p>
  </w:footnote>
  <w:footnote w:type="continuationSeparator" w:id="0">
    <w:p w:rsidR="00070373" w:rsidRDefault="00070373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E553D"/>
    <w:multiLevelType w:val="hybridMultilevel"/>
    <w:tmpl w:val="5420AF62"/>
    <w:lvl w:ilvl="0" w:tplc="3F2269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C595F"/>
    <w:multiLevelType w:val="hybridMultilevel"/>
    <w:tmpl w:val="A51A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E56D0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953327"/>
    <w:multiLevelType w:val="hybridMultilevel"/>
    <w:tmpl w:val="CA7EE45E"/>
    <w:lvl w:ilvl="0" w:tplc="97621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4084F"/>
    <w:multiLevelType w:val="hybridMultilevel"/>
    <w:tmpl w:val="C0C272C2"/>
    <w:lvl w:ilvl="0" w:tplc="D158B0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D7831"/>
    <w:multiLevelType w:val="hybridMultilevel"/>
    <w:tmpl w:val="7682D350"/>
    <w:lvl w:ilvl="0" w:tplc="3C0A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BA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2A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49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C6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4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0"/>
  </w:num>
  <w:num w:numId="6">
    <w:abstractNumId w:val="25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20"/>
  </w:num>
  <w:num w:numId="12">
    <w:abstractNumId w:val="9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27"/>
  </w:num>
  <w:num w:numId="20">
    <w:abstractNumId w:val="2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6"/>
  </w:num>
  <w:num w:numId="24">
    <w:abstractNumId w:val="4"/>
  </w:num>
  <w:num w:numId="25">
    <w:abstractNumId w:val="23"/>
  </w:num>
  <w:num w:numId="26">
    <w:abstractNumId w:val="19"/>
  </w:num>
  <w:num w:numId="27">
    <w:abstractNumId w:val="0"/>
  </w:num>
  <w:num w:numId="28">
    <w:abstractNumId w:val="18"/>
  </w:num>
  <w:num w:numId="29">
    <w:abstractNumId w:val="29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375F"/>
    <w:rsid w:val="0000420E"/>
    <w:rsid w:val="00017857"/>
    <w:rsid w:val="000212BB"/>
    <w:rsid w:val="00031D04"/>
    <w:rsid w:val="000321BC"/>
    <w:rsid w:val="0004379D"/>
    <w:rsid w:val="000535AF"/>
    <w:rsid w:val="00056741"/>
    <w:rsid w:val="00070373"/>
    <w:rsid w:val="000739A3"/>
    <w:rsid w:val="00080998"/>
    <w:rsid w:val="00083315"/>
    <w:rsid w:val="0008737E"/>
    <w:rsid w:val="000C0F54"/>
    <w:rsid w:val="000C7F06"/>
    <w:rsid w:val="000D0055"/>
    <w:rsid w:val="000D112A"/>
    <w:rsid w:val="000D67D7"/>
    <w:rsid w:val="000E00D8"/>
    <w:rsid w:val="000E3AE2"/>
    <w:rsid w:val="000F5082"/>
    <w:rsid w:val="000F6470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62151"/>
    <w:rsid w:val="001625FE"/>
    <w:rsid w:val="0016487C"/>
    <w:rsid w:val="0016543C"/>
    <w:rsid w:val="001670A1"/>
    <w:rsid w:val="00171D02"/>
    <w:rsid w:val="001732B8"/>
    <w:rsid w:val="00183604"/>
    <w:rsid w:val="001A1E5C"/>
    <w:rsid w:val="001A4853"/>
    <w:rsid w:val="001B46FC"/>
    <w:rsid w:val="001C1510"/>
    <w:rsid w:val="001C2ACD"/>
    <w:rsid w:val="001D3BEE"/>
    <w:rsid w:val="001D56D5"/>
    <w:rsid w:val="001E2E3A"/>
    <w:rsid w:val="001F7CF8"/>
    <w:rsid w:val="002048F3"/>
    <w:rsid w:val="00205AFD"/>
    <w:rsid w:val="00220D8E"/>
    <w:rsid w:val="0022147A"/>
    <w:rsid w:val="00221819"/>
    <w:rsid w:val="00241A81"/>
    <w:rsid w:val="00245CB4"/>
    <w:rsid w:val="00255B92"/>
    <w:rsid w:val="00264B45"/>
    <w:rsid w:val="002674D7"/>
    <w:rsid w:val="00270424"/>
    <w:rsid w:val="00280B1F"/>
    <w:rsid w:val="002A0C17"/>
    <w:rsid w:val="002A2C18"/>
    <w:rsid w:val="002B6E15"/>
    <w:rsid w:val="002B74ED"/>
    <w:rsid w:val="002D00F7"/>
    <w:rsid w:val="002D5567"/>
    <w:rsid w:val="002E0491"/>
    <w:rsid w:val="002E4E07"/>
    <w:rsid w:val="002F5381"/>
    <w:rsid w:val="00314B86"/>
    <w:rsid w:val="003215D9"/>
    <w:rsid w:val="0033305D"/>
    <w:rsid w:val="00356576"/>
    <w:rsid w:val="00356F71"/>
    <w:rsid w:val="003653C2"/>
    <w:rsid w:val="00376B1A"/>
    <w:rsid w:val="003915F7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37BD6"/>
    <w:rsid w:val="00443E33"/>
    <w:rsid w:val="004458F7"/>
    <w:rsid w:val="0044718A"/>
    <w:rsid w:val="00452010"/>
    <w:rsid w:val="004520BD"/>
    <w:rsid w:val="004538E0"/>
    <w:rsid w:val="004566F0"/>
    <w:rsid w:val="00460A7F"/>
    <w:rsid w:val="00460FA1"/>
    <w:rsid w:val="00477AAB"/>
    <w:rsid w:val="0048375F"/>
    <w:rsid w:val="00485BBA"/>
    <w:rsid w:val="00485D06"/>
    <w:rsid w:val="004864D6"/>
    <w:rsid w:val="00486FFA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13CE4"/>
    <w:rsid w:val="005316E0"/>
    <w:rsid w:val="00535615"/>
    <w:rsid w:val="00550011"/>
    <w:rsid w:val="005508AA"/>
    <w:rsid w:val="005550E0"/>
    <w:rsid w:val="00556854"/>
    <w:rsid w:val="005600E9"/>
    <w:rsid w:val="00576232"/>
    <w:rsid w:val="00577B48"/>
    <w:rsid w:val="00583810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D446B"/>
    <w:rsid w:val="0060051C"/>
    <w:rsid w:val="00605D88"/>
    <w:rsid w:val="0061088E"/>
    <w:rsid w:val="006141C9"/>
    <w:rsid w:val="0061647C"/>
    <w:rsid w:val="00616941"/>
    <w:rsid w:val="0061774D"/>
    <w:rsid w:val="0063119A"/>
    <w:rsid w:val="006326B7"/>
    <w:rsid w:val="00634711"/>
    <w:rsid w:val="006373E6"/>
    <w:rsid w:val="006406EC"/>
    <w:rsid w:val="00640A9F"/>
    <w:rsid w:val="00650BB6"/>
    <w:rsid w:val="00654EAE"/>
    <w:rsid w:val="0066101C"/>
    <w:rsid w:val="00661E71"/>
    <w:rsid w:val="00662380"/>
    <w:rsid w:val="00664727"/>
    <w:rsid w:val="00686CCF"/>
    <w:rsid w:val="00692B1A"/>
    <w:rsid w:val="006A0DD6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34AB5"/>
    <w:rsid w:val="00740CE4"/>
    <w:rsid w:val="0074186B"/>
    <w:rsid w:val="00745264"/>
    <w:rsid w:val="007525DE"/>
    <w:rsid w:val="007545ED"/>
    <w:rsid w:val="007615B2"/>
    <w:rsid w:val="007630A2"/>
    <w:rsid w:val="0076573D"/>
    <w:rsid w:val="00766DB0"/>
    <w:rsid w:val="00770160"/>
    <w:rsid w:val="00771F40"/>
    <w:rsid w:val="007758D4"/>
    <w:rsid w:val="00785A9A"/>
    <w:rsid w:val="00790F6F"/>
    <w:rsid w:val="00797379"/>
    <w:rsid w:val="00797515"/>
    <w:rsid w:val="007A4B79"/>
    <w:rsid w:val="007A5E0C"/>
    <w:rsid w:val="007B0449"/>
    <w:rsid w:val="007C017C"/>
    <w:rsid w:val="007C2380"/>
    <w:rsid w:val="007C57C6"/>
    <w:rsid w:val="007C6A90"/>
    <w:rsid w:val="007D2049"/>
    <w:rsid w:val="007E299B"/>
    <w:rsid w:val="007E2A71"/>
    <w:rsid w:val="00801DE8"/>
    <w:rsid w:val="00815ADA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7727D"/>
    <w:rsid w:val="00880D9C"/>
    <w:rsid w:val="00894110"/>
    <w:rsid w:val="00894E47"/>
    <w:rsid w:val="008A4EC2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8E2A88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0BE5"/>
    <w:rsid w:val="009F2257"/>
    <w:rsid w:val="009F4B02"/>
    <w:rsid w:val="00A04CBB"/>
    <w:rsid w:val="00A10FE9"/>
    <w:rsid w:val="00A12E2D"/>
    <w:rsid w:val="00A201D8"/>
    <w:rsid w:val="00A22B2B"/>
    <w:rsid w:val="00A3173E"/>
    <w:rsid w:val="00A41332"/>
    <w:rsid w:val="00A47074"/>
    <w:rsid w:val="00A71C0C"/>
    <w:rsid w:val="00A74B56"/>
    <w:rsid w:val="00A869DF"/>
    <w:rsid w:val="00A90956"/>
    <w:rsid w:val="00A91573"/>
    <w:rsid w:val="00A97AFF"/>
    <w:rsid w:val="00AA3975"/>
    <w:rsid w:val="00AB6A55"/>
    <w:rsid w:val="00AD1543"/>
    <w:rsid w:val="00AD7D8C"/>
    <w:rsid w:val="00AE0DA5"/>
    <w:rsid w:val="00AF7BEA"/>
    <w:rsid w:val="00B05E93"/>
    <w:rsid w:val="00B16F1D"/>
    <w:rsid w:val="00B24502"/>
    <w:rsid w:val="00B249A6"/>
    <w:rsid w:val="00B27058"/>
    <w:rsid w:val="00B279D9"/>
    <w:rsid w:val="00B3422C"/>
    <w:rsid w:val="00B406AC"/>
    <w:rsid w:val="00B42AE5"/>
    <w:rsid w:val="00B47D76"/>
    <w:rsid w:val="00B54596"/>
    <w:rsid w:val="00B57B24"/>
    <w:rsid w:val="00B67313"/>
    <w:rsid w:val="00B76A0D"/>
    <w:rsid w:val="00B93A22"/>
    <w:rsid w:val="00BA3B53"/>
    <w:rsid w:val="00BB05D7"/>
    <w:rsid w:val="00BB4545"/>
    <w:rsid w:val="00BC2180"/>
    <w:rsid w:val="00BC3F24"/>
    <w:rsid w:val="00BD0FEC"/>
    <w:rsid w:val="00BD1725"/>
    <w:rsid w:val="00BD378B"/>
    <w:rsid w:val="00BE60A5"/>
    <w:rsid w:val="00BE6C65"/>
    <w:rsid w:val="00BF1A6B"/>
    <w:rsid w:val="00BF3035"/>
    <w:rsid w:val="00C0749A"/>
    <w:rsid w:val="00C1664E"/>
    <w:rsid w:val="00C16EB5"/>
    <w:rsid w:val="00C21233"/>
    <w:rsid w:val="00C26F6B"/>
    <w:rsid w:val="00C27DBD"/>
    <w:rsid w:val="00C32C9F"/>
    <w:rsid w:val="00C4206E"/>
    <w:rsid w:val="00C5336A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A28FE"/>
    <w:rsid w:val="00CA7C8C"/>
    <w:rsid w:val="00CB4124"/>
    <w:rsid w:val="00CB4DC7"/>
    <w:rsid w:val="00CC3D38"/>
    <w:rsid w:val="00CD2A3E"/>
    <w:rsid w:val="00CD65EB"/>
    <w:rsid w:val="00CF74C4"/>
    <w:rsid w:val="00D01291"/>
    <w:rsid w:val="00D049FA"/>
    <w:rsid w:val="00D21B13"/>
    <w:rsid w:val="00D22760"/>
    <w:rsid w:val="00D30C27"/>
    <w:rsid w:val="00D37512"/>
    <w:rsid w:val="00D44E1B"/>
    <w:rsid w:val="00D47093"/>
    <w:rsid w:val="00D4749F"/>
    <w:rsid w:val="00D66195"/>
    <w:rsid w:val="00D7505C"/>
    <w:rsid w:val="00D866D7"/>
    <w:rsid w:val="00D86D85"/>
    <w:rsid w:val="00DB3744"/>
    <w:rsid w:val="00DD53B1"/>
    <w:rsid w:val="00DE291D"/>
    <w:rsid w:val="00E03937"/>
    <w:rsid w:val="00E06C6E"/>
    <w:rsid w:val="00E12A34"/>
    <w:rsid w:val="00E17BAD"/>
    <w:rsid w:val="00E279DF"/>
    <w:rsid w:val="00E313A2"/>
    <w:rsid w:val="00E333E9"/>
    <w:rsid w:val="00E420E5"/>
    <w:rsid w:val="00E448B7"/>
    <w:rsid w:val="00E5022C"/>
    <w:rsid w:val="00E558B7"/>
    <w:rsid w:val="00E559ED"/>
    <w:rsid w:val="00E63616"/>
    <w:rsid w:val="00E67994"/>
    <w:rsid w:val="00E7340E"/>
    <w:rsid w:val="00E756B4"/>
    <w:rsid w:val="00E83856"/>
    <w:rsid w:val="00E90F24"/>
    <w:rsid w:val="00E935C4"/>
    <w:rsid w:val="00E96C4F"/>
    <w:rsid w:val="00EA2110"/>
    <w:rsid w:val="00EA22D5"/>
    <w:rsid w:val="00EA3B1B"/>
    <w:rsid w:val="00EC44DE"/>
    <w:rsid w:val="00EC7B18"/>
    <w:rsid w:val="00EE2FD8"/>
    <w:rsid w:val="00EE43A3"/>
    <w:rsid w:val="00EE56C7"/>
    <w:rsid w:val="00EE67C3"/>
    <w:rsid w:val="00EF4212"/>
    <w:rsid w:val="00F00AFB"/>
    <w:rsid w:val="00F06795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9702B"/>
    <w:rsid w:val="00F9754A"/>
    <w:rsid w:val="00FA3CDD"/>
    <w:rsid w:val="00FA4224"/>
    <w:rsid w:val="00FA790D"/>
    <w:rsid w:val="00FB125F"/>
    <w:rsid w:val="00FB206A"/>
    <w:rsid w:val="00FB625E"/>
    <w:rsid w:val="00FC6260"/>
    <w:rsid w:val="00FD12D1"/>
    <w:rsid w:val="00FD273F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0F83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6</cp:revision>
  <cp:lastPrinted>2020-07-17T19:22:00Z</cp:lastPrinted>
  <dcterms:created xsi:type="dcterms:W3CDTF">2020-07-17T19:22:00Z</dcterms:created>
  <dcterms:modified xsi:type="dcterms:W3CDTF">2020-08-04T17:49:00Z</dcterms:modified>
</cp:coreProperties>
</file>