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931C" w14:textId="7D9F33EF" w:rsidR="00E06C6E" w:rsidRPr="00A1734D" w:rsidRDefault="00E06C6E" w:rsidP="0078045B">
      <w:pPr>
        <w:rPr>
          <w:b/>
          <w:bCs/>
          <w:shd w:val="clear" w:color="auto" w:fill="FFFFFF"/>
        </w:rPr>
      </w:pPr>
      <w:r w:rsidRPr="00A1734D">
        <w:rPr>
          <w:b/>
          <w:bCs/>
          <w:shd w:val="clear" w:color="auto" w:fill="FFFFFF"/>
        </w:rPr>
        <w:t>Latin Generation Panel (GP) Meeting</w:t>
      </w:r>
      <w:r w:rsidRPr="00A1734D">
        <w:rPr>
          <w:b/>
          <w:bCs/>
          <w:shd w:val="clear" w:color="auto" w:fill="FFFFFF"/>
        </w:rPr>
        <w:br/>
      </w:r>
      <w:r w:rsidRPr="00A1734D">
        <w:rPr>
          <w:b/>
          <w:bCs/>
          <w:lang w:eastAsia="en-SG"/>
        </w:rPr>
        <w:t>Notes from the meeting on</w:t>
      </w:r>
      <w:r w:rsidR="00CD2A3E" w:rsidRPr="00A1734D">
        <w:rPr>
          <w:b/>
          <w:bCs/>
          <w:cs/>
          <w:lang w:eastAsia="en-SG"/>
        </w:rPr>
        <w:t xml:space="preserve"> </w:t>
      </w:r>
      <w:r w:rsidR="008709F0">
        <w:rPr>
          <w:b/>
          <w:bCs/>
          <w:lang w:eastAsia="en-SG"/>
        </w:rPr>
        <w:t>6</w:t>
      </w:r>
      <w:r w:rsidR="001670A1" w:rsidRPr="00A1734D">
        <w:rPr>
          <w:b/>
          <w:bCs/>
          <w:lang w:eastAsia="en-SG"/>
        </w:rPr>
        <w:t xml:space="preserve"> </w:t>
      </w:r>
      <w:r w:rsidR="0078045B">
        <w:rPr>
          <w:b/>
          <w:bCs/>
          <w:lang w:eastAsia="en-SG"/>
        </w:rPr>
        <w:t>December</w:t>
      </w:r>
      <w:r w:rsidRPr="00A1734D">
        <w:rPr>
          <w:b/>
          <w:bCs/>
          <w:lang w:eastAsia="en-SG"/>
        </w:rPr>
        <w:t xml:space="preserve"> 20</w:t>
      </w:r>
      <w:r w:rsidR="00F75E8D" w:rsidRPr="00A1734D">
        <w:rPr>
          <w:b/>
          <w:bCs/>
          <w:lang w:eastAsia="en-SG"/>
        </w:rPr>
        <w:t>2</w:t>
      </w:r>
      <w:r w:rsidR="0091090A" w:rsidRPr="00A1734D">
        <w:rPr>
          <w:b/>
          <w:bCs/>
          <w:lang w:eastAsia="en-SG"/>
        </w:rPr>
        <w:t>1</w:t>
      </w:r>
    </w:p>
    <w:p w14:paraId="69055500" w14:textId="77777777" w:rsidR="00321890" w:rsidRPr="00A1734D" w:rsidRDefault="00321890" w:rsidP="00D92505">
      <w:pPr>
        <w:shd w:val="clear" w:color="auto" w:fill="FFFFFF"/>
        <w:jc w:val="center"/>
        <w:rPr>
          <w:lang w:eastAsia="en-SG"/>
        </w:rPr>
      </w:pPr>
    </w:p>
    <w:p w14:paraId="175470B1" w14:textId="140398B0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>Meeting Attendees (in alphabetical order)</w:t>
      </w:r>
    </w:p>
    <w:p w14:paraId="1D73EFC6" w14:textId="77777777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ab/>
        <w:t>GP members:</w:t>
      </w:r>
      <w:r w:rsidR="003C4F37" w:rsidRPr="00A1734D">
        <w:rPr>
          <w:lang w:eastAsia="en-SG"/>
        </w:rPr>
        <w:t xml:space="preserve">   </w:t>
      </w:r>
      <w:r w:rsidR="007A5E0C" w:rsidRPr="00A1734D">
        <w:rPr>
          <w:lang w:eastAsia="en-SG"/>
        </w:rPr>
        <w:t xml:space="preserve"> </w:t>
      </w:r>
    </w:p>
    <w:p w14:paraId="03C23E9F" w14:textId="58831BB3" w:rsidR="005B19CA" w:rsidRDefault="005B19C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Bill </w:t>
      </w:r>
      <w:proofErr w:type="spellStart"/>
      <w:r w:rsidRPr="00A1734D">
        <w:rPr>
          <w:sz w:val="24"/>
          <w:szCs w:val="24"/>
        </w:rPr>
        <w:t>Jouris</w:t>
      </w:r>
      <w:proofErr w:type="spellEnd"/>
      <w:r w:rsidRPr="00A1734D">
        <w:rPr>
          <w:sz w:val="24"/>
          <w:szCs w:val="24"/>
        </w:rPr>
        <w:t xml:space="preserve"> </w:t>
      </w:r>
    </w:p>
    <w:p w14:paraId="413BB390" w14:textId="7B9DBC9F" w:rsidR="008C488F" w:rsidRDefault="008C488F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Dennis Tan Tanaka</w:t>
      </w:r>
    </w:p>
    <w:p w14:paraId="38CA74D3" w14:textId="79440333" w:rsidR="00FB56E6" w:rsidRPr="00A1734D" w:rsidRDefault="00FB56E6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Ha</w:t>
      </w:r>
      <w:r w:rsidR="00C900B3">
        <w:rPr>
          <w:sz w:val="24"/>
          <w:szCs w:val="24"/>
        </w:rPr>
        <w:t xml:space="preserve">zem </w:t>
      </w:r>
      <w:proofErr w:type="spellStart"/>
      <w:r w:rsidR="00C900B3">
        <w:rPr>
          <w:sz w:val="24"/>
          <w:szCs w:val="24"/>
        </w:rPr>
        <w:t>Hezzah</w:t>
      </w:r>
      <w:proofErr w:type="spellEnd"/>
    </w:p>
    <w:p w14:paraId="7BBCF0A8" w14:textId="2ED9118D" w:rsidR="00086BAA" w:rsidRPr="00A1734D" w:rsidRDefault="00FB56E6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Mats </w:t>
      </w:r>
      <w:proofErr w:type="spellStart"/>
      <w:r>
        <w:rPr>
          <w:sz w:val="24"/>
          <w:szCs w:val="24"/>
        </w:rPr>
        <w:t>Dufburg</w:t>
      </w:r>
      <w:proofErr w:type="spellEnd"/>
    </w:p>
    <w:p w14:paraId="4D906EC1" w14:textId="1A695D9C" w:rsidR="007A5E0C" w:rsidRPr="00A1734D" w:rsidRDefault="007A5E0C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Michael </w:t>
      </w:r>
      <w:proofErr w:type="spellStart"/>
      <w:r w:rsidRPr="00A1734D">
        <w:rPr>
          <w:sz w:val="24"/>
          <w:szCs w:val="24"/>
        </w:rPr>
        <w:t>B</w:t>
      </w:r>
      <w:r w:rsidR="00086BAA" w:rsidRPr="00A1734D">
        <w:rPr>
          <w:sz w:val="24"/>
          <w:szCs w:val="24"/>
        </w:rPr>
        <w:t>a</w:t>
      </w:r>
      <w:r w:rsidRPr="00A1734D">
        <w:rPr>
          <w:sz w:val="24"/>
          <w:szCs w:val="24"/>
        </w:rPr>
        <w:t>uland</w:t>
      </w:r>
      <w:proofErr w:type="spellEnd"/>
    </w:p>
    <w:p w14:paraId="4E838A5C" w14:textId="2C4F4425" w:rsidR="001C4A89" w:rsidRPr="00A1734D" w:rsidRDefault="001C4A89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Mirjana </w:t>
      </w:r>
      <w:proofErr w:type="spellStart"/>
      <w:r w:rsidRPr="00A1734D">
        <w:rPr>
          <w:sz w:val="24"/>
          <w:szCs w:val="24"/>
        </w:rPr>
        <w:t>Tasić</w:t>
      </w:r>
      <w:proofErr w:type="spellEnd"/>
      <w:r w:rsidRPr="00A1734D">
        <w:rPr>
          <w:sz w:val="24"/>
          <w:szCs w:val="24"/>
        </w:rPr>
        <w:t xml:space="preserve"> </w:t>
      </w:r>
    </w:p>
    <w:p w14:paraId="446F45E0" w14:textId="77777777" w:rsidR="00BB05D7" w:rsidRPr="00A1734D" w:rsidRDefault="00E06C6E" w:rsidP="001F1859">
      <w:pPr>
        <w:shd w:val="clear" w:color="auto" w:fill="FFFFFF"/>
        <w:ind w:firstLine="720"/>
        <w:rPr>
          <w:lang w:eastAsia="en-SG"/>
        </w:rPr>
      </w:pPr>
      <w:r w:rsidRPr="00A1734D">
        <w:rPr>
          <w:lang w:eastAsia="en-SG"/>
        </w:rPr>
        <w:t>Staff:</w:t>
      </w:r>
    </w:p>
    <w:p w14:paraId="7BD87ED5" w14:textId="30EBBE18" w:rsidR="00C32C9F" w:rsidRPr="00A1734D" w:rsidRDefault="00C32C9F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Pitinan Kooarmornpatana</w:t>
      </w:r>
    </w:p>
    <w:p w14:paraId="5EE86DC4" w14:textId="266654EB" w:rsidR="00CB22F2" w:rsidRPr="00A1734D" w:rsidRDefault="00CB22F2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Sarmad Hussain</w:t>
      </w:r>
    </w:p>
    <w:p w14:paraId="6D57B047" w14:textId="77777777" w:rsidR="002F56A2" w:rsidRPr="002F56A2" w:rsidRDefault="001F1859" w:rsidP="001F1859">
      <w:pPr>
        <w:snapToGrid w:val="0"/>
        <w:rPr>
          <w:b/>
          <w:bCs/>
          <w:lang w:eastAsia="en-SG"/>
        </w:rPr>
      </w:pPr>
      <w:r w:rsidRPr="00A1734D">
        <w:rPr>
          <w:b/>
          <w:bCs/>
          <w:lang w:eastAsia="en-SG"/>
        </w:rPr>
        <w:br/>
      </w:r>
      <w:r w:rsidR="00E06C6E" w:rsidRPr="002F56A2">
        <w:rPr>
          <w:b/>
          <w:bCs/>
          <w:lang w:eastAsia="en-SG"/>
        </w:rPr>
        <w:t xml:space="preserve">Meeting </w:t>
      </w:r>
      <w:r w:rsidR="002F56A2" w:rsidRPr="002F56A2">
        <w:rPr>
          <w:b/>
          <w:bCs/>
          <w:lang w:eastAsia="en-SG"/>
        </w:rPr>
        <w:t xml:space="preserve">Agenda: </w:t>
      </w:r>
    </w:p>
    <w:p w14:paraId="690DC371" w14:textId="77777777" w:rsidR="008C488F" w:rsidRDefault="002F56A2" w:rsidP="008C488F">
      <w:pPr>
        <w:numPr>
          <w:ilvl w:val="0"/>
          <w:numId w:val="45"/>
        </w:numPr>
        <w:rPr>
          <w:color w:val="000000"/>
        </w:rPr>
      </w:pPr>
      <w:r w:rsidRPr="002F56A2">
        <w:rPr>
          <w:color w:val="000000"/>
        </w:rPr>
        <w:t>Discussion – How to proceed with Latin Script  Root Zone LGR public comments</w:t>
      </w:r>
      <w:r w:rsidRPr="002F56A2">
        <w:rPr>
          <w:rStyle w:val="apple-converted-space"/>
        </w:rPr>
        <w:t> </w:t>
      </w:r>
      <w:r w:rsidRPr="002F56A2">
        <w:br/>
      </w:r>
      <w:hyperlink r:id="rId7" w:tooltip="https://www.icann.org/en/public-comment/proceeding/proposal-for-latin-script-root-zone-label-generation-rules-23-09-2021/submissions?page=1&amp;sort-direction=newest" w:history="1">
        <w:r w:rsidRPr="002F56A2">
          <w:rPr>
            <w:rStyle w:val="Hyperlink"/>
          </w:rPr>
          <w:t>https://www.icann.org/en/public-comment/proceeding/proposal-for-latin-script-root-zone-label-generation-rules-23-09-2021/submissions?page=1&amp;sort-direction=newest</w:t>
        </w:r>
      </w:hyperlink>
    </w:p>
    <w:p w14:paraId="429B5BB0" w14:textId="09D8B8D2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Cross script variants with Armenian</w:t>
      </w:r>
    </w:p>
    <w:p w14:paraId="5D194BEC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Confusable</w:t>
      </w:r>
    </w:p>
    <w:p w14:paraId="2E828689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Repertoire comments</w:t>
      </w:r>
    </w:p>
    <w:p w14:paraId="606FFB87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Variant comments</w:t>
      </w:r>
    </w:p>
    <w:p w14:paraId="43114801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Underlining comments</w:t>
      </w:r>
    </w:p>
    <w:p w14:paraId="09041FAA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Capital letters</w:t>
      </w:r>
    </w:p>
    <w:p w14:paraId="7E3F734D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Numerals</w:t>
      </w:r>
    </w:p>
    <w:p w14:paraId="63375A2A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Adding a reference to EGIDS scale</w:t>
      </w:r>
    </w:p>
    <w:p w14:paraId="36FDD495" w14:textId="265B5C4D" w:rsidR="002F56A2" w:rsidRPr="002F56A2" w:rsidRDefault="002F56A2" w:rsidP="002F56A2">
      <w:pPr>
        <w:numPr>
          <w:ilvl w:val="0"/>
          <w:numId w:val="45"/>
        </w:numPr>
        <w:rPr>
          <w:color w:val="000000"/>
        </w:rPr>
      </w:pPr>
      <w:r w:rsidRPr="002F56A2">
        <w:rPr>
          <w:color w:val="000000"/>
        </w:rPr>
        <w:t>AOB</w:t>
      </w:r>
    </w:p>
    <w:p w14:paraId="422E2DD0" w14:textId="45BC3F55" w:rsidR="002F56A2" w:rsidRPr="002F56A2" w:rsidRDefault="002F56A2" w:rsidP="002F56A2">
      <w:pPr>
        <w:rPr>
          <w:color w:val="000000"/>
        </w:rPr>
      </w:pPr>
      <w:r>
        <w:rPr>
          <w:color w:val="000000"/>
          <w:sz w:val="22"/>
          <w:szCs w:val="22"/>
        </w:rPr>
        <w:t> </w:t>
      </w:r>
    </w:p>
    <w:p w14:paraId="3A2C294E" w14:textId="7E1B885E" w:rsidR="009319F6" w:rsidRPr="00A1734D" w:rsidRDefault="002F56A2" w:rsidP="001F1859">
      <w:pPr>
        <w:snapToGrid w:val="0"/>
        <w:rPr>
          <w:b/>
          <w:bCs/>
          <w:lang w:eastAsia="en-SG"/>
        </w:rPr>
      </w:pPr>
      <w:r>
        <w:rPr>
          <w:b/>
          <w:bCs/>
          <w:lang w:eastAsia="en-SG"/>
        </w:rPr>
        <w:t xml:space="preserve">Meeting </w:t>
      </w:r>
      <w:r w:rsidR="00E06C6E" w:rsidRPr="00A1734D">
        <w:rPr>
          <w:b/>
          <w:bCs/>
          <w:lang w:eastAsia="en-SG"/>
        </w:rPr>
        <w:t>Notes</w:t>
      </w:r>
      <w:r>
        <w:rPr>
          <w:b/>
          <w:bCs/>
          <w:lang w:eastAsia="en-SG"/>
        </w:rPr>
        <w:t>:</w:t>
      </w:r>
    </w:p>
    <w:p w14:paraId="79CFD6A3" w14:textId="07D8112D" w:rsidR="0051443F" w:rsidRDefault="0051443F" w:rsidP="002F56A2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The GP chair shared that the draft responses for Armenian GP’s comment and for repertoire related comments have been uploaded to the shared drive for GP member’s reviews. </w:t>
      </w:r>
    </w:p>
    <w:p w14:paraId="43448E4F" w14:textId="54A8F872" w:rsidR="0051443F" w:rsidRDefault="0051443F" w:rsidP="002F56A2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The GP members agreed to continue discussing other topics to get directions of the GP responses and assign the writers. Then come back to review each response.  </w:t>
      </w:r>
    </w:p>
    <w:p w14:paraId="22B105ED" w14:textId="646AE371" w:rsidR="0051443F" w:rsidRDefault="0051443F" w:rsidP="002F56A2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The GP discuss the variant </w:t>
      </w:r>
      <w:r w:rsidR="00C04565">
        <w:rPr>
          <w:sz w:val="24"/>
          <w:szCs w:val="24"/>
          <w:lang w:eastAsia="en-SG"/>
        </w:rPr>
        <w:t xml:space="preserve">related </w:t>
      </w:r>
      <w:r>
        <w:rPr>
          <w:sz w:val="24"/>
          <w:szCs w:val="24"/>
          <w:lang w:eastAsia="en-SG"/>
        </w:rPr>
        <w:t xml:space="preserve">comments. It was shared that the RZ-LGR is </w:t>
      </w:r>
      <w:r w:rsidR="00C04565">
        <w:rPr>
          <w:sz w:val="24"/>
          <w:szCs w:val="24"/>
          <w:lang w:eastAsia="en-SG"/>
        </w:rPr>
        <w:t xml:space="preserve">a </w:t>
      </w:r>
      <w:r>
        <w:rPr>
          <w:sz w:val="24"/>
          <w:szCs w:val="24"/>
          <w:lang w:eastAsia="en-SG"/>
        </w:rPr>
        <w:t xml:space="preserve">part of the string evaluation process. It will not </w:t>
      </w:r>
      <w:r w:rsidR="00C04565">
        <w:rPr>
          <w:sz w:val="24"/>
          <w:szCs w:val="24"/>
          <w:lang w:eastAsia="en-SG"/>
        </w:rPr>
        <w:t xml:space="preserve">fully </w:t>
      </w:r>
      <w:r>
        <w:rPr>
          <w:sz w:val="24"/>
          <w:szCs w:val="24"/>
          <w:lang w:eastAsia="en-SG"/>
        </w:rPr>
        <w:t>replace the evaluation</w:t>
      </w:r>
      <w:r w:rsidR="00C04565">
        <w:rPr>
          <w:sz w:val="24"/>
          <w:szCs w:val="24"/>
          <w:lang w:eastAsia="en-SG"/>
        </w:rPr>
        <w:t xml:space="preserve"> panels</w:t>
      </w:r>
      <w:r>
        <w:rPr>
          <w:sz w:val="24"/>
          <w:szCs w:val="24"/>
          <w:lang w:eastAsia="en-SG"/>
        </w:rPr>
        <w:t xml:space="preserve">. The </w:t>
      </w:r>
      <w:hyperlink r:id="rId8" w:history="1">
        <w:r w:rsidRPr="0051443F">
          <w:rPr>
            <w:rStyle w:val="Hyperlink"/>
            <w:sz w:val="24"/>
            <w:szCs w:val="24"/>
            <w:lang w:eastAsia="en-SG"/>
          </w:rPr>
          <w:t>Sub Pro final report</w:t>
        </w:r>
      </w:hyperlink>
      <w:r>
        <w:rPr>
          <w:sz w:val="24"/>
          <w:szCs w:val="24"/>
          <w:lang w:eastAsia="en-SG"/>
        </w:rPr>
        <w:t xml:space="preserve"> published by the GNSO have separate sections for IDN variants (Topic 25) and string similarity evaluation (Topic 24). </w:t>
      </w:r>
    </w:p>
    <w:p w14:paraId="3506EA11" w14:textId="79AF26F0" w:rsidR="0051443F" w:rsidRPr="00C04565" w:rsidRDefault="0051443F" w:rsidP="00C04565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 w:rsidRPr="00C04565">
        <w:rPr>
          <w:sz w:val="24"/>
          <w:szCs w:val="24"/>
          <w:lang w:eastAsia="en-SG"/>
        </w:rPr>
        <w:t>Dennis volunteered to draft the response regarding variant comments.</w:t>
      </w:r>
      <w:r w:rsidR="00C04565" w:rsidRPr="00C04565">
        <w:rPr>
          <w:sz w:val="24"/>
          <w:szCs w:val="24"/>
          <w:lang w:eastAsia="en-SG"/>
        </w:rPr>
        <w:t xml:space="preserve"> </w:t>
      </w:r>
      <w:r w:rsidRPr="00C04565">
        <w:rPr>
          <w:sz w:val="24"/>
          <w:szCs w:val="24"/>
          <w:lang w:eastAsia="en-SG"/>
        </w:rPr>
        <w:t xml:space="preserve">It was agreed that the response can address multiple comments at the same time, with the clear pointers to the relevant comments. </w:t>
      </w:r>
    </w:p>
    <w:p w14:paraId="48D073B8" w14:textId="77777777" w:rsidR="000D075C" w:rsidRDefault="000D075C" w:rsidP="002F56A2">
      <w:pPr>
        <w:shd w:val="clear" w:color="auto" w:fill="FFFFFF"/>
        <w:snapToGrid w:val="0"/>
        <w:spacing w:before="240" w:after="120"/>
        <w:rPr>
          <w:b/>
          <w:bCs/>
          <w:lang w:eastAsia="en-SG"/>
        </w:rPr>
      </w:pPr>
    </w:p>
    <w:p w14:paraId="78DB9DFF" w14:textId="79C9ABCB" w:rsidR="00BB6613" w:rsidRDefault="00E67994" w:rsidP="002F56A2">
      <w:pPr>
        <w:shd w:val="clear" w:color="auto" w:fill="FFFFFF"/>
        <w:snapToGrid w:val="0"/>
        <w:spacing w:before="240" w:after="120"/>
        <w:rPr>
          <w:lang w:eastAsia="en-SG"/>
        </w:rPr>
      </w:pPr>
      <w:r w:rsidRPr="00A1734D">
        <w:rPr>
          <w:b/>
          <w:bCs/>
          <w:lang w:eastAsia="en-SG"/>
        </w:rPr>
        <w:lastRenderedPageBreak/>
        <w:t>Next meeting</w:t>
      </w:r>
      <w:r w:rsidR="00790B84">
        <w:rPr>
          <w:b/>
          <w:bCs/>
          <w:lang w:eastAsia="en-SG"/>
        </w:rPr>
        <w:t>s</w:t>
      </w:r>
      <w:r w:rsidRPr="00A1734D">
        <w:rPr>
          <w:b/>
          <w:bCs/>
          <w:lang w:eastAsia="en-SG"/>
        </w:rPr>
        <w:t>:</w:t>
      </w:r>
      <w:r w:rsidR="00056BC7" w:rsidRPr="00A1734D">
        <w:rPr>
          <w:b/>
          <w:bCs/>
          <w:lang w:eastAsia="en-SG"/>
        </w:rPr>
        <w:t xml:space="preserve"> </w:t>
      </w:r>
    </w:p>
    <w:p w14:paraId="3DA83718" w14:textId="44170DAA" w:rsidR="00790B84" w:rsidRDefault="00790B84" w:rsidP="00790B84">
      <w:pPr>
        <w:shd w:val="clear" w:color="auto" w:fill="FFFFFF"/>
        <w:snapToGrid w:val="0"/>
        <w:spacing w:after="240"/>
        <w:ind w:left="720"/>
        <w:rPr>
          <w:lang w:eastAsia="en-SG"/>
        </w:rPr>
      </w:pPr>
      <w:r>
        <w:rPr>
          <w:lang w:eastAsia="en-SG"/>
        </w:rPr>
        <w:br/>
        <w:t>Monday 13 December 2021, 16:00 UTC.</w:t>
      </w:r>
      <w:r>
        <w:rPr>
          <w:lang w:eastAsia="en-SG"/>
        </w:rPr>
        <w:br/>
        <w:t>Monday 20 December 2021, 16:00 UTC.</w:t>
      </w:r>
      <w:r>
        <w:rPr>
          <w:lang w:eastAsia="en-SG"/>
        </w:rPr>
        <w:br/>
        <w:t>Monday 27 December 2021, 16:00 UTC.</w:t>
      </w:r>
    </w:p>
    <w:p w14:paraId="73EF1BCD" w14:textId="1F0AB557" w:rsidR="00056BC7" w:rsidRPr="00A1734D" w:rsidRDefault="00E67994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  <w:r w:rsidRPr="00A1734D">
        <w:rPr>
          <w:b/>
          <w:bCs/>
          <w:u w:val="single"/>
          <w:lang w:eastAsia="en-SG"/>
        </w:rPr>
        <w:t>Action Items</w:t>
      </w:r>
      <w:r w:rsidRPr="00A1734D">
        <w:rPr>
          <w:b/>
          <w:bCs/>
          <w:lang w:eastAsia="en-SG"/>
        </w:rPr>
        <w:t xml:space="preserve"> </w:t>
      </w:r>
      <w:r w:rsidR="00C76CAF" w:rsidRPr="00A1734D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056BC7" w:rsidRPr="00A1734D" w14:paraId="50C0D4C8" w14:textId="77777777" w:rsidTr="005B5016">
        <w:tc>
          <w:tcPr>
            <w:tcW w:w="900" w:type="dxa"/>
          </w:tcPr>
          <w:p w14:paraId="370A729F" w14:textId="77777777" w:rsidR="00056BC7" w:rsidRPr="00BB51CC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S. No.</w:t>
            </w:r>
          </w:p>
        </w:tc>
        <w:tc>
          <w:tcPr>
            <w:tcW w:w="7290" w:type="dxa"/>
          </w:tcPr>
          <w:p w14:paraId="26DC0E03" w14:textId="77777777" w:rsidR="00056BC7" w:rsidRPr="00BB51CC" w:rsidRDefault="00056BC7" w:rsidP="005B5016">
            <w:pPr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Action Item</w:t>
            </w:r>
          </w:p>
        </w:tc>
        <w:tc>
          <w:tcPr>
            <w:tcW w:w="1080" w:type="dxa"/>
          </w:tcPr>
          <w:p w14:paraId="6312512B" w14:textId="77777777" w:rsidR="00056BC7" w:rsidRPr="00BB51CC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Owner</w:t>
            </w:r>
          </w:p>
        </w:tc>
      </w:tr>
      <w:tr w:rsidR="008B73AE" w:rsidRPr="00A1734D" w14:paraId="21C05CD0" w14:textId="77777777" w:rsidTr="002F56A2">
        <w:trPr>
          <w:trHeight w:val="80"/>
        </w:trPr>
        <w:tc>
          <w:tcPr>
            <w:tcW w:w="900" w:type="dxa"/>
          </w:tcPr>
          <w:p w14:paraId="15A7A767" w14:textId="24FF4D79" w:rsidR="008B73AE" w:rsidRPr="00BB51CC" w:rsidRDefault="008B73AE" w:rsidP="005B5016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1</w:t>
            </w:r>
          </w:p>
        </w:tc>
        <w:tc>
          <w:tcPr>
            <w:tcW w:w="7290" w:type="dxa"/>
          </w:tcPr>
          <w:p w14:paraId="5BCDC593" w14:textId="663B5DB2" w:rsidR="008B73AE" w:rsidRPr="00BB51CC" w:rsidRDefault="00790B84" w:rsidP="005B5016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 xml:space="preserve">Draft the response </w:t>
            </w:r>
            <w:r w:rsidR="00C04565">
              <w:rPr>
                <w:i/>
                <w:iCs/>
                <w:sz w:val="24"/>
                <w:szCs w:val="24"/>
                <w:lang w:val="en-US" w:eastAsia="en-SG"/>
              </w:rPr>
              <w:t xml:space="preserve">to variant related comments for </w:t>
            </w:r>
            <w:r w:rsidR="00C04565">
              <w:rPr>
                <w:i/>
                <w:iCs/>
                <w:sz w:val="24"/>
                <w:szCs w:val="24"/>
                <w:lang w:val="en-US" w:eastAsia="en-SG"/>
              </w:rPr>
              <w:t>GP’s consideration</w:t>
            </w:r>
          </w:p>
        </w:tc>
        <w:tc>
          <w:tcPr>
            <w:tcW w:w="1080" w:type="dxa"/>
          </w:tcPr>
          <w:p w14:paraId="00218A39" w14:textId="67694D94" w:rsidR="008B73AE" w:rsidRPr="00BB51CC" w:rsidRDefault="00C04565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DT</w:t>
            </w:r>
          </w:p>
        </w:tc>
      </w:tr>
    </w:tbl>
    <w:p w14:paraId="34336944" w14:textId="52647BD2" w:rsidR="00492519" w:rsidRPr="00A1734D" w:rsidRDefault="00492519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</w:p>
    <w:sectPr w:rsidR="00492519" w:rsidRPr="00A1734D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B2221" w14:textId="77777777" w:rsidR="006C4A9A" w:rsidRDefault="006C4A9A" w:rsidP="009B7358">
      <w:r>
        <w:separator/>
      </w:r>
    </w:p>
  </w:endnote>
  <w:endnote w:type="continuationSeparator" w:id="0">
    <w:p w14:paraId="2B02EEB0" w14:textId="77777777" w:rsidR="006C4A9A" w:rsidRDefault="006C4A9A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5EA55" w14:textId="77777777" w:rsidR="006C4A9A" w:rsidRDefault="006C4A9A" w:rsidP="009B7358">
      <w:r>
        <w:separator/>
      </w:r>
    </w:p>
  </w:footnote>
  <w:footnote w:type="continuationSeparator" w:id="0">
    <w:p w14:paraId="0456BFC1" w14:textId="77777777" w:rsidR="006C4A9A" w:rsidRDefault="006C4A9A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F6E"/>
    <w:multiLevelType w:val="hybridMultilevel"/>
    <w:tmpl w:val="76AE9114"/>
    <w:lvl w:ilvl="0" w:tplc="F5B02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07B9"/>
    <w:multiLevelType w:val="multilevel"/>
    <w:tmpl w:val="FFBED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58B1"/>
    <w:multiLevelType w:val="hybridMultilevel"/>
    <w:tmpl w:val="C6DA2EA8"/>
    <w:lvl w:ilvl="0" w:tplc="6B5880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600DD"/>
    <w:multiLevelType w:val="multilevel"/>
    <w:tmpl w:val="8480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64937"/>
    <w:multiLevelType w:val="hybridMultilevel"/>
    <w:tmpl w:val="170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DB643D"/>
    <w:multiLevelType w:val="hybridMultilevel"/>
    <w:tmpl w:val="8112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92D"/>
    <w:multiLevelType w:val="hybridMultilevel"/>
    <w:tmpl w:val="17B4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2E0315"/>
    <w:multiLevelType w:val="hybridMultilevel"/>
    <w:tmpl w:val="219E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A95547"/>
    <w:multiLevelType w:val="hybridMultilevel"/>
    <w:tmpl w:val="24D43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626F5"/>
    <w:multiLevelType w:val="hybridMultilevel"/>
    <w:tmpl w:val="945C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9148D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4A536D"/>
    <w:multiLevelType w:val="hybridMultilevel"/>
    <w:tmpl w:val="8AB01DEC"/>
    <w:lvl w:ilvl="0" w:tplc="BD923C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D01A4"/>
    <w:multiLevelType w:val="multilevel"/>
    <w:tmpl w:val="381AC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60E66"/>
    <w:multiLevelType w:val="multilevel"/>
    <w:tmpl w:val="399A2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A1B1C"/>
    <w:multiLevelType w:val="hybridMultilevel"/>
    <w:tmpl w:val="3B105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E0C29"/>
    <w:multiLevelType w:val="hybridMultilevel"/>
    <w:tmpl w:val="50DC5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84CD6"/>
    <w:multiLevelType w:val="multilevel"/>
    <w:tmpl w:val="FFC84D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4A4471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8"/>
  </w:num>
  <w:num w:numId="6">
    <w:abstractNumId w:val="40"/>
  </w:num>
  <w:num w:numId="7">
    <w:abstractNumId w:val="19"/>
  </w:num>
  <w:num w:numId="8">
    <w:abstractNumId w:val="10"/>
  </w:num>
  <w:num w:numId="9">
    <w:abstractNumId w:val="14"/>
  </w:num>
  <w:num w:numId="10">
    <w:abstractNumId w:val="16"/>
  </w:num>
  <w:num w:numId="11">
    <w:abstractNumId w:val="33"/>
  </w:num>
  <w:num w:numId="12">
    <w:abstractNumId w:val="17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43"/>
  </w:num>
  <w:num w:numId="20">
    <w:abstractNumId w:val="3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2"/>
  </w:num>
  <w:num w:numId="24">
    <w:abstractNumId w:val="8"/>
  </w:num>
  <w:num w:numId="25">
    <w:abstractNumId w:val="36"/>
  </w:num>
  <w:num w:numId="26">
    <w:abstractNumId w:val="31"/>
  </w:num>
  <w:num w:numId="27">
    <w:abstractNumId w:val="2"/>
  </w:num>
  <w:num w:numId="28">
    <w:abstractNumId w:val="30"/>
  </w:num>
  <w:num w:numId="29">
    <w:abstractNumId w:val="47"/>
  </w:num>
  <w:num w:numId="30">
    <w:abstractNumId w:val="26"/>
  </w:num>
  <w:num w:numId="31">
    <w:abstractNumId w:val="44"/>
  </w:num>
  <w:num w:numId="32">
    <w:abstractNumId w:val="5"/>
  </w:num>
  <w:num w:numId="33">
    <w:abstractNumId w:val="12"/>
  </w:num>
  <w:num w:numId="34">
    <w:abstractNumId w:val="9"/>
  </w:num>
  <w:num w:numId="35">
    <w:abstractNumId w:val="11"/>
  </w:num>
  <w:num w:numId="36">
    <w:abstractNumId w:val="15"/>
  </w:num>
  <w:num w:numId="37">
    <w:abstractNumId w:val="45"/>
  </w:num>
  <w:num w:numId="38">
    <w:abstractNumId w:val="32"/>
  </w:num>
  <w:num w:numId="39">
    <w:abstractNumId w:val="0"/>
  </w:num>
  <w:num w:numId="40">
    <w:abstractNumId w:val="22"/>
  </w:num>
  <w:num w:numId="41">
    <w:abstractNumId w:val="29"/>
  </w:num>
  <w:num w:numId="42">
    <w:abstractNumId w:val="46"/>
  </w:num>
  <w:num w:numId="43">
    <w:abstractNumId w:val="23"/>
  </w:num>
  <w:num w:numId="44">
    <w:abstractNumId w:val="39"/>
  </w:num>
  <w:num w:numId="45">
    <w:abstractNumId w:val="7"/>
  </w:num>
  <w:num w:numId="46">
    <w:abstractNumId w:val="1"/>
  </w:num>
  <w:num w:numId="47">
    <w:abstractNumId w:val="21"/>
  </w:num>
  <w:num w:numId="48">
    <w:abstractNumId w:val="4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2626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56BC7"/>
    <w:rsid w:val="00070373"/>
    <w:rsid w:val="000739A3"/>
    <w:rsid w:val="00080998"/>
    <w:rsid w:val="00083315"/>
    <w:rsid w:val="00086BAA"/>
    <w:rsid w:val="0008737E"/>
    <w:rsid w:val="00097C9E"/>
    <w:rsid w:val="000B4362"/>
    <w:rsid w:val="000C0F54"/>
    <w:rsid w:val="000C7F06"/>
    <w:rsid w:val="000D0055"/>
    <w:rsid w:val="000D075C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57FE6"/>
    <w:rsid w:val="00162151"/>
    <w:rsid w:val="001625FE"/>
    <w:rsid w:val="0016487C"/>
    <w:rsid w:val="0016543C"/>
    <w:rsid w:val="001670A1"/>
    <w:rsid w:val="00171D02"/>
    <w:rsid w:val="001732B8"/>
    <w:rsid w:val="001757D5"/>
    <w:rsid w:val="00183604"/>
    <w:rsid w:val="001A1E5C"/>
    <w:rsid w:val="001A4853"/>
    <w:rsid w:val="001B46FC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5AD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206D"/>
    <w:rsid w:val="002B6E15"/>
    <w:rsid w:val="002B74ED"/>
    <w:rsid w:val="002D00F7"/>
    <w:rsid w:val="002D5567"/>
    <w:rsid w:val="002E0491"/>
    <w:rsid w:val="002E4E07"/>
    <w:rsid w:val="002F5381"/>
    <w:rsid w:val="002F56A2"/>
    <w:rsid w:val="00301057"/>
    <w:rsid w:val="003101D8"/>
    <w:rsid w:val="003129FE"/>
    <w:rsid w:val="00314B86"/>
    <w:rsid w:val="003215D9"/>
    <w:rsid w:val="00321890"/>
    <w:rsid w:val="0033305D"/>
    <w:rsid w:val="003344A1"/>
    <w:rsid w:val="00347456"/>
    <w:rsid w:val="00352EE1"/>
    <w:rsid w:val="00354B0C"/>
    <w:rsid w:val="00356576"/>
    <w:rsid w:val="00356F71"/>
    <w:rsid w:val="003653C2"/>
    <w:rsid w:val="00376B1A"/>
    <w:rsid w:val="00384D15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6D31"/>
    <w:rsid w:val="0044718A"/>
    <w:rsid w:val="00452010"/>
    <w:rsid w:val="004520BD"/>
    <w:rsid w:val="004538E0"/>
    <w:rsid w:val="004560D1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E6BC8"/>
    <w:rsid w:val="004F12AA"/>
    <w:rsid w:val="004F1FDE"/>
    <w:rsid w:val="004F2FFB"/>
    <w:rsid w:val="004F68CA"/>
    <w:rsid w:val="004F74FD"/>
    <w:rsid w:val="004F7989"/>
    <w:rsid w:val="00513CE4"/>
    <w:rsid w:val="0051443F"/>
    <w:rsid w:val="00521B3B"/>
    <w:rsid w:val="005316E0"/>
    <w:rsid w:val="00535615"/>
    <w:rsid w:val="0054319A"/>
    <w:rsid w:val="00550011"/>
    <w:rsid w:val="005508AA"/>
    <w:rsid w:val="005550E0"/>
    <w:rsid w:val="00556854"/>
    <w:rsid w:val="005600E9"/>
    <w:rsid w:val="00571316"/>
    <w:rsid w:val="00576232"/>
    <w:rsid w:val="00577B48"/>
    <w:rsid w:val="00583810"/>
    <w:rsid w:val="00585E15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C6821"/>
    <w:rsid w:val="005D446B"/>
    <w:rsid w:val="0060051C"/>
    <w:rsid w:val="00605D88"/>
    <w:rsid w:val="00606BD5"/>
    <w:rsid w:val="0061088E"/>
    <w:rsid w:val="006116A9"/>
    <w:rsid w:val="006141C9"/>
    <w:rsid w:val="0061647C"/>
    <w:rsid w:val="00616941"/>
    <w:rsid w:val="0061774D"/>
    <w:rsid w:val="00625AAA"/>
    <w:rsid w:val="0063119A"/>
    <w:rsid w:val="006326B7"/>
    <w:rsid w:val="00634711"/>
    <w:rsid w:val="006373E6"/>
    <w:rsid w:val="006406EC"/>
    <w:rsid w:val="00640A9F"/>
    <w:rsid w:val="006458AB"/>
    <w:rsid w:val="00650BB6"/>
    <w:rsid w:val="00654EAE"/>
    <w:rsid w:val="0066101C"/>
    <w:rsid w:val="00661E71"/>
    <w:rsid w:val="00662380"/>
    <w:rsid w:val="00664727"/>
    <w:rsid w:val="006708EF"/>
    <w:rsid w:val="00686CCF"/>
    <w:rsid w:val="00692B1A"/>
    <w:rsid w:val="006A0DD6"/>
    <w:rsid w:val="006A1D52"/>
    <w:rsid w:val="006A4292"/>
    <w:rsid w:val="006C147C"/>
    <w:rsid w:val="006C4A9A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045B"/>
    <w:rsid w:val="00785A9A"/>
    <w:rsid w:val="00790B84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4E1"/>
    <w:rsid w:val="00831709"/>
    <w:rsid w:val="00837390"/>
    <w:rsid w:val="008515EA"/>
    <w:rsid w:val="008543D9"/>
    <w:rsid w:val="00855086"/>
    <w:rsid w:val="00855378"/>
    <w:rsid w:val="0086064F"/>
    <w:rsid w:val="0086338F"/>
    <w:rsid w:val="008709F0"/>
    <w:rsid w:val="008771BA"/>
    <w:rsid w:val="0087727D"/>
    <w:rsid w:val="00880D9C"/>
    <w:rsid w:val="00883B44"/>
    <w:rsid w:val="00894110"/>
    <w:rsid w:val="00894E47"/>
    <w:rsid w:val="008A4EC2"/>
    <w:rsid w:val="008A7A0C"/>
    <w:rsid w:val="008B3224"/>
    <w:rsid w:val="008B5399"/>
    <w:rsid w:val="008B71AB"/>
    <w:rsid w:val="008B73AE"/>
    <w:rsid w:val="008C488F"/>
    <w:rsid w:val="008D068E"/>
    <w:rsid w:val="008D1611"/>
    <w:rsid w:val="008D37CD"/>
    <w:rsid w:val="008D45E4"/>
    <w:rsid w:val="008D4C9A"/>
    <w:rsid w:val="008D56BA"/>
    <w:rsid w:val="008E0C13"/>
    <w:rsid w:val="008E2A88"/>
    <w:rsid w:val="008F1516"/>
    <w:rsid w:val="0091090A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853"/>
    <w:rsid w:val="009F4B02"/>
    <w:rsid w:val="009F4BFE"/>
    <w:rsid w:val="00A04CBB"/>
    <w:rsid w:val="00A10FE9"/>
    <w:rsid w:val="00A12E2D"/>
    <w:rsid w:val="00A1734D"/>
    <w:rsid w:val="00A201D8"/>
    <w:rsid w:val="00A22B2B"/>
    <w:rsid w:val="00A3173E"/>
    <w:rsid w:val="00A41332"/>
    <w:rsid w:val="00A47074"/>
    <w:rsid w:val="00A52BE3"/>
    <w:rsid w:val="00A71C0C"/>
    <w:rsid w:val="00A74B56"/>
    <w:rsid w:val="00A8201B"/>
    <w:rsid w:val="00A869DF"/>
    <w:rsid w:val="00A90956"/>
    <w:rsid w:val="00A91573"/>
    <w:rsid w:val="00A97AFF"/>
    <w:rsid w:val="00AA3210"/>
    <w:rsid w:val="00AA3975"/>
    <w:rsid w:val="00AB6A55"/>
    <w:rsid w:val="00AD1543"/>
    <w:rsid w:val="00AD7D8C"/>
    <w:rsid w:val="00AE087E"/>
    <w:rsid w:val="00AE0DA5"/>
    <w:rsid w:val="00AE32C5"/>
    <w:rsid w:val="00AF7BEA"/>
    <w:rsid w:val="00B0570C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4080"/>
    <w:rsid w:val="00B47D76"/>
    <w:rsid w:val="00B5149E"/>
    <w:rsid w:val="00B54596"/>
    <w:rsid w:val="00B57B24"/>
    <w:rsid w:val="00B67313"/>
    <w:rsid w:val="00B76A0D"/>
    <w:rsid w:val="00B92C97"/>
    <w:rsid w:val="00B93A22"/>
    <w:rsid w:val="00BA3B53"/>
    <w:rsid w:val="00BB05D7"/>
    <w:rsid w:val="00BB4545"/>
    <w:rsid w:val="00BB51CC"/>
    <w:rsid w:val="00BB6613"/>
    <w:rsid w:val="00BC2180"/>
    <w:rsid w:val="00BC3F24"/>
    <w:rsid w:val="00BD0FEC"/>
    <w:rsid w:val="00BD1725"/>
    <w:rsid w:val="00BD378B"/>
    <w:rsid w:val="00BE60A5"/>
    <w:rsid w:val="00BE6C65"/>
    <w:rsid w:val="00BF1094"/>
    <w:rsid w:val="00BF1A6B"/>
    <w:rsid w:val="00BF3035"/>
    <w:rsid w:val="00C04565"/>
    <w:rsid w:val="00C05F4D"/>
    <w:rsid w:val="00C0749A"/>
    <w:rsid w:val="00C1664E"/>
    <w:rsid w:val="00C16EB5"/>
    <w:rsid w:val="00C21233"/>
    <w:rsid w:val="00C26F6B"/>
    <w:rsid w:val="00C27DBD"/>
    <w:rsid w:val="00C32C9F"/>
    <w:rsid w:val="00C4206E"/>
    <w:rsid w:val="00C4773A"/>
    <w:rsid w:val="00C5336A"/>
    <w:rsid w:val="00C53887"/>
    <w:rsid w:val="00C55479"/>
    <w:rsid w:val="00C6232D"/>
    <w:rsid w:val="00C62E14"/>
    <w:rsid w:val="00C70BE7"/>
    <w:rsid w:val="00C737A0"/>
    <w:rsid w:val="00C76CAF"/>
    <w:rsid w:val="00C821A9"/>
    <w:rsid w:val="00C86143"/>
    <w:rsid w:val="00C900B3"/>
    <w:rsid w:val="00C916AF"/>
    <w:rsid w:val="00C92364"/>
    <w:rsid w:val="00CA28FE"/>
    <w:rsid w:val="00CA7C8C"/>
    <w:rsid w:val="00CB22F2"/>
    <w:rsid w:val="00CB4124"/>
    <w:rsid w:val="00CB4DC7"/>
    <w:rsid w:val="00CC3D38"/>
    <w:rsid w:val="00CD2A3E"/>
    <w:rsid w:val="00CD65EB"/>
    <w:rsid w:val="00CF0E86"/>
    <w:rsid w:val="00CF74C4"/>
    <w:rsid w:val="00D01291"/>
    <w:rsid w:val="00D03806"/>
    <w:rsid w:val="00D049FA"/>
    <w:rsid w:val="00D067CE"/>
    <w:rsid w:val="00D16B0E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918C5"/>
    <w:rsid w:val="00D92505"/>
    <w:rsid w:val="00DB3744"/>
    <w:rsid w:val="00DD53B1"/>
    <w:rsid w:val="00DE17B5"/>
    <w:rsid w:val="00DE291D"/>
    <w:rsid w:val="00DF7A1C"/>
    <w:rsid w:val="00E03937"/>
    <w:rsid w:val="00E06C6E"/>
    <w:rsid w:val="00E10236"/>
    <w:rsid w:val="00E12A34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EF776B"/>
    <w:rsid w:val="00F00AFB"/>
    <w:rsid w:val="00F01BA3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84A9A"/>
    <w:rsid w:val="00F9702B"/>
    <w:rsid w:val="00F9754A"/>
    <w:rsid w:val="00FA3CDD"/>
    <w:rsid w:val="00FA4224"/>
    <w:rsid w:val="00FA790D"/>
    <w:rsid w:val="00FB125F"/>
    <w:rsid w:val="00FB206A"/>
    <w:rsid w:val="00FB56E6"/>
    <w:rsid w:val="00FB625E"/>
    <w:rsid w:val="00FC6260"/>
    <w:rsid w:val="00FD12D1"/>
    <w:rsid w:val="00FD273F"/>
    <w:rsid w:val="00FD4E72"/>
    <w:rsid w:val="00FE1C72"/>
    <w:rsid w:val="00FE624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scxw177543052">
    <w:name w:val="scxw177543052"/>
    <w:basedOn w:val="DefaultParagraphFont"/>
    <w:rsid w:val="008A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so.icann.org/sites/default/files/file/field-file-attach/final-report-newgtld-subsequent-procedures-pdp-02feb21-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en/public-comment/proceeding/proposal-for-latin-script-root-zone-label-generation-rules-23-09-2021/submissions?page=1&amp;sort-direction=new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2020-07-17T19:22:00Z</cp:lastPrinted>
  <dcterms:created xsi:type="dcterms:W3CDTF">2021-12-06T15:55:00Z</dcterms:created>
  <dcterms:modified xsi:type="dcterms:W3CDTF">2021-12-07T05:52:00Z</dcterms:modified>
</cp:coreProperties>
</file>