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6E" w:rsidRPr="00F52654" w:rsidRDefault="00E06C6E" w:rsidP="00E06C6E">
      <w:pPr>
        <w:spacing w:after="24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52654">
        <w:rPr>
          <w:rFonts w:ascii="Arial" w:hAnsi="Arial" w:cs="Arial"/>
          <w:b/>
          <w:bCs/>
          <w:sz w:val="22"/>
          <w:szCs w:val="22"/>
          <w:shd w:val="clear" w:color="auto" w:fill="FFFFFF"/>
        </w:rPr>
        <w:t>Latin Generation Panel (GP) Meeting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>Notes from the meeting on</w:t>
      </w:r>
      <w:r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5B19CA">
        <w:rPr>
          <w:rFonts w:ascii="Arial" w:hAnsi="Arial" w:cs="Arial"/>
          <w:b/>
          <w:bCs/>
          <w:sz w:val="22"/>
          <w:szCs w:val="22"/>
          <w:lang w:eastAsia="en-SG"/>
        </w:rPr>
        <w:t>25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Ju</w:t>
      </w:r>
      <w:r>
        <w:rPr>
          <w:rFonts w:ascii="Arial" w:hAnsi="Arial" w:cs="Arial"/>
          <w:b/>
          <w:bCs/>
          <w:sz w:val="22"/>
          <w:szCs w:val="22"/>
          <w:lang w:eastAsia="en-SG"/>
        </w:rPr>
        <w:t>ly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2019</w:t>
      </w:r>
    </w:p>
    <w:p w:rsidR="00E06C6E" w:rsidRPr="00F52654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F52654">
        <w:rPr>
          <w:rFonts w:ascii="Arial" w:hAnsi="Arial" w:cs="Arial"/>
          <w:sz w:val="22"/>
          <w:szCs w:val="22"/>
          <w:lang w:eastAsia="en-SG"/>
        </w:rPr>
        <w:t>Meeting Attendees (in alphabetical order)</w:t>
      </w:r>
    </w:p>
    <w:p w:rsidR="00E06C6E" w:rsidRPr="00F52654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F52654">
        <w:rPr>
          <w:rFonts w:ascii="Arial" w:hAnsi="Arial" w:cs="Arial"/>
          <w:sz w:val="22"/>
          <w:szCs w:val="22"/>
          <w:lang w:eastAsia="en-SG"/>
        </w:rPr>
        <w:tab/>
        <w:t>GP members:</w:t>
      </w:r>
    </w:p>
    <w:p w:rsidR="005B19CA" w:rsidRDefault="005B19CA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Bill </w:t>
      </w:r>
      <w:proofErr w:type="spellStart"/>
      <w:r>
        <w:rPr>
          <w:rFonts w:ascii="Arial" w:hAnsi="Arial" w:cs="Arial"/>
        </w:rPr>
        <w:t>Jouris</w:t>
      </w:r>
      <w:proofErr w:type="spellEnd"/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E06C6E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Dennis Tan </w:t>
      </w:r>
    </w:p>
    <w:p w:rsidR="004F2FFB" w:rsidRDefault="004F2FFB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Hazem </w:t>
      </w:r>
      <w:proofErr w:type="spellStart"/>
      <w:r>
        <w:rPr>
          <w:rFonts w:ascii="Arial" w:hAnsi="Arial" w:cs="Arial"/>
        </w:rPr>
        <w:t>Hezzah</w:t>
      </w:r>
      <w:proofErr w:type="spellEnd"/>
    </w:p>
    <w:p w:rsidR="00E06C6E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Mats </w:t>
      </w:r>
      <w:proofErr w:type="spellStart"/>
      <w:r>
        <w:rPr>
          <w:rFonts w:ascii="Arial" w:hAnsi="Arial" w:cs="Arial"/>
        </w:rPr>
        <w:t>Dufberg</w:t>
      </w:r>
      <w:proofErr w:type="spellEnd"/>
      <w:r>
        <w:rPr>
          <w:rFonts w:ascii="Arial" w:hAnsi="Arial" w:cs="Arial"/>
        </w:rPr>
        <w:t xml:space="preserve"> </w:t>
      </w:r>
    </w:p>
    <w:p w:rsidR="00E06C6E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Meikal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Mumin</w:t>
      </w:r>
      <w:proofErr w:type="spellEnd"/>
    </w:p>
    <w:p w:rsidR="00E06C6E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Micheal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Boulard</w:t>
      </w:r>
      <w:proofErr w:type="spellEnd"/>
      <w:r>
        <w:rPr>
          <w:rFonts w:ascii="Arial" w:hAnsi="Arial" w:cs="Arial"/>
        </w:rPr>
        <w:t xml:space="preserve"> </w:t>
      </w:r>
    </w:p>
    <w:p w:rsidR="00E06C6E" w:rsidRPr="00F52654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F52654">
        <w:rPr>
          <w:rFonts w:ascii="Arial" w:hAnsi="Arial" w:cs="Arial"/>
        </w:rPr>
        <w:t xml:space="preserve">Mirjana </w:t>
      </w:r>
      <w:proofErr w:type="spellStart"/>
      <w:r w:rsidRPr="00F52654">
        <w:rPr>
          <w:rFonts w:ascii="Arial" w:hAnsi="Arial" w:cs="Arial"/>
        </w:rPr>
        <w:t>Tasić</w:t>
      </w:r>
      <w:proofErr w:type="spellEnd"/>
    </w:p>
    <w:p w:rsidR="00E06C6E" w:rsidRPr="00F52654" w:rsidRDefault="00E06C6E" w:rsidP="00E06C6E">
      <w:pPr>
        <w:shd w:val="clear" w:color="auto" w:fill="FFFFFF"/>
        <w:spacing w:line="276" w:lineRule="auto"/>
        <w:ind w:firstLine="720"/>
        <w:rPr>
          <w:rFonts w:ascii="Arial" w:hAnsi="Arial" w:cs="Arial"/>
          <w:sz w:val="22"/>
          <w:szCs w:val="22"/>
          <w:lang w:eastAsia="en-SG"/>
        </w:rPr>
      </w:pPr>
      <w:r w:rsidRPr="00F52654">
        <w:rPr>
          <w:rFonts w:ascii="Arial" w:hAnsi="Arial" w:cs="Arial"/>
          <w:sz w:val="22"/>
          <w:szCs w:val="22"/>
          <w:lang w:eastAsia="en-SG"/>
        </w:rPr>
        <w:t>Staff:</w:t>
      </w:r>
    </w:p>
    <w:p w:rsidR="00E06C6E" w:rsidRDefault="00E06C6E" w:rsidP="00E06C6E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lang w:eastAsia="en-SG"/>
        </w:rPr>
      </w:pPr>
      <w:r w:rsidRPr="00F52654">
        <w:rPr>
          <w:rFonts w:ascii="Arial" w:hAnsi="Arial" w:cs="Arial"/>
          <w:lang w:eastAsia="en-SG"/>
        </w:rPr>
        <w:t>Pitinan Kooarmornpatana</w:t>
      </w:r>
    </w:p>
    <w:p w:rsidR="009319F6" w:rsidRDefault="00E06C6E" w:rsidP="009319F6">
      <w:pPr>
        <w:shd w:val="clear" w:color="auto" w:fill="FFFFFF"/>
        <w:spacing w:before="120" w:after="240" w:line="276" w:lineRule="auto"/>
        <w:rPr>
          <w:rFonts w:ascii="Arial" w:hAnsi="Arial" w:cs="Arial"/>
          <w:sz w:val="22"/>
          <w:szCs w:val="22"/>
          <w:lang w:eastAsia="en-SG"/>
        </w:rPr>
      </w:pPr>
      <w:r w:rsidRPr="00F52654">
        <w:rPr>
          <w:rFonts w:ascii="Arial" w:hAnsi="Arial" w:cs="Arial"/>
          <w:sz w:val="22"/>
          <w:szCs w:val="22"/>
          <w:u w:val="single"/>
          <w:lang w:eastAsia="en-SG"/>
        </w:rPr>
        <w:t>Meeting Notes</w:t>
      </w:r>
      <w:r w:rsidRPr="00F52654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5B19CA" w:rsidRDefault="00B16F1D" w:rsidP="009319F6">
      <w:pPr>
        <w:shd w:val="clear" w:color="auto" w:fill="FFFFFF"/>
        <w:spacing w:before="120" w:after="240" w:line="276" w:lineRule="auto"/>
        <w:rPr>
          <w:rFonts w:ascii="Arial" w:hAnsi="Arial" w:cs="Arial"/>
          <w:sz w:val="22"/>
          <w:szCs w:val="22"/>
          <w:lang w:eastAsia="en-SG"/>
        </w:rPr>
      </w:pPr>
      <w:r w:rsidRPr="005B19CA">
        <w:rPr>
          <w:rFonts w:ascii="Arial" w:hAnsi="Arial" w:cs="Arial"/>
          <w:sz w:val="22"/>
          <w:szCs w:val="22"/>
          <w:lang w:eastAsia="en-SG"/>
        </w:rPr>
        <w:t>The GP</w:t>
      </w:r>
      <w:r w:rsidR="005B19CA">
        <w:rPr>
          <w:rFonts w:ascii="Arial" w:hAnsi="Arial" w:cs="Arial"/>
          <w:sz w:val="22"/>
          <w:szCs w:val="22"/>
          <w:lang w:eastAsia="en-SG"/>
        </w:rPr>
        <w:t xml:space="preserve"> continued</w:t>
      </w:r>
      <w:r w:rsidRPr="005B19CA">
        <w:rPr>
          <w:rFonts w:ascii="Arial" w:hAnsi="Arial" w:cs="Arial"/>
          <w:sz w:val="22"/>
          <w:szCs w:val="22"/>
          <w:lang w:eastAsia="en-SG"/>
        </w:rPr>
        <w:t xml:space="preserve"> discuss</w:t>
      </w:r>
      <w:r w:rsidR="005B19CA">
        <w:rPr>
          <w:rFonts w:ascii="Arial" w:hAnsi="Arial" w:cs="Arial"/>
          <w:sz w:val="22"/>
          <w:szCs w:val="22"/>
          <w:lang w:eastAsia="en-SG"/>
        </w:rPr>
        <w:t>ing the</w:t>
      </w:r>
      <w:r w:rsidRPr="005B19CA">
        <w:rPr>
          <w:rFonts w:ascii="Arial" w:hAnsi="Arial" w:cs="Arial"/>
          <w:sz w:val="22"/>
          <w:szCs w:val="22"/>
          <w:lang w:eastAsia="en-SG"/>
        </w:rPr>
        <w:t xml:space="preserve"> “Sharp S (00DF) vs SS” </w:t>
      </w:r>
      <w:r w:rsidR="004F2FFB" w:rsidRPr="005B19CA">
        <w:rPr>
          <w:rFonts w:ascii="Arial" w:hAnsi="Arial" w:cs="Arial"/>
          <w:sz w:val="22"/>
          <w:szCs w:val="22"/>
          <w:lang w:eastAsia="en-SG"/>
        </w:rPr>
        <w:t>using the</w:t>
      </w:r>
      <w:r w:rsidRPr="005B19CA">
        <w:rPr>
          <w:rFonts w:ascii="Arial" w:hAnsi="Arial" w:cs="Arial"/>
          <w:sz w:val="22"/>
          <w:szCs w:val="22"/>
          <w:lang w:eastAsia="en-SG"/>
        </w:rPr>
        <w:t xml:space="preserve"> discussion paper: </w:t>
      </w:r>
      <w:hyperlink r:id="rId5" w:history="1">
        <w:r w:rsidRPr="005B19CA">
          <w:rPr>
            <w:rStyle w:val="Hyperlink"/>
            <w:rFonts w:ascii="Arial" w:hAnsi="Arial" w:cs="Arial"/>
            <w:sz w:val="22"/>
            <w:szCs w:val="22"/>
            <w:lang w:eastAsia="en-SG"/>
          </w:rPr>
          <w:t>Appendix: ID</w:t>
        </w:r>
        <w:r w:rsidRPr="005B19CA">
          <w:rPr>
            <w:rStyle w:val="Hyperlink"/>
            <w:rFonts w:ascii="Arial" w:hAnsi="Arial" w:cs="Arial"/>
            <w:sz w:val="22"/>
            <w:szCs w:val="22"/>
            <w:lang w:eastAsia="en-SG"/>
          </w:rPr>
          <w:t>N</w:t>
        </w:r>
        <w:r w:rsidRPr="005B19CA">
          <w:rPr>
            <w:rStyle w:val="Hyperlink"/>
            <w:rFonts w:ascii="Arial" w:hAnsi="Arial" w:cs="Arial"/>
            <w:sz w:val="22"/>
            <w:szCs w:val="22"/>
            <w:lang w:eastAsia="en-SG"/>
          </w:rPr>
          <w:t>A C</w:t>
        </w:r>
        <w:r w:rsidRPr="005B19CA">
          <w:rPr>
            <w:rStyle w:val="Hyperlink"/>
            <w:rFonts w:ascii="Arial" w:hAnsi="Arial" w:cs="Arial"/>
            <w:sz w:val="22"/>
            <w:szCs w:val="22"/>
            <w:lang w:eastAsia="en-SG"/>
          </w:rPr>
          <w:t>o</w:t>
        </w:r>
        <w:r w:rsidRPr="005B19CA">
          <w:rPr>
            <w:rStyle w:val="Hyperlink"/>
            <w:rFonts w:ascii="Arial" w:hAnsi="Arial" w:cs="Arial"/>
            <w:sz w:val="22"/>
            <w:szCs w:val="22"/>
            <w:lang w:eastAsia="en-SG"/>
          </w:rPr>
          <w:t>mpatibility: Latin Sm</w:t>
        </w:r>
        <w:r w:rsidRPr="005B19CA">
          <w:rPr>
            <w:rStyle w:val="Hyperlink"/>
            <w:rFonts w:ascii="Arial" w:hAnsi="Arial" w:cs="Arial"/>
            <w:sz w:val="22"/>
            <w:szCs w:val="22"/>
            <w:lang w:eastAsia="en-SG"/>
          </w:rPr>
          <w:t>a</w:t>
        </w:r>
        <w:r w:rsidRPr="005B19CA">
          <w:rPr>
            <w:rStyle w:val="Hyperlink"/>
            <w:rFonts w:ascii="Arial" w:hAnsi="Arial" w:cs="Arial"/>
            <w:sz w:val="22"/>
            <w:szCs w:val="22"/>
            <w:lang w:eastAsia="en-SG"/>
          </w:rPr>
          <w:t>ll Letter Sharp S (ß) U+00DF</w:t>
        </w:r>
      </w:hyperlink>
      <w:r w:rsidR="005B19CA">
        <w:rPr>
          <w:rFonts w:ascii="Arial" w:hAnsi="Arial" w:cs="Arial"/>
          <w:sz w:val="22"/>
          <w:szCs w:val="22"/>
          <w:lang w:eastAsia="en-SG"/>
        </w:rPr>
        <w:t>.</w:t>
      </w:r>
    </w:p>
    <w:p w:rsidR="00605D88" w:rsidRPr="00605D88" w:rsidRDefault="00605D88" w:rsidP="009319F6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0" w:beforeAutospacing="0" w:after="120" w:afterAutospacing="0" w:line="276" w:lineRule="auto"/>
        <w:rPr>
          <w:rFonts w:ascii="Arial" w:hAnsi="Arial" w:cs="Arial"/>
          <w:lang w:eastAsia="en-SG"/>
        </w:rPr>
      </w:pPr>
      <w:r>
        <w:rPr>
          <w:rFonts w:ascii="Arial" w:hAnsi="Arial" w:cs="Browallia New"/>
          <w:szCs w:val="28"/>
          <w:lang w:eastAsia="en-SG"/>
        </w:rPr>
        <w:t>It was</w:t>
      </w:r>
      <w:r w:rsidRPr="00605D88">
        <w:rPr>
          <w:rFonts w:ascii="Arial" w:hAnsi="Arial" w:cs="Browallia New"/>
          <w:szCs w:val="28"/>
          <w:lang w:eastAsia="en-SG"/>
        </w:rPr>
        <w:t xml:space="preserve"> clarified that the variant disposition </w:t>
      </w:r>
      <w:r w:rsidR="007758D4">
        <w:rPr>
          <w:rFonts w:ascii="Arial" w:hAnsi="Arial" w:cs="Browallia New"/>
          <w:szCs w:val="28"/>
          <w:lang w:eastAsia="en-SG"/>
        </w:rPr>
        <w:t>by</w:t>
      </w:r>
      <w:r w:rsidRPr="00605D88">
        <w:rPr>
          <w:rFonts w:ascii="Arial" w:hAnsi="Arial" w:cs="Browallia New"/>
          <w:szCs w:val="28"/>
          <w:lang w:eastAsia="en-SG"/>
        </w:rPr>
        <w:t xml:space="preserve"> Latin GP does not effect how </w:t>
      </w:r>
      <w:r w:rsidR="007758D4">
        <w:rPr>
          <w:rFonts w:ascii="Arial" w:hAnsi="Arial" w:cs="Browallia New"/>
          <w:szCs w:val="28"/>
          <w:lang w:eastAsia="en-SG"/>
        </w:rPr>
        <w:t>will</w:t>
      </w:r>
      <w:r w:rsidRPr="00605D88">
        <w:rPr>
          <w:rFonts w:ascii="Arial" w:hAnsi="Arial" w:cs="Browallia New"/>
          <w:szCs w:val="28"/>
          <w:lang w:eastAsia="en-SG"/>
        </w:rPr>
        <w:t xml:space="preserve"> the variant actually be managed</w:t>
      </w:r>
      <w:r>
        <w:rPr>
          <w:rFonts w:ascii="Arial" w:hAnsi="Arial" w:cs="Browallia New"/>
          <w:szCs w:val="28"/>
          <w:lang w:eastAsia="en-SG"/>
        </w:rPr>
        <w:t xml:space="preserve"> (i.e. whether the ‘</w:t>
      </w:r>
      <w:proofErr w:type="spellStart"/>
      <w:r>
        <w:rPr>
          <w:rFonts w:ascii="Arial" w:hAnsi="Arial" w:cs="Browallia New"/>
          <w:szCs w:val="28"/>
          <w:lang w:eastAsia="en-SG"/>
        </w:rPr>
        <w:t>allocatable</w:t>
      </w:r>
      <w:proofErr w:type="spellEnd"/>
      <w:r>
        <w:rPr>
          <w:rFonts w:ascii="Arial" w:hAnsi="Arial" w:cs="Browallia New"/>
          <w:szCs w:val="28"/>
          <w:lang w:eastAsia="en-SG"/>
        </w:rPr>
        <w:t xml:space="preserve">’ will be ‘activated’ or not) </w:t>
      </w:r>
      <w:r w:rsidRPr="00605D88">
        <w:rPr>
          <w:rFonts w:ascii="Arial" w:hAnsi="Arial" w:cs="Browallia New"/>
          <w:szCs w:val="28"/>
          <w:lang w:eastAsia="en-SG"/>
        </w:rPr>
        <w:t>by the registry. That would be the policy work</w:t>
      </w:r>
      <w:r>
        <w:rPr>
          <w:rFonts w:ascii="Arial" w:hAnsi="Arial" w:cs="Browallia New"/>
          <w:szCs w:val="28"/>
          <w:lang w:eastAsia="en-SG"/>
        </w:rPr>
        <w:t xml:space="preserve"> which is also now taking place in GNSO. </w:t>
      </w:r>
    </w:p>
    <w:p w:rsidR="005B19CA" w:rsidRPr="005B19CA" w:rsidRDefault="00605D88" w:rsidP="009319F6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0" w:beforeAutospacing="0" w:after="120" w:afterAutospacing="0" w:line="276" w:lineRule="auto"/>
        <w:rPr>
          <w:rFonts w:ascii="Arial" w:hAnsi="Arial" w:cs="Arial"/>
          <w:lang w:eastAsia="en-SG"/>
        </w:rPr>
      </w:pPr>
      <w:r>
        <w:rPr>
          <w:rFonts w:ascii="Arial" w:hAnsi="Arial" w:cs="Browallia New"/>
          <w:szCs w:val="28"/>
          <w:lang w:eastAsia="en-SG"/>
        </w:rPr>
        <w:t xml:space="preserve">Michael shared that currently .de offer the registration for sharp S without variant mapping with ss. </w:t>
      </w:r>
    </w:p>
    <w:p w:rsidR="009319F6" w:rsidRPr="009319F6" w:rsidRDefault="004F74FD" w:rsidP="009319F6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0" w:beforeAutospacing="0" w:after="120" w:afterAutospacing="0" w:line="276" w:lineRule="auto"/>
        <w:rPr>
          <w:rFonts w:ascii="Arial" w:hAnsi="Arial" w:cs="Arial"/>
          <w:lang w:eastAsia="en-SG"/>
        </w:rPr>
      </w:pPr>
      <w:r w:rsidRPr="002048F3">
        <w:rPr>
          <w:rFonts w:ascii="Arial" w:hAnsi="Arial" w:cs="Arial"/>
          <w:lang w:eastAsia="en-SG"/>
        </w:rPr>
        <w:t xml:space="preserve">At the </w:t>
      </w:r>
      <w:r w:rsidRPr="002048F3">
        <w:rPr>
          <w:rFonts w:ascii="Arial" w:hAnsi="Arial" w:cs="Arial"/>
          <w:lang w:eastAsia="en-SG"/>
        </w:rPr>
        <w:t>Weighted Decision Matrix (WDM)</w:t>
      </w:r>
      <w:r w:rsidRPr="002048F3">
        <w:rPr>
          <w:rFonts w:ascii="Arial" w:hAnsi="Arial" w:cs="Arial"/>
          <w:lang w:eastAsia="en-SG"/>
        </w:rPr>
        <w:t xml:space="preserve"> table, </w:t>
      </w:r>
      <w:r w:rsidR="002048F3" w:rsidRPr="002048F3">
        <w:rPr>
          <w:rFonts w:ascii="Arial" w:hAnsi="Arial" w:cs="Arial"/>
          <w:lang w:eastAsia="en-SG"/>
        </w:rPr>
        <w:t>It was agree</w:t>
      </w:r>
      <w:r w:rsidR="007758D4">
        <w:rPr>
          <w:rFonts w:ascii="Arial" w:hAnsi="Arial" w:cs="Arial"/>
          <w:lang w:eastAsia="en-SG"/>
        </w:rPr>
        <w:t>d</w:t>
      </w:r>
      <w:r w:rsidR="002048F3" w:rsidRPr="002048F3">
        <w:rPr>
          <w:rFonts w:ascii="Arial" w:hAnsi="Arial" w:cs="Arial"/>
          <w:lang w:eastAsia="en-SG"/>
        </w:rPr>
        <w:t xml:space="preserve"> to updated the table header to “Balance Stability of the Root Zone and Inclusion of a code point”. In the attribute column, </w:t>
      </w:r>
      <w:r w:rsidRPr="002048F3">
        <w:rPr>
          <w:rFonts w:ascii="Arial" w:hAnsi="Arial" w:cs="Arial"/>
          <w:lang w:eastAsia="en-SG"/>
        </w:rPr>
        <w:t xml:space="preserve">the terms ‘Denial of Service’ based on </w:t>
      </w:r>
      <w:hyperlink r:id="rId6" w:history="1">
        <w:r w:rsidRPr="002048F3">
          <w:rPr>
            <w:rStyle w:val="Hyperlink"/>
            <w:rFonts w:ascii="Arial" w:hAnsi="Arial" w:cs="Arial"/>
            <w:lang w:eastAsia="en-SG"/>
          </w:rPr>
          <w:t>SAC060</w:t>
        </w:r>
      </w:hyperlink>
      <w:r w:rsidR="002048F3" w:rsidRPr="002048F3">
        <w:rPr>
          <w:rFonts w:ascii="Arial" w:hAnsi="Arial" w:cs="Arial"/>
          <w:lang w:eastAsia="en-SG"/>
        </w:rPr>
        <w:t xml:space="preserve"> was discussed and it was agreed to use the term ‘Failure of Service’ instead </w:t>
      </w:r>
      <w:r w:rsidR="002048F3">
        <w:rPr>
          <w:rFonts w:ascii="Arial" w:hAnsi="Arial" w:cs="Arial"/>
          <w:lang w:eastAsia="en-SG"/>
        </w:rPr>
        <w:t xml:space="preserve">as </w:t>
      </w:r>
      <w:r w:rsidR="007758D4">
        <w:rPr>
          <w:rFonts w:ascii="Arial" w:hAnsi="Arial" w:cs="Arial"/>
          <w:lang w:eastAsia="en-SG"/>
        </w:rPr>
        <w:t xml:space="preserve">in this context </w:t>
      </w:r>
      <w:r w:rsidR="002048F3">
        <w:rPr>
          <w:rFonts w:ascii="Arial" w:hAnsi="Arial" w:cs="Arial"/>
          <w:lang w:eastAsia="en-SG"/>
        </w:rPr>
        <w:t xml:space="preserve">it also depends on </w:t>
      </w:r>
      <w:r w:rsidR="007758D4">
        <w:rPr>
          <w:rFonts w:ascii="Arial" w:hAnsi="Arial" w:cs="Arial"/>
          <w:lang w:eastAsia="en-SG"/>
        </w:rPr>
        <w:t xml:space="preserve">other factors e.g. the </w:t>
      </w:r>
      <w:r w:rsidR="002048F3">
        <w:rPr>
          <w:rFonts w:ascii="Arial" w:hAnsi="Arial" w:cs="Arial"/>
          <w:lang w:eastAsia="en-SG"/>
        </w:rPr>
        <w:t>browser software</w:t>
      </w:r>
      <w:r w:rsidR="002048F3" w:rsidRPr="002048F3">
        <w:rPr>
          <w:rFonts w:ascii="Arial" w:hAnsi="Arial" w:cs="Arial"/>
          <w:lang w:eastAsia="en-SG"/>
        </w:rPr>
        <w:t xml:space="preserve">. </w:t>
      </w:r>
    </w:p>
    <w:p w:rsidR="003B71F3" w:rsidRPr="003B71F3" w:rsidRDefault="002048F3" w:rsidP="009319F6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0" w:beforeAutospacing="0" w:after="120" w:afterAutospacing="0" w:line="276" w:lineRule="auto"/>
        <w:rPr>
          <w:rFonts w:ascii="Arial" w:hAnsi="Arial" w:cs="Arial"/>
          <w:lang w:eastAsia="en-SG"/>
        </w:rPr>
      </w:pPr>
      <w:r w:rsidRPr="002048F3">
        <w:rPr>
          <w:rFonts w:ascii="Arial" w:hAnsi="Arial" w:cs="Arial"/>
          <w:lang w:eastAsia="en-SG"/>
        </w:rPr>
        <w:t>I</w:t>
      </w:r>
      <w:r w:rsidR="00605D88" w:rsidRPr="002048F3">
        <w:rPr>
          <w:rFonts w:ascii="Arial" w:hAnsi="Arial" w:cs="Arial"/>
          <w:lang w:eastAsia="en-SG"/>
        </w:rPr>
        <w:t xml:space="preserve">t was </w:t>
      </w:r>
      <w:r w:rsidRPr="002048F3">
        <w:rPr>
          <w:rFonts w:ascii="Arial" w:hAnsi="Arial" w:cs="Arial"/>
          <w:lang w:eastAsia="en-SG"/>
        </w:rPr>
        <w:t xml:space="preserve">also </w:t>
      </w:r>
      <w:r w:rsidR="004F74FD" w:rsidRPr="002048F3">
        <w:rPr>
          <w:rFonts w:ascii="Arial" w:hAnsi="Arial" w:cs="Arial"/>
          <w:lang w:eastAsia="en-SG"/>
        </w:rPr>
        <w:t>discussed</w:t>
      </w:r>
      <w:r w:rsidR="00605D88" w:rsidRPr="002048F3">
        <w:rPr>
          <w:rFonts w:ascii="Arial" w:hAnsi="Arial" w:cs="Arial"/>
          <w:lang w:eastAsia="en-SG"/>
        </w:rPr>
        <w:t xml:space="preserve"> that the </w:t>
      </w:r>
      <w:r w:rsidRPr="002048F3">
        <w:rPr>
          <w:rFonts w:ascii="Arial" w:hAnsi="Arial" w:cs="Arial"/>
          <w:lang w:eastAsia="en-SG"/>
        </w:rPr>
        <w:t>‘</w:t>
      </w:r>
      <w:r w:rsidR="00F304BF" w:rsidRPr="002048F3">
        <w:rPr>
          <w:rFonts w:ascii="Arial" w:hAnsi="Arial" w:cs="Arial"/>
          <w:lang w:eastAsia="en-SG"/>
        </w:rPr>
        <w:t>Usability</w:t>
      </w:r>
      <w:r w:rsidRPr="002048F3">
        <w:rPr>
          <w:rFonts w:ascii="Arial" w:hAnsi="Arial" w:cs="Arial"/>
          <w:lang w:eastAsia="en-SG"/>
        </w:rPr>
        <w:t>’</w:t>
      </w:r>
      <w:r w:rsidR="00F304BF" w:rsidRPr="002048F3">
        <w:rPr>
          <w:rFonts w:ascii="Arial" w:hAnsi="Arial" w:cs="Arial"/>
          <w:lang w:eastAsia="en-SG"/>
        </w:rPr>
        <w:t xml:space="preserve"> is </w:t>
      </w:r>
      <w:r w:rsidRPr="002048F3">
        <w:rPr>
          <w:rFonts w:ascii="Arial" w:hAnsi="Arial" w:cs="Arial"/>
          <w:lang w:eastAsia="en-SG"/>
        </w:rPr>
        <w:t xml:space="preserve">equivalent to </w:t>
      </w:r>
      <w:r w:rsidR="004F74FD" w:rsidRPr="002048F3">
        <w:rPr>
          <w:rFonts w:ascii="Arial" w:hAnsi="Arial" w:cs="Arial"/>
          <w:lang w:eastAsia="en-SG"/>
        </w:rPr>
        <w:t xml:space="preserve">the </w:t>
      </w:r>
      <w:r w:rsidRPr="002048F3">
        <w:rPr>
          <w:rFonts w:ascii="Arial" w:hAnsi="Arial" w:cs="Arial"/>
          <w:lang w:eastAsia="en-SG"/>
        </w:rPr>
        <w:t>Failure</w:t>
      </w:r>
      <w:r w:rsidR="004F74FD" w:rsidRPr="002048F3">
        <w:rPr>
          <w:rFonts w:ascii="Arial" w:hAnsi="Arial" w:cs="Arial"/>
          <w:lang w:eastAsia="en-SG"/>
        </w:rPr>
        <w:t xml:space="preserve"> of service and</w:t>
      </w:r>
      <w:r w:rsidRPr="002048F3">
        <w:rPr>
          <w:rFonts w:ascii="Arial" w:hAnsi="Arial" w:cs="Arial"/>
          <w:lang w:eastAsia="en-SG"/>
        </w:rPr>
        <w:t xml:space="preserve"> Misconnection, therefore t</w:t>
      </w:r>
      <w:r w:rsidR="00F304BF" w:rsidRPr="002048F3">
        <w:rPr>
          <w:rFonts w:ascii="Arial" w:hAnsi="Arial" w:cs="Arial"/>
          <w:lang w:eastAsia="en-SG"/>
        </w:rPr>
        <w:t xml:space="preserve">he GP agreed to drop the </w:t>
      </w:r>
      <w:r w:rsidRPr="002048F3">
        <w:rPr>
          <w:rFonts w:ascii="Arial" w:hAnsi="Arial" w:cs="Arial"/>
          <w:lang w:eastAsia="en-SG"/>
        </w:rPr>
        <w:t xml:space="preserve">Usability </w:t>
      </w:r>
      <w:r w:rsidR="007758D4">
        <w:rPr>
          <w:rFonts w:ascii="Arial" w:hAnsi="Arial" w:cs="Arial"/>
          <w:lang w:eastAsia="en-SG"/>
        </w:rPr>
        <w:t>attribute</w:t>
      </w:r>
      <w:r w:rsidR="00F304BF" w:rsidRPr="002048F3">
        <w:rPr>
          <w:rFonts w:ascii="Arial" w:hAnsi="Arial" w:cs="Arial"/>
          <w:lang w:eastAsia="en-SG"/>
        </w:rPr>
        <w:t>, and re</w:t>
      </w:r>
      <w:r w:rsidRPr="002048F3">
        <w:rPr>
          <w:rFonts w:ascii="Arial" w:hAnsi="Arial" w:cs="Arial"/>
          <w:lang w:eastAsia="en-SG"/>
        </w:rPr>
        <w:t>-</w:t>
      </w:r>
      <w:r w:rsidR="00F304BF" w:rsidRPr="002048F3">
        <w:rPr>
          <w:rFonts w:ascii="Arial" w:hAnsi="Arial" w:cs="Arial"/>
          <w:lang w:eastAsia="en-SG"/>
        </w:rPr>
        <w:t>assign</w:t>
      </w:r>
      <w:r w:rsidR="007758D4">
        <w:rPr>
          <w:rFonts w:ascii="Arial" w:hAnsi="Arial" w:cs="Arial"/>
          <w:lang w:eastAsia="en-SG"/>
        </w:rPr>
        <w:t>ed</w:t>
      </w:r>
      <w:r w:rsidR="00F304BF" w:rsidRPr="002048F3">
        <w:rPr>
          <w:rFonts w:ascii="Arial" w:hAnsi="Arial" w:cs="Arial"/>
          <w:lang w:eastAsia="en-SG"/>
        </w:rPr>
        <w:t xml:space="preserve"> the weight </w:t>
      </w:r>
      <w:r w:rsidRPr="002048F3">
        <w:rPr>
          <w:rFonts w:ascii="Arial" w:hAnsi="Arial" w:cs="Arial"/>
          <w:lang w:eastAsia="en-SG"/>
        </w:rPr>
        <w:t xml:space="preserve">as the following: </w:t>
      </w:r>
      <w:r w:rsidRPr="002048F3">
        <w:rPr>
          <w:rFonts w:ascii="Arial" w:hAnsi="Arial" w:cs="Arial"/>
          <w:lang w:eastAsia="en-SG"/>
        </w:rPr>
        <w:br/>
      </w:r>
      <w:r w:rsidRPr="002048F3">
        <w:rPr>
          <w:rFonts w:ascii="Arial" w:hAnsi="Arial" w:cs="Arial"/>
          <w:lang w:eastAsia="en-SG"/>
        </w:rPr>
        <w:t>(</w:t>
      </w:r>
      <w:r w:rsidRPr="002048F3">
        <w:rPr>
          <w:rFonts w:ascii="Arial" w:hAnsi="Arial" w:cs="Arial"/>
          <w:lang w:eastAsia="en-SG"/>
        </w:rPr>
        <w:t>30</w:t>
      </w:r>
      <w:r w:rsidRPr="002048F3">
        <w:rPr>
          <w:rFonts w:ascii="Arial" w:hAnsi="Arial" w:cs="Arial"/>
          <w:lang w:eastAsia="en-SG"/>
        </w:rPr>
        <w:t xml:space="preserve">%) Prevent </w:t>
      </w:r>
      <w:r w:rsidRPr="002048F3">
        <w:rPr>
          <w:rFonts w:ascii="Arial" w:hAnsi="Arial" w:cs="Arial"/>
          <w:lang w:eastAsia="en-SG"/>
        </w:rPr>
        <w:t>failure</w:t>
      </w:r>
      <w:r w:rsidRPr="002048F3">
        <w:rPr>
          <w:rFonts w:ascii="Arial" w:hAnsi="Arial" w:cs="Arial"/>
          <w:lang w:eastAsia="en-SG"/>
        </w:rPr>
        <w:t xml:space="preserve"> of service – the case which the user cannot reach intended address</w:t>
      </w:r>
      <w:r w:rsidRPr="002048F3">
        <w:rPr>
          <w:rFonts w:ascii="Arial" w:hAnsi="Arial" w:cs="Arial"/>
          <w:lang w:eastAsia="en-SG"/>
        </w:rPr>
        <w:br/>
        <w:t>(</w:t>
      </w:r>
      <w:r w:rsidRPr="002048F3">
        <w:rPr>
          <w:rFonts w:ascii="Arial" w:hAnsi="Arial" w:cs="Arial"/>
          <w:lang w:eastAsia="en-SG"/>
        </w:rPr>
        <w:t>50</w:t>
      </w:r>
      <w:r w:rsidRPr="002048F3">
        <w:rPr>
          <w:rFonts w:ascii="Arial" w:hAnsi="Arial" w:cs="Arial"/>
          <w:lang w:eastAsia="en-SG"/>
        </w:rPr>
        <w:t>%) Prevent misconnection – the case which the user reaches the unintended address</w:t>
      </w:r>
      <w:r w:rsidRPr="002048F3">
        <w:rPr>
          <w:rFonts w:ascii="Arial" w:hAnsi="Arial" w:cs="Arial"/>
          <w:lang w:eastAsia="en-SG"/>
        </w:rPr>
        <w:br/>
        <w:t>(</w:t>
      </w:r>
      <w:r w:rsidRPr="002048F3">
        <w:rPr>
          <w:rFonts w:ascii="Arial" w:hAnsi="Arial" w:cs="Arial"/>
          <w:lang w:eastAsia="en-SG"/>
        </w:rPr>
        <w:t>20</w:t>
      </w:r>
      <w:r w:rsidRPr="002048F3">
        <w:rPr>
          <w:rFonts w:ascii="Arial" w:hAnsi="Arial" w:cs="Arial"/>
          <w:lang w:eastAsia="en-SG"/>
        </w:rPr>
        <w:t>%) Availability at the top level – the linguistic requirement of the script user community</w:t>
      </w:r>
    </w:p>
    <w:p w:rsidR="002048F3" w:rsidRDefault="002048F3" w:rsidP="009319F6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0" w:beforeAutospacing="0" w:after="120" w:afterAutospacing="0" w:line="276" w:lineRule="auto"/>
        <w:rPr>
          <w:rFonts w:ascii="Arial" w:hAnsi="Arial" w:cs="Arial"/>
          <w:lang w:eastAsia="en-SG"/>
        </w:rPr>
      </w:pPr>
      <w:r w:rsidRPr="009319F6">
        <w:rPr>
          <w:rFonts w:ascii="Arial" w:hAnsi="Arial" w:cs="Arial"/>
          <w:lang w:eastAsia="en-SG"/>
        </w:rPr>
        <w:t>An example</w:t>
      </w:r>
      <w:r w:rsidR="009319F6" w:rsidRPr="009319F6">
        <w:rPr>
          <w:rFonts w:ascii="Arial" w:hAnsi="Arial" w:cs="Arial"/>
          <w:lang w:eastAsia="en-SG"/>
        </w:rPr>
        <w:t xml:space="preserve"> of browser dependency: Chrome implements IDNA2003 while Firefox and Safari implements IDNA2008, therefore the resolutions are different</w:t>
      </w:r>
      <w:r w:rsidR="009319F6">
        <w:rPr>
          <w:rFonts w:ascii="Arial" w:hAnsi="Arial" w:cs="Arial"/>
          <w:lang w:eastAsia="en-SG"/>
        </w:rPr>
        <w:t xml:space="preserve"> as shown in the t</w:t>
      </w:r>
      <w:r w:rsidRPr="002048F3">
        <w:rPr>
          <w:rFonts w:ascii="Arial" w:hAnsi="Arial" w:cs="Arial"/>
          <w:lang w:eastAsia="en-SG"/>
        </w:rPr>
        <w:t>able</w:t>
      </w:r>
      <w:r w:rsidR="009319F6">
        <w:rPr>
          <w:rFonts w:ascii="Arial" w:hAnsi="Arial" w:cs="Arial"/>
          <w:lang w:eastAsia="en-SG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25"/>
        <w:gridCol w:w="2340"/>
        <w:gridCol w:w="2520"/>
        <w:gridCol w:w="2605"/>
      </w:tblGrid>
      <w:tr w:rsidR="009319F6" w:rsidTr="009319F6">
        <w:tc>
          <w:tcPr>
            <w:tcW w:w="1525" w:type="dxa"/>
          </w:tcPr>
          <w:p w:rsidR="009319F6" w:rsidRPr="002048F3" w:rsidRDefault="009319F6" w:rsidP="009319F6">
            <w:pPr>
              <w:pStyle w:val="ListParagraph"/>
              <w:shd w:val="clear" w:color="auto" w:fill="FFFFFF"/>
              <w:snapToGrid w:val="0"/>
              <w:spacing w:before="120" w:after="240" w:line="276" w:lineRule="auto"/>
              <w:ind w:left="60"/>
              <w:rPr>
                <w:rFonts w:ascii="Arial" w:hAnsi="Arial" w:cs="Arial"/>
                <w:lang w:eastAsia="en-SG"/>
              </w:rPr>
            </w:pPr>
            <w:r>
              <w:rPr>
                <w:rFonts w:ascii="Arial" w:hAnsi="Arial" w:cs="Arial"/>
                <w:lang w:eastAsia="en-SG"/>
              </w:rPr>
              <w:t>Char</w:t>
            </w:r>
          </w:p>
        </w:tc>
        <w:tc>
          <w:tcPr>
            <w:tcW w:w="2340" w:type="dxa"/>
          </w:tcPr>
          <w:p w:rsidR="009319F6" w:rsidRPr="002048F3" w:rsidRDefault="009319F6" w:rsidP="009319F6">
            <w:pPr>
              <w:pStyle w:val="ListParagraph"/>
              <w:shd w:val="clear" w:color="auto" w:fill="FFFFFF"/>
              <w:snapToGrid w:val="0"/>
              <w:spacing w:before="120" w:after="240" w:line="276" w:lineRule="auto"/>
              <w:ind w:left="76"/>
              <w:rPr>
                <w:rFonts w:ascii="Arial" w:hAnsi="Arial" w:cs="Arial"/>
                <w:lang w:eastAsia="en-SG"/>
              </w:rPr>
            </w:pPr>
            <w:r>
              <w:rPr>
                <w:rFonts w:ascii="Arial" w:hAnsi="Arial" w:cs="Arial"/>
                <w:lang w:eastAsia="en-SG"/>
              </w:rPr>
              <w:t>Example</w:t>
            </w:r>
          </w:p>
        </w:tc>
        <w:tc>
          <w:tcPr>
            <w:tcW w:w="2520" w:type="dxa"/>
          </w:tcPr>
          <w:p w:rsidR="009319F6" w:rsidRPr="002048F3" w:rsidRDefault="009319F6" w:rsidP="009319F6">
            <w:pPr>
              <w:pStyle w:val="ListParagraph"/>
              <w:shd w:val="clear" w:color="auto" w:fill="FFFFFF"/>
              <w:snapToGrid w:val="0"/>
              <w:spacing w:before="120" w:after="240" w:line="276" w:lineRule="auto"/>
              <w:ind w:left="76"/>
              <w:rPr>
                <w:rFonts w:ascii="Arial" w:hAnsi="Arial" w:cs="Arial"/>
                <w:b/>
                <w:bCs/>
                <w:lang w:eastAsia="en-SG"/>
              </w:rPr>
            </w:pPr>
            <w:r>
              <w:rPr>
                <w:rFonts w:ascii="Arial" w:hAnsi="Arial" w:cs="Arial"/>
                <w:b/>
                <w:bCs/>
                <w:lang w:eastAsia="en-SG"/>
              </w:rPr>
              <w:t>IDNA2003 Result</w:t>
            </w:r>
          </w:p>
        </w:tc>
        <w:tc>
          <w:tcPr>
            <w:tcW w:w="2605" w:type="dxa"/>
          </w:tcPr>
          <w:p w:rsidR="009319F6" w:rsidRPr="002048F3" w:rsidRDefault="009319F6" w:rsidP="009319F6">
            <w:pPr>
              <w:pStyle w:val="ListParagraph"/>
              <w:shd w:val="clear" w:color="auto" w:fill="FFFFFF"/>
              <w:snapToGrid w:val="0"/>
              <w:spacing w:before="120" w:after="240" w:line="276" w:lineRule="auto"/>
              <w:ind w:left="166"/>
              <w:rPr>
                <w:rFonts w:ascii="Arial" w:hAnsi="Arial" w:cs="Arial"/>
                <w:b/>
                <w:bCs/>
                <w:lang w:eastAsia="en-SG"/>
              </w:rPr>
            </w:pPr>
            <w:r>
              <w:rPr>
                <w:rFonts w:ascii="Arial" w:hAnsi="Arial" w:cs="Arial"/>
                <w:b/>
                <w:bCs/>
                <w:lang w:eastAsia="en-SG"/>
              </w:rPr>
              <w:t>IDNA2008  Result</w:t>
            </w:r>
          </w:p>
        </w:tc>
      </w:tr>
      <w:tr w:rsidR="009319F6" w:rsidTr="009319F6">
        <w:trPr>
          <w:trHeight w:val="350"/>
        </w:trPr>
        <w:tc>
          <w:tcPr>
            <w:tcW w:w="1525" w:type="dxa"/>
          </w:tcPr>
          <w:p w:rsidR="009319F6" w:rsidRPr="009319F6" w:rsidRDefault="009319F6" w:rsidP="009319F6">
            <w:pPr>
              <w:shd w:val="clear" w:color="auto" w:fill="FFFFFF"/>
              <w:snapToGrid w:val="0"/>
              <w:spacing w:before="120" w:line="276" w:lineRule="auto"/>
              <w:rPr>
                <w:rFonts w:ascii="Arial" w:hAnsi="Arial" w:cs="Arial"/>
                <w:lang w:eastAsia="en-SG"/>
              </w:rPr>
            </w:pPr>
            <w:r w:rsidRPr="009319F6">
              <w:rPr>
                <w:rFonts w:ascii="Arial" w:hAnsi="Arial" w:cs="Arial"/>
                <w:lang w:eastAsia="en-SG"/>
              </w:rPr>
              <w:t>ß</w:t>
            </w:r>
            <w:r>
              <w:rPr>
                <w:rFonts w:ascii="Arial" w:hAnsi="Arial" w:cs="Arial"/>
                <w:lang w:eastAsia="en-SG"/>
              </w:rPr>
              <w:t xml:space="preserve"> (</w:t>
            </w:r>
            <w:r w:rsidRPr="009319F6">
              <w:rPr>
                <w:rFonts w:ascii="Arial" w:hAnsi="Arial" w:cs="Arial"/>
                <w:lang w:eastAsia="en-SG"/>
              </w:rPr>
              <w:t>00DF</w:t>
            </w:r>
            <w:r>
              <w:rPr>
                <w:rFonts w:ascii="Arial" w:hAnsi="Arial" w:cs="Arial"/>
                <w:lang w:eastAsia="en-SG"/>
              </w:rPr>
              <w:t>)</w:t>
            </w:r>
          </w:p>
        </w:tc>
        <w:tc>
          <w:tcPr>
            <w:tcW w:w="2340" w:type="dxa"/>
          </w:tcPr>
          <w:p w:rsidR="009319F6" w:rsidRPr="009319F6" w:rsidRDefault="009319F6" w:rsidP="009319F6">
            <w:pPr>
              <w:shd w:val="clear" w:color="auto" w:fill="FFFFFF"/>
              <w:snapToGrid w:val="0"/>
              <w:spacing w:before="120" w:line="276" w:lineRule="auto"/>
              <w:rPr>
                <w:rFonts w:ascii="Arial" w:hAnsi="Arial" w:cs="Arial"/>
                <w:lang w:eastAsia="en-SG"/>
              </w:rPr>
            </w:pPr>
            <w:proofErr w:type="spellStart"/>
            <w:r w:rsidRPr="009319F6">
              <w:rPr>
                <w:rFonts w:ascii="Arial" w:hAnsi="Arial" w:cs="Arial"/>
                <w:lang w:eastAsia="en-SG"/>
              </w:rPr>
              <w:t>href</w:t>
            </w:r>
            <w:proofErr w:type="spellEnd"/>
            <w:r w:rsidRPr="009319F6">
              <w:rPr>
                <w:rFonts w:ascii="Arial" w:hAnsi="Arial" w:cs="Arial"/>
                <w:lang w:eastAsia="en-SG"/>
              </w:rPr>
              <w:t>="</w:t>
            </w:r>
            <w:r w:rsidRPr="009319F6">
              <w:rPr>
                <w:rFonts w:ascii="Arial" w:hAnsi="Arial" w:cs="Arial"/>
                <w:b/>
                <w:bCs/>
                <w:lang w:eastAsia="en-SG"/>
              </w:rPr>
              <w:t>http://</w:t>
            </w:r>
            <w:proofErr w:type="spellStart"/>
            <w:r w:rsidRPr="009319F6">
              <w:rPr>
                <w:rFonts w:ascii="Arial" w:hAnsi="Arial" w:cs="Arial"/>
                <w:b/>
                <w:bCs/>
                <w:lang w:eastAsia="en-SG"/>
              </w:rPr>
              <w:t>faß.de</w:t>
            </w:r>
            <w:proofErr w:type="spellEnd"/>
            <w:r w:rsidRPr="009319F6">
              <w:rPr>
                <w:rFonts w:ascii="Arial" w:hAnsi="Arial" w:cs="Arial"/>
                <w:b/>
                <w:bCs/>
                <w:lang w:eastAsia="en-SG"/>
              </w:rPr>
              <w:t>"</w:t>
            </w:r>
          </w:p>
        </w:tc>
        <w:tc>
          <w:tcPr>
            <w:tcW w:w="2520" w:type="dxa"/>
          </w:tcPr>
          <w:p w:rsidR="009319F6" w:rsidRPr="009319F6" w:rsidRDefault="009319F6" w:rsidP="009319F6">
            <w:pPr>
              <w:shd w:val="clear" w:color="auto" w:fill="FFFFFF"/>
              <w:snapToGrid w:val="0"/>
              <w:spacing w:before="120" w:line="276" w:lineRule="auto"/>
              <w:rPr>
                <w:rFonts w:ascii="Arial" w:hAnsi="Arial" w:cs="Arial"/>
                <w:lang w:eastAsia="en-SG"/>
              </w:rPr>
            </w:pPr>
            <w:r w:rsidRPr="009319F6">
              <w:rPr>
                <w:rFonts w:ascii="Arial" w:hAnsi="Arial" w:cs="Arial"/>
                <w:b/>
                <w:bCs/>
                <w:lang w:eastAsia="en-SG"/>
              </w:rPr>
              <w:t>http://</w:t>
            </w:r>
            <w:proofErr w:type="spellStart"/>
            <w:r w:rsidRPr="009319F6">
              <w:rPr>
                <w:rFonts w:ascii="Arial" w:hAnsi="Arial" w:cs="Arial"/>
                <w:b/>
                <w:bCs/>
                <w:lang w:eastAsia="en-SG"/>
              </w:rPr>
              <w:t>faß.de</w:t>
            </w:r>
            <w:proofErr w:type="spellEnd"/>
            <w:r w:rsidRPr="009319F6">
              <w:rPr>
                <w:rFonts w:ascii="Arial" w:hAnsi="Arial" w:cs="Arial"/>
                <w:lang w:eastAsia="en-SG"/>
              </w:rPr>
              <w:t xml:space="preserve"> →</w:t>
            </w:r>
            <w:r>
              <w:rPr>
                <w:rFonts w:ascii="Arial" w:hAnsi="Arial" w:cs="Arial"/>
                <w:lang w:eastAsia="en-SG"/>
              </w:rPr>
              <w:t xml:space="preserve"> </w:t>
            </w:r>
            <w:r w:rsidRPr="009319F6">
              <w:rPr>
                <w:rFonts w:ascii="Arial" w:hAnsi="Arial" w:cs="Arial"/>
                <w:b/>
                <w:bCs/>
                <w:lang w:eastAsia="en-SG"/>
              </w:rPr>
              <w:t>http://</w:t>
            </w:r>
            <w:proofErr w:type="spellStart"/>
            <w:r w:rsidRPr="009319F6">
              <w:rPr>
                <w:rFonts w:ascii="Arial" w:hAnsi="Arial" w:cs="Arial"/>
                <w:b/>
                <w:bCs/>
                <w:lang w:eastAsia="en-SG"/>
              </w:rPr>
              <w:t>fass.de</w:t>
            </w:r>
            <w:proofErr w:type="spellEnd"/>
          </w:p>
        </w:tc>
        <w:tc>
          <w:tcPr>
            <w:tcW w:w="2605" w:type="dxa"/>
          </w:tcPr>
          <w:p w:rsidR="009319F6" w:rsidRPr="009319F6" w:rsidRDefault="009319F6" w:rsidP="009319F6">
            <w:pPr>
              <w:shd w:val="clear" w:color="auto" w:fill="FFFFFF"/>
              <w:snapToGrid w:val="0"/>
              <w:spacing w:before="120" w:line="276" w:lineRule="auto"/>
              <w:rPr>
                <w:rFonts w:ascii="Arial" w:hAnsi="Arial" w:cs="Arial"/>
                <w:lang w:eastAsia="en-SG"/>
              </w:rPr>
            </w:pPr>
            <w:r w:rsidRPr="009319F6">
              <w:rPr>
                <w:rFonts w:ascii="Arial" w:hAnsi="Arial" w:cs="Arial"/>
                <w:b/>
                <w:bCs/>
                <w:lang w:eastAsia="en-SG"/>
              </w:rPr>
              <w:t>http://</w:t>
            </w:r>
            <w:proofErr w:type="spellStart"/>
            <w:r w:rsidRPr="009319F6">
              <w:rPr>
                <w:rFonts w:ascii="Arial" w:hAnsi="Arial" w:cs="Arial"/>
                <w:b/>
                <w:bCs/>
                <w:lang w:eastAsia="en-SG"/>
              </w:rPr>
              <w:t>faß.de</w:t>
            </w:r>
            <w:proofErr w:type="spellEnd"/>
            <w:r w:rsidRPr="009319F6">
              <w:rPr>
                <w:rFonts w:ascii="Arial" w:hAnsi="Arial" w:cs="Arial"/>
                <w:lang w:eastAsia="en-SG"/>
              </w:rPr>
              <w:t xml:space="preserve"> →</w:t>
            </w:r>
            <w:r>
              <w:rPr>
                <w:rFonts w:ascii="Arial" w:hAnsi="Arial" w:cs="Arial"/>
                <w:lang w:eastAsia="en-SG"/>
              </w:rPr>
              <w:br/>
            </w:r>
            <w:r w:rsidRPr="009319F6">
              <w:rPr>
                <w:rFonts w:ascii="Arial" w:hAnsi="Arial" w:cs="Arial"/>
                <w:b/>
                <w:bCs/>
                <w:lang w:eastAsia="en-SG"/>
              </w:rPr>
              <w:t>http://</w:t>
            </w:r>
            <w:proofErr w:type="spellStart"/>
            <w:r w:rsidRPr="009319F6">
              <w:rPr>
                <w:rFonts w:ascii="Arial" w:hAnsi="Arial" w:cs="Arial"/>
                <w:b/>
                <w:bCs/>
                <w:lang w:eastAsia="en-SG"/>
              </w:rPr>
              <w:t>xn</w:t>
            </w:r>
            <w:proofErr w:type="spellEnd"/>
            <w:r w:rsidRPr="009319F6">
              <w:rPr>
                <w:rFonts w:ascii="Arial" w:hAnsi="Arial" w:cs="Arial"/>
                <w:b/>
                <w:bCs/>
                <w:lang w:eastAsia="en-SG"/>
              </w:rPr>
              <w:t>--fa-</w:t>
            </w:r>
            <w:proofErr w:type="spellStart"/>
            <w:r w:rsidRPr="009319F6">
              <w:rPr>
                <w:rFonts w:ascii="Arial" w:hAnsi="Arial" w:cs="Arial"/>
                <w:b/>
                <w:bCs/>
                <w:lang w:eastAsia="en-SG"/>
              </w:rPr>
              <w:t>hia.de</w:t>
            </w:r>
            <w:proofErr w:type="spellEnd"/>
          </w:p>
        </w:tc>
      </w:tr>
    </w:tbl>
    <w:p w:rsidR="002048F3" w:rsidRPr="002048F3" w:rsidRDefault="002048F3" w:rsidP="002048F3">
      <w:pPr>
        <w:pStyle w:val="ListParagraph"/>
        <w:shd w:val="clear" w:color="auto" w:fill="FFFFFF"/>
        <w:snapToGrid w:val="0"/>
        <w:spacing w:before="120" w:after="240" w:line="276" w:lineRule="auto"/>
        <w:ind w:left="360"/>
        <w:rPr>
          <w:rFonts w:ascii="Arial" w:hAnsi="Arial" w:cs="Arial"/>
          <w:lang w:eastAsia="en-SG"/>
        </w:rPr>
      </w:pPr>
      <w:r w:rsidRPr="002048F3">
        <w:rPr>
          <w:rFonts w:ascii="Arial" w:hAnsi="Arial" w:cs="Arial"/>
          <w:lang w:eastAsia="en-SG"/>
        </w:rPr>
        <w:t xml:space="preserve">Source: </w:t>
      </w:r>
      <w:hyperlink r:id="rId7" w:anchor="Transition_Considerations" w:history="1">
        <w:r w:rsidRPr="002048F3">
          <w:rPr>
            <w:rStyle w:val="Hyperlink"/>
            <w:rFonts w:ascii="Arial" w:hAnsi="Arial" w:cs="Arial"/>
            <w:lang w:eastAsia="en-SG"/>
          </w:rPr>
          <w:t>https://</w:t>
        </w:r>
        <w:proofErr w:type="spellStart"/>
        <w:r w:rsidRPr="002048F3">
          <w:rPr>
            <w:rStyle w:val="Hyperlink"/>
            <w:rFonts w:ascii="Arial" w:hAnsi="Arial" w:cs="Arial"/>
            <w:lang w:eastAsia="en-SG"/>
          </w:rPr>
          <w:t>unicode.org</w:t>
        </w:r>
        <w:proofErr w:type="spellEnd"/>
        <w:r w:rsidRPr="002048F3">
          <w:rPr>
            <w:rStyle w:val="Hyperlink"/>
            <w:rFonts w:ascii="Arial" w:hAnsi="Arial" w:cs="Arial"/>
            <w:lang w:eastAsia="en-SG"/>
          </w:rPr>
          <w:t>/reports/tr46/#</w:t>
        </w:r>
        <w:proofErr w:type="spellStart"/>
        <w:r w:rsidRPr="002048F3">
          <w:rPr>
            <w:rStyle w:val="Hyperlink"/>
            <w:rFonts w:ascii="Arial" w:hAnsi="Arial" w:cs="Arial"/>
            <w:lang w:eastAsia="en-SG"/>
          </w:rPr>
          <w:t>Transition_Considerations</w:t>
        </w:r>
        <w:proofErr w:type="spellEnd"/>
      </w:hyperlink>
      <w:r w:rsidRPr="002048F3">
        <w:rPr>
          <w:rFonts w:ascii="Arial" w:hAnsi="Arial" w:cs="Arial"/>
          <w:lang w:eastAsia="en-SG"/>
        </w:rPr>
        <w:t> </w:t>
      </w:r>
    </w:p>
    <w:p w:rsidR="004F2FFB" w:rsidRPr="005B19CA" w:rsidRDefault="004F2FFB" w:rsidP="00731D0A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120" w:after="240" w:line="276" w:lineRule="auto"/>
        <w:rPr>
          <w:rFonts w:ascii="Arial" w:hAnsi="Arial" w:cs="Arial"/>
          <w:lang w:eastAsia="en-SG"/>
        </w:rPr>
      </w:pPr>
      <w:r w:rsidRPr="005B19CA">
        <w:rPr>
          <w:rFonts w:ascii="Arial" w:hAnsi="Arial" w:cs="Arial"/>
          <w:lang w:eastAsia="en-SG"/>
        </w:rPr>
        <w:lastRenderedPageBreak/>
        <w:t xml:space="preserve">The </w:t>
      </w:r>
      <w:r w:rsidR="009319F6">
        <w:rPr>
          <w:rFonts w:ascii="Arial" w:hAnsi="Arial" w:cs="Arial"/>
          <w:lang w:eastAsia="en-SG"/>
        </w:rPr>
        <w:t xml:space="preserve">discussion will be continued in the next meeting. </w:t>
      </w:r>
      <w:r w:rsidRPr="005B19CA">
        <w:rPr>
          <w:rFonts w:ascii="Arial" w:hAnsi="Arial" w:cs="Arial"/>
          <w:lang w:eastAsia="en-SG"/>
        </w:rPr>
        <w:t xml:space="preserve">Next meeting is </w:t>
      </w:r>
      <w:r w:rsidR="009319F6">
        <w:rPr>
          <w:rFonts w:ascii="Arial" w:hAnsi="Arial" w:cs="Arial"/>
          <w:lang w:eastAsia="en-SG"/>
        </w:rPr>
        <w:t>1 August</w:t>
      </w:r>
      <w:r w:rsidRPr="005B19CA">
        <w:rPr>
          <w:rFonts w:ascii="Arial" w:hAnsi="Arial" w:cs="Arial"/>
          <w:lang w:eastAsia="en-SG"/>
        </w:rPr>
        <w:t xml:space="preserve"> 2019 at 16:00 UTC</w:t>
      </w:r>
    </w:p>
    <w:p w:rsidR="008D4C9A" w:rsidRPr="005B19CA" w:rsidRDefault="008D4C9A" w:rsidP="008D4C9A">
      <w:pPr>
        <w:spacing w:after="240" w:line="276" w:lineRule="auto"/>
        <w:rPr>
          <w:rFonts w:ascii="Arial" w:hAnsi="Arial" w:cs="Arial"/>
          <w:sz w:val="22"/>
          <w:szCs w:val="22"/>
          <w:lang w:eastAsia="en-SG"/>
        </w:rPr>
      </w:pPr>
      <w:r w:rsidRPr="005B19CA">
        <w:rPr>
          <w:rFonts w:ascii="Arial" w:hAnsi="Arial" w:cs="Arial"/>
          <w:sz w:val="22"/>
          <w:szCs w:val="22"/>
          <w:u w:val="single"/>
          <w:lang w:eastAsia="en-SG"/>
        </w:rPr>
        <w:t>Action Items</w:t>
      </w:r>
      <w:r w:rsidRPr="005B19CA">
        <w:rPr>
          <w:rFonts w:ascii="Arial" w:hAnsi="Arial" w:cs="Arial"/>
          <w:sz w:val="22"/>
          <w:szCs w:val="22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90"/>
        <w:gridCol w:w="6660"/>
        <w:gridCol w:w="1080"/>
      </w:tblGrid>
      <w:tr w:rsidR="008D4C9A" w:rsidRPr="005B19CA" w:rsidTr="00FE490D">
        <w:tc>
          <w:tcPr>
            <w:tcW w:w="990" w:type="dxa"/>
          </w:tcPr>
          <w:p w:rsidR="008D4C9A" w:rsidRPr="005B19CA" w:rsidRDefault="008D4C9A" w:rsidP="00FE490D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6660" w:type="dxa"/>
          </w:tcPr>
          <w:p w:rsidR="008D4C9A" w:rsidRPr="005B19CA" w:rsidRDefault="008D4C9A" w:rsidP="00FE490D">
            <w:pPr>
              <w:spacing w:after="12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080" w:type="dxa"/>
          </w:tcPr>
          <w:p w:rsidR="008D4C9A" w:rsidRPr="005B19CA" w:rsidRDefault="008D4C9A" w:rsidP="00FE490D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8D4C9A" w:rsidRPr="005B19CA" w:rsidTr="00FE490D">
        <w:tc>
          <w:tcPr>
            <w:tcW w:w="990" w:type="dxa"/>
          </w:tcPr>
          <w:p w:rsidR="008D4C9A" w:rsidRPr="005B19CA" w:rsidRDefault="008D4C9A" w:rsidP="00FE490D">
            <w:pPr>
              <w:spacing w:after="120"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6660" w:type="dxa"/>
          </w:tcPr>
          <w:p w:rsidR="004F2FFB" w:rsidRPr="005B19CA" w:rsidRDefault="004F2FFB" w:rsidP="00FE490D">
            <w:pPr>
              <w:spacing w:after="120" w:line="276" w:lineRule="auto"/>
              <w:rPr>
                <w:rFonts w:ascii="Arial" w:hAnsi="Arial" w:cs="Arial"/>
                <w:i/>
                <w:iCs/>
                <w:color w:val="0563C1"/>
                <w:szCs w:val="22"/>
                <w:u w:val="single"/>
                <w:lang w:eastAsia="en-SG"/>
              </w:rPr>
            </w:pPr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>Prepare to discuss</w:t>
            </w:r>
            <w:r w:rsidR="008D4C9A"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the </w:t>
            </w:r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>WDM table</w:t>
            </w:r>
            <w:r w:rsidR="008D4C9A"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</w:t>
            </w:r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>in the next meeting</w:t>
            </w:r>
            <w:r w:rsidRPr="005B19CA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8D4C9A" w:rsidRPr="005B19CA" w:rsidRDefault="008D4C9A" w:rsidP="00731D0A">
            <w:pPr>
              <w:tabs>
                <w:tab w:val="left" w:pos="268"/>
                <w:tab w:val="center" w:pos="432"/>
              </w:tabs>
              <w:spacing w:after="120"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szCs w:val="22"/>
                <w:lang w:eastAsia="en-SG"/>
              </w:rPr>
              <w:t>ALL</w:t>
            </w:r>
          </w:p>
        </w:tc>
      </w:tr>
      <w:tr w:rsidR="008D4C9A" w:rsidRPr="005B19CA" w:rsidTr="00FE490D">
        <w:tc>
          <w:tcPr>
            <w:tcW w:w="990" w:type="dxa"/>
          </w:tcPr>
          <w:p w:rsidR="008D4C9A" w:rsidRPr="005B19CA" w:rsidRDefault="008D4C9A" w:rsidP="00FE490D">
            <w:pPr>
              <w:spacing w:after="120"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6660" w:type="dxa"/>
          </w:tcPr>
          <w:p w:rsidR="008D4C9A" w:rsidRPr="005B19CA" w:rsidRDefault="008D4C9A" w:rsidP="00FE490D">
            <w:pPr>
              <w:spacing w:after="120" w:line="276" w:lineRule="auto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Conduct the variant analysis using </w:t>
            </w:r>
            <w:proofErr w:type="spellStart"/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>Wordmark.it</w:t>
            </w:r>
            <w:proofErr w:type="spellEnd"/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as assigned in the meeting note 4 July 2019. </w:t>
            </w:r>
          </w:p>
        </w:tc>
        <w:tc>
          <w:tcPr>
            <w:tcW w:w="1080" w:type="dxa"/>
          </w:tcPr>
          <w:p w:rsidR="008D4C9A" w:rsidRPr="005B19CA" w:rsidRDefault="004F2FFB" w:rsidP="00731D0A">
            <w:pPr>
              <w:tabs>
                <w:tab w:val="left" w:pos="268"/>
                <w:tab w:val="center" w:pos="432"/>
              </w:tabs>
              <w:spacing w:after="120" w:line="276" w:lineRule="auto"/>
              <w:rPr>
                <w:rFonts w:ascii="Arial" w:hAnsi="Arial" w:cs="Arial"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szCs w:val="22"/>
                <w:lang w:eastAsia="en-SG"/>
              </w:rPr>
              <w:t>HH, BJ, MM, MD, MT</w:t>
            </w:r>
          </w:p>
        </w:tc>
      </w:tr>
    </w:tbl>
    <w:p w:rsidR="00ED0659" w:rsidRPr="005B19CA" w:rsidRDefault="007758D4" w:rsidP="000F5082">
      <w:pPr>
        <w:rPr>
          <w:rFonts w:ascii="Arial" w:hAnsi="Arial" w:cs="Arial"/>
          <w:sz w:val="22"/>
          <w:szCs w:val="22"/>
        </w:rPr>
      </w:pPr>
    </w:p>
    <w:sectPr w:rsidR="00ED0659" w:rsidRPr="005B19CA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83AE4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F5082"/>
    <w:rsid w:val="0014340C"/>
    <w:rsid w:val="00162151"/>
    <w:rsid w:val="0016487C"/>
    <w:rsid w:val="002048F3"/>
    <w:rsid w:val="00220D8E"/>
    <w:rsid w:val="002B74ED"/>
    <w:rsid w:val="00314B86"/>
    <w:rsid w:val="003B71F3"/>
    <w:rsid w:val="00460A7F"/>
    <w:rsid w:val="004F2FFB"/>
    <w:rsid w:val="004F74FD"/>
    <w:rsid w:val="00556854"/>
    <w:rsid w:val="00587E39"/>
    <w:rsid w:val="0059305E"/>
    <w:rsid w:val="005B0C0F"/>
    <w:rsid w:val="005B19CA"/>
    <w:rsid w:val="00605D88"/>
    <w:rsid w:val="00731D0A"/>
    <w:rsid w:val="007615B2"/>
    <w:rsid w:val="007758D4"/>
    <w:rsid w:val="008D4C9A"/>
    <w:rsid w:val="009319F6"/>
    <w:rsid w:val="00976403"/>
    <w:rsid w:val="009B434B"/>
    <w:rsid w:val="00A97AFF"/>
    <w:rsid w:val="00B16F1D"/>
    <w:rsid w:val="00E06C6E"/>
    <w:rsid w:val="00E558B7"/>
    <w:rsid w:val="00F304BF"/>
    <w:rsid w:val="00F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46FC6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code.org/reports/tr4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en/system/files/files/sac-060-en.pdf" TargetMode="External"/><Relationship Id="rId5" Type="http://schemas.openxmlformats.org/officeDocument/2006/relationships/hyperlink" Target="https://docs.google.com/document/d/1Asf9ecnyX4rkK3pyQMzDuH8YY5-eXw8quZ6guDiUmqY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6</cp:revision>
  <dcterms:created xsi:type="dcterms:W3CDTF">2019-07-18T16:07:00Z</dcterms:created>
  <dcterms:modified xsi:type="dcterms:W3CDTF">2019-07-29T05:09:00Z</dcterms:modified>
</cp:coreProperties>
</file>