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A73" w14:textId="77777777" w:rsidR="00FA35A0" w:rsidRPr="001F15D7" w:rsidRDefault="00FA35A0" w:rsidP="00FA35A0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1F15D7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2253B20A" w14:textId="77777777" w:rsidR="00FA35A0" w:rsidRPr="001F15D7" w:rsidRDefault="00FA35A0" w:rsidP="00FA35A0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1F15D7">
        <w:rPr>
          <w:rFonts w:ascii="Arial" w:hAnsi="Arial" w:cs="Arial"/>
          <w:b/>
          <w:bCs/>
          <w:szCs w:val="22"/>
          <w:lang w:eastAsia="en-SG"/>
        </w:rPr>
        <w:t xml:space="preserve">Notes from the meeting on </w:t>
      </w:r>
      <w:r>
        <w:rPr>
          <w:rFonts w:ascii="Arial" w:hAnsi="Arial" w:cs="Arial"/>
          <w:b/>
          <w:bCs/>
          <w:szCs w:val="22"/>
          <w:lang w:eastAsia="en-SG"/>
        </w:rPr>
        <w:t>20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</w:t>
      </w:r>
      <w:r>
        <w:rPr>
          <w:rFonts w:ascii="Arial" w:hAnsi="Arial" w:cs="Arial"/>
          <w:b/>
          <w:bCs/>
          <w:szCs w:val="22"/>
          <w:lang w:eastAsia="en-SG"/>
        </w:rPr>
        <w:t>December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7FE1EF50" w14:textId="77777777" w:rsidR="00FA35A0" w:rsidRPr="001F15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Meeting Attendees (in alphabetical order)</w:t>
      </w:r>
    </w:p>
    <w:p w14:paraId="19A6CD6C" w14:textId="77777777" w:rsidR="00FA35A0" w:rsidRPr="001F15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ab/>
        <w:t>GP members:</w:t>
      </w:r>
    </w:p>
    <w:p w14:paraId="2F23575E" w14:textId="77777777" w:rsidR="00FA35A0" w:rsidRPr="001F15D7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 xml:space="preserve">Bill </w:t>
      </w:r>
      <w:proofErr w:type="spellStart"/>
      <w:r w:rsidRPr="001F15D7">
        <w:rPr>
          <w:rFonts w:ascii="Arial" w:hAnsi="Arial" w:cs="Arial"/>
          <w:sz w:val="24"/>
          <w:szCs w:val="24"/>
          <w:shd w:val="clear" w:color="auto" w:fill="FFFFFF"/>
        </w:rPr>
        <w:t>Jouris</w:t>
      </w:r>
      <w:proofErr w:type="spellEnd"/>
    </w:p>
    <w:p w14:paraId="79DB6E49" w14:textId="77777777" w:rsidR="00FA35A0" w:rsidRPr="001F15D7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7222EF1C" w14:textId="77777777" w:rsidR="00FA35A0" w:rsidRPr="00DD25BC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413C0A78" w14:textId="77777777" w:rsidR="00FA35A0" w:rsidRPr="006F5240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Dufberg</w:t>
      </w:r>
      <w:proofErr w:type="spellEnd"/>
    </w:p>
    <w:p w14:paraId="376A7CD4" w14:textId="77777777" w:rsidR="00FA35A0" w:rsidRPr="006F5240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</w:t>
      </w:r>
      <w:proofErr w:type="spellEnd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Mimun</w:t>
      </w:r>
      <w:proofErr w:type="spellEnd"/>
    </w:p>
    <w:p w14:paraId="0B43A5B0" w14:textId="77777777" w:rsidR="00FA35A0" w:rsidRDefault="00FA35A0" w:rsidP="00FA35A0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</w:p>
    <w:p w14:paraId="3D380E28" w14:textId="77777777" w:rsidR="00FA35A0" w:rsidRPr="001F15D7" w:rsidRDefault="00FA35A0" w:rsidP="00FA35A0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Staff:</w:t>
      </w:r>
    </w:p>
    <w:p w14:paraId="2A83D75E" w14:textId="77777777" w:rsidR="00FA35A0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F15D7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1EEA0BE4" w14:textId="77777777" w:rsidR="00FA35A0" w:rsidRDefault="00FA35A0"/>
    <w:p w14:paraId="13D6DC08" w14:textId="77777777" w:rsidR="00FA35A0" w:rsidRPr="00DD25BC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u w:val="single"/>
          <w:lang w:eastAsia="en-SG"/>
        </w:rPr>
        <w:t>Meeting Notes</w:t>
      </w:r>
      <w:r w:rsidRPr="00DD25BC">
        <w:rPr>
          <w:rFonts w:ascii="Arial" w:hAnsi="Arial" w:cs="Arial"/>
          <w:lang w:eastAsia="en-SG"/>
        </w:rPr>
        <w:t xml:space="preserve"> </w:t>
      </w:r>
    </w:p>
    <w:p w14:paraId="34C3ED35" w14:textId="723DF74C" w:rsidR="00FA35A0" w:rsidRPr="00117A50" w:rsidRDefault="00FA35A0" w:rsidP="00FA35A0">
      <w:p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117A50">
        <w:rPr>
          <w:rFonts w:ascii="Arial" w:hAnsi="Arial" w:cs="Arial"/>
          <w:lang w:eastAsia="en-SG"/>
        </w:rPr>
        <w:t xml:space="preserve">The GP </w:t>
      </w:r>
      <w:r w:rsidR="00ED0514">
        <w:rPr>
          <w:rFonts w:ascii="Arial" w:hAnsi="Arial" w:cs="Arial"/>
          <w:lang w:eastAsia="en-SG"/>
        </w:rPr>
        <w:t xml:space="preserve">discussed the following items: </w:t>
      </w:r>
    </w:p>
    <w:p w14:paraId="3C1167D9" w14:textId="77777777" w:rsidR="00ED0514" w:rsidRDefault="00ED0514" w:rsidP="00117A50">
      <w:pPr>
        <w:pStyle w:val="ListParagraph"/>
        <w:numPr>
          <w:ilvl w:val="0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Reviewing the status of eight action items from the October face to face meeting. </w:t>
      </w:r>
    </w:p>
    <w:p w14:paraId="5B6FDCF9" w14:textId="0B034FFF" w:rsidR="00EC189A" w:rsidRPr="00EE4BD7" w:rsidRDefault="00117A50" w:rsidP="00EE4BD7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EE4BD7">
        <w:rPr>
          <w:rFonts w:ascii="Arial" w:hAnsi="Arial" w:cs="Arial"/>
          <w:sz w:val="24"/>
          <w:szCs w:val="24"/>
          <w:lang w:eastAsia="en-SG"/>
        </w:rPr>
        <w:t>Incorporate responses from action items from Brussels document to main</w:t>
      </w:r>
      <w:r w:rsidR="00EE4BD7" w:rsidRPr="00EE4BD7"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EE4BD7">
        <w:rPr>
          <w:rFonts w:ascii="Arial" w:hAnsi="Arial" w:cs="Arial"/>
          <w:sz w:val="24"/>
          <w:szCs w:val="24"/>
          <w:lang w:eastAsia="en-SG"/>
        </w:rPr>
        <w:t>proposal document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 xml:space="preserve">: </w:t>
      </w:r>
      <w:r w:rsidRPr="00EE4BD7">
        <w:rPr>
          <w:rFonts w:ascii="Arial" w:hAnsi="Arial" w:cs="Arial"/>
          <w:sz w:val="24"/>
          <w:szCs w:val="24"/>
          <w:lang w:eastAsia="en-SG"/>
        </w:rPr>
        <w:t xml:space="preserve">The analysis was completed. Next step is to draft the text and incorporate it into the proposal. The action item owner is Dennis. </w:t>
      </w:r>
    </w:p>
    <w:p w14:paraId="6D7D2AAD" w14:textId="55726C5E" w:rsidR="001D39EC" w:rsidRDefault="00135D88" w:rsidP="00EE4BD7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>Analyse the</w:t>
      </w:r>
      <w:r w:rsidR="00117A50" w:rsidRPr="00EE4BD7">
        <w:rPr>
          <w:rFonts w:ascii="Arial" w:hAnsi="Arial" w:cs="Arial"/>
          <w:sz w:val="24"/>
          <w:szCs w:val="24"/>
          <w:lang w:eastAsia="en-SG"/>
        </w:rPr>
        <w:t xml:space="preserve"> HTML underlining (e.g. diacritics below): The 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>GP discussed that the characters with below modifier</w:t>
      </w:r>
      <w:r>
        <w:rPr>
          <w:rFonts w:ascii="Arial" w:hAnsi="Arial" w:cs="Arial"/>
          <w:sz w:val="24"/>
          <w:szCs w:val="24"/>
          <w:lang w:eastAsia="en-SG"/>
        </w:rPr>
        <w:t xml:space="preserve"> should be shortlisted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 xml:space="preserve">, then </w:t>
      </w:r>
      <w:r>
        <w:rPr>
          <w:rFonts w:ascii="Arial" w:hAnsi="Arial" w:cs="Arial"/>
          <w:sz w:val="24"/>
          <w:szCs w:val="24"/>
          <w:lang w:eastAsia="en-SG"/>
        </w:rPr>
        <w:t xml:space="preserve">the GP will 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 xml:space="preserve">run the analysis against </w:t>
      </w:r>
      <w:r w:rsidR="002D0935">
        <w:rPr>
          <w:rFonts w:ascii="Arial" w:hAnsi="Arial" w:cs="Arial"/>
          <w:sz w:val="24"/>
          <w:szCs w:val="24"/>
          <w:lang w:eastAsia="en-SG"/>
        </w:rPr>
        <w:t>various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 xml:space="preserve"> application</w:t>
      </w:r>
      <w:r w:rsidR="002D0935">
        <w:rPr>
          <w:rFonts w:ascii="Arial" w:hAnsi="Arial" w:cs="Arial"/>
          <w:sz w:val="24"/>
          <w:szCs w:val="24"/>
          <w:lang w:eastAsia="en-SG"/>
        </w:rPr>
        <w:t>s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 xml:space="preserve"> of underlining HTML. This action item </w:t>
      </w:r>
      <w:r w:rsidR="00EE4BD7">
        <w:rPr>
          <w:rFonts w:ascii="Arial" w:hAnsi="Arial" w:cs="Arial"/>
          <w:sz w:val="24"/>
          <w:szCs w:val="24"/>
          <w:lang w:eastAsia="en-SG"/>
        </w:rPr>
        <w:t>has no owner assigned.</w:t>
      </w:r>
      <w:r w:rsidR="001D39EC" w:rsidRPr="00EE4BD7">
        <w:rPr>
          <w:rFonts w:ascii="Arial" w:hAnsi="Arial" w:cs="Arial"/>
          <w:sz w:val="24"/>
          <w:szCs w:val="24"/>
          <w:lang w:eastAsia="en-SG"/>
        </w:rPr>
        <w:t xml:space="preserve"> </w:t>
      </w:r>
    </w:p>
    <w:p w14:paraId="75DB101A" w14:textId="08C2AD5E" w:rsidR="00FA35A0" w:rsidRDefault="00135D88" w:rsidP="00EE4BD7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>Analyse the</w:t>
      </w:r>
      <w:r w:rsidR="00EE4BD7" w:rsidRPr="001D39EC">
        <w:rPr>
          <w:rFonts w:ascii="Arial" w:hAnsi="Arial" w:cs="Arial"/>
          <w:sz w:val="24"/>
          <w:szCs w:val="24"/>
          <w:lang w:eastAsia="en-SG"/>
        </w:rPr>
        <w:t xml:space="preserve"> IDNA2003 compatibility issues per MSR-4</w:t>
      </w:r>
      <w:r w:rsidR="00EE4BD7">
        <w:rPr>
          <w:rFonts w:ascii="Arial" w:hAnsi="Arial" w:cs="Arial"/>
          <w:sz w:val="24"/>
          <w:szCs w:val="24"/>
          <w:lang w:eastAsia="en-SG"/>
        </w:rPr>
        <w:t xml:space="preserve">: The compatibility analysis of the </w:t>
      </w:r>
      <w:r w:rsidR="00633821">
        <w:rPr>
          <w:rFonts w:ascii="Arial" w:hAnsi="Arial" w:cs="Arial"/>
          <w:sz w:val="24"/>
          <w:szCs w:val="24"/>
          <w:lang w:eastAsia="en-SG"/>
        </w:rPr>
        <w:t>‘</w:t>
      </w:r>
      <w:r w:rsidR="00EE4BD7">
        <w:rPr>
          <w:rFonts w:ascii="Arial" w:hAnsi="Arial" w:cs="Arial"/>
          <w:sz w:val="24"/>
          <w:szCs w:val="24"/>
          <w:lang w:eastAsia="en-SG"/>
        </w:rPr>
        <w:t>German Sharp S</w:t>
      </w:r>
      <w:r w:rsidR="00633821">
        <w:rPr>
          <w:rFonts w:ascii="Arial" w:hAnsi="Arial" w:cs="Arial"/>
          <w:sz w:val="24"/>
          <w:szCs w:val="24"/>
          <w:lang w:eastAsia="en-SG"/>
        </w:rPr>
        <w:t>’</w:t>
      </w:r>
      <w:r w:rsidR="00EE4BD7">
        <w:rPr>
          <w:rFonts w:ascii="Arial" w:hAnsi="Arial" w:cs="Arial"/>
          <w:sz w:val="24"/>
          <w:szCs w:val="24"/>
          <w:lang w:eastAsia="en-SG"/>
        </w:rPr>
        <w:t xml:space="preserve"> and the </w:t>
      </w:r>
      <w:r w:rsidR="00633821">
        <w:rPr>
          <w:rFonts w:ascii="Arial" w:hAnsi="Arial" w:cs="Arial"/>
          <w:sz w:val="24"/>
          <w:szCs w:val="24"/>
          <w:lang w:eastAsia="en-SG"/>
        </w:rPr>
        <w:t>‘</w:t>
      </w:r>
      <w:r w:rsidR="00EE4BD7">
        <w:rPr>
          <w:rFonts w:ascii="Arial" w:hAnsi="Arial" w:cs="Arial"/>
          <w:sz w:val="24"/>
          <w:szCs w:val="24"/>
          <w:lang w:eastAsia="en-SG"/>
        </w:rPr>
        <w:t xml:space="preserve">Latin </w:t>
      </w:r>
      <w:proofErr w:type="spellStart"/>
      <w:r w:rsidR="00EE4BD7">
        <w:rPr>
          <w:rFonts w:ascii="Arial" w:hAnsi="Arial" w:cs="Arial"/>
          <w:sz w:val="24"/>
          <w:szCs w:val="24"/>
          <w:lang w:eastAsia="en-SG"/>
        </w:rPr>
        <w:t>Dotless</w:t>
      </w:r>
      <w:proofErr w:type="spellEnd"/>
      <w:r w:rsidR="00EE4BD7">
        <w:rPr>
          <w:rFonts w:ascii="Arial" w:hAnsi="Arial" w:cs="Arial"/>
          <w:sz w:val="24"/>
          <w:szCs w:val="24"/>
          <w:lang w:eastAsia="en-SG"/>
        </w:rPr>
        <w:t xml:space="preserve"> I</w:t>
      </w:r>
      <w:r w:rsidR="00633821">
        <w:rPr>
          <w:rFonts w:ascii="Arial" w:hAnsi="Arial" w:cs="Arial"/>
          <w:sz w:val="24"/>
          <w:szCs w:val="24"/>
          <w:lang w:eastAsia="en-SG"/>
        </w:rPr>
        <w:t>’</w:t>
      </w:r>
      <w:r w:rsidR="00EE4BD7">
        <w:rPr>
          <w:rFonts w:ascii="Arial" w:hAnsi="Arial" w:cs="Arial"/>
          <w:sz w:val="24"/>
          <w:szCs w:val="24"/>
          <w:lang w:eastAsia="en-SG"/>
        </w:rPr>
        <w:t xml:space="preserve"> should be included in the proposal. </w:t>
      </w:r>
      <w:r w:rsidR="00EE4BD7" w:rsidRPr="00EE4BD7">
        <w:rPr>
          <w:rFonts w:ascii="Arial" w:hAnsi="Arial" w:cs="Arial"/>
          <w:sz w:val="24"/>
          <w:szCs w:val="24"/>
          <w:lang w:eastAsia="en-SG"/>
        </w:rPr>
        <w:t xml:space="preserve">This action item </w:t>
      </w:r>
      <w:r w:rsidR="00EE4BD7">
        <w:rPr>
          <w:rFonts w:ascii="Arial" w:hAnsi="Arial" w:cs="Arial"/>
          <w:sz w:val="24"/>
          <w:szCs w:val="24"/>
          <w:lang w:eastAsia="en-SG"/>
        </w:rPr>
        <w:t>has no owner assigned.</w:t>
      </w:r>
    </w:p>
    <w:p w14:paraId="3475988E" w14:textId="53FB258C" w:rsidR="00EE4BD7" w:rsidRDefault="00EE4BD7" w:rsidP="00EE4BD7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Finish review of Brussels homework: </w:t>
      </w:r>
      <w:r w:rsidR="00135D88">
        <w:rPr>
          <w:rFonts w:ascii="Arial" w:hAnsi="Arial" w:cs="Arial"/>
          <w:sz w:val="24"/>
          <w:szCs w:val="24"/>
          <w:lang w:eastAsia="en-SG"/>
        </w:rPr>
        <w:t>The first round of review was completed.</w:t>
      </w:r>
    </w:p>
    <w:p w14:paraId="60B75155" w14:textId="6B4E75B9" w:rsidR="00EE4BD7" w:rsidRDefault="00EE4BD7" w:rsidP="00EE4BD7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Expand “base character” analysis: The list of expanded based characters will be provided by </w:t>
      </w:r>
      <w:proofErr w:type="spellStart"/>
      <w:r>
        <w:rPr>
          <w:rFonts w:ascii="Arial" w:hAnsi="Arial" w:cs="Arial"/>
          <w:sz w:val="24"/>
          <w:szCs w:val="24"/>
          <w:lang w:eastAsia="en-SG"/>
        </w:rPr>
        <w:t>Meikal</w:t>
      </w:r>
      <w:proofErr w:type="spellEnd"/>
      <w:r>
        <w:rPr>
          <w:rFonts w:ascii="Arial" w:hAnsi="Arial" w:cs="Arial"/>
          <w:sz w:val="24"/>
          <w:szCs w:val="24"/>
          <w:lang w:eastAsia="en-SG"/>
        </w:rPr>
        <w:t xml:space="preserve">. </w:t>
      </w:r>
    </w:p>
    <w:p w14:paraId="64A79D1B" w14:textId="178290DA" w:rsidR="00EE4BD7" w:rsidRDefault="00117A50" w:rsidP="00EE4BD7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EE4BD7">
        <w:rPr>
          <w:rFonts w:ascii="Arial" w:hAnsi="Arial" w:cs="Arial"/>
          <w:sz w:val="24"/>
          <w:szCs w:val="24"/>
          <w:lang w:eastAsia="en-SG"/>
        </w:rPr>
        <w:t xml:space="preserve">Compile the list of </w:t>
      </w:r>
      <w:r w:rsidR="00EE4BD7" w:rsidRPr="00EE4BD7">
        <w:rPr>
          <w:rFonts w:ascii="Arial" w:hAnsi="Arial" w:cs="Arial"/>
          <w:sz w:val="24"/>
          <w:szCs w:val="24"/>
          <w:lang w:eastAsia="en-SG"/>
        </w:rPr>
        <w:t>“</w:t>
      </w:r>
      <w:r w:rsidRPr="00EE4BD7">
        <w:rPr>
          <w:rFonts w:ascii="Arial" w:hAnsi="Arial" w:cs="Arial"/>
          <w:sz w:val="24"/>
          <w:szCs w:val="24"/>
          <w:lang w:eastAsia="en-SG"/>
        </w:rPr>
        <w:t>circ</w:t>
      </w:r>
      <w:r w:rsidR="00EE4BD7" w:rsidRPr="00EE4BD7">
        <w:rPr>
          <w:rFonts w:ascii="Arial" w:hAnsi="Arial" w:cs="Arial"/>
          <w:sz w:val="24"/>
          <w:szCs w:val="24"/>
          <w:lang w:eastAsia="en-SG"/>
        </w:rPr>
        <w:t>le” glyphs within MSR-4</w:t>
      </w:r>
      <w:r w:rsidR="002D0935">
        <w:rPr>
          <w:rFonts w:ascii="Arial" w:hAnsi="Arial" w:cs="Arial"/>
          <w:sz w:val="24"/>
          <w:szCs w:val="24"/>
          <w:lang w:eastAsia="en-SG"/>
        </w:rPr>
        <w:t xml:space="preserve">, and </w:t>
      </w:r>
    </w:p>
    <w:p w14:paraId="2ADB0F64" w14:textId="264F39DD" w:rsidR="00EE4BD7" w:rsidRPr="002D0935" w:rsidRDefault="00EE4BD7" w:rsidP="002D0935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EE4BD7">
        <w:rPr>
          <w:rFonts w:ascii="Arial" w:hAnsi="Arial" w:cs="Arial"/>
          <w:sz w:val="24"/>
          <w:szCs w:val="24"/>
          <w:lang w:eastAsia="en-SG"/>
        </w:rPr>
        <w:t>Compile the list of “</w:t>
      </w:r>
      <w:r>
        <w:rPr>
          <w:rFonts w:ascii="Arial" w:hAnsi="Arial" w:cs="Arial"/>
          <w:sz w:val="24"/>
          <w:szCs w:val="24"/>
          <w:lang w:eastAsia="en-SG"/>
        </w:rPr>
        <w:t>vertical bar</w:t>
      </w:r>
      <w:r w:rsidRPr="00EE4BD7">
        <w:rPr>
          <w:rFonts w:ascii="Arial" w:hAnsi="Arial" w:cs="Arial"/>
          <w:sz w:val="24"/>
          <w:szCs w:val="24"/>
          <w:lang w:eastAsia="en-SG"/>
        </w:rPr>
        <w:t>” glyphs within MSR-4</w:t>
      </w:r>
      <w:r w:rsidR="002D0935">
        <w:rPr>
          <w:rFonts w:ascii="Arial" w:hAnsi="Arial" w:cs="Arial"/>
          <w:sz w:val="24"/>
          <w:szCs w:val="24"/>
          <w:lang w:eastAsia="en-SG"/>
        </w:rPr>
        <w:t xml:space="preserve">: </w:t>
      </w:r>
      <w:r w:rsidRPr="002D0935">
        <w:rPr>
          <w:rFonts w:ascii="Arial" w:hAnsi="Arial" w:cs="Arial"/>
          <w:sz w:val="24"/>
          <w:szCs w:val="24"/>
          <w:lang w:eastAsia="en-SG"/>
        </w:rPr>
        <w:t>Bill had prepared the list of glyphs from (6) and (7) for the GP to review in this meeting.</w:t>
      </w:r>
      <w:r w:rsidRPr="002D0935">
        <w:rPr>
          <w:rFonts w:ascii="Arial" w:hAnsi="Arial" w:cs="Arial"/>
          <w:lang w:eastAsia="en-SG"/>
        </w:rPr>
        <w:t xml:space="preserve"> </w:t>
      </w:r>
    </w:p>
    <w:p w14:paraId="233DFD0F" w14:textId="54BCA850" w:rsidR="000F7C6D" w:rsidRPr="002D0935" w:rsidRDefault="00EE4BD7" w:rsidP="002D0935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1260" w:hanging="450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>Produce the test labels for LGR proposal</w:t>
      </w:r>
      <w:r>
        <w:rPr>
          <w:rFonts w:ascii="Arial" w:hAnsi="Arial" w:cs="Arial"/>
          <w:sz w:val="24"/>
          <w:szCs w:val="24"/>
          <w:lang w:eastAsia="en-SG"/>
        </w:rPr>
        <w:t xml:space="preserve">: </w:t>
      </w:r>
      <w:r w:rsidR="00055A5E">
        <w:rPr>
          <w:rFonts w:ascii="Arial" w:hAnsi="Arial" w:cs="Arial"/>
          <w:sz w:val="24"/>
          <w:szCs w:val="24"/>
          <w:lang w:eastAsia="en-SG"/>
        </w:rPr>
        <w:t xml:space="preserve">The action item owner </w:t>
      </w:r>
      <w:r w:rsidR="002D0935">
        <w:rPr>
          <w:rFonts w:ascii="Arial" w:hAnsi="Arial" w:cs="Arial"/>
          <w:sz w:val="24"/>
          <w:szCs w:val="24"/>
          <w:lang w:eastAsia="en-SG"/>
        </w:rPr>
        <w:t>was assigned to</w:t>
      </w:r>
      <w:r w:rsidR="00055A5E">
        <w:rPr>
          <w:rFonts w:ascii="Arial" w:hAnsi="Arial" w:cs="Arial"/>
          <w:sz w:val="24"/>
          <w:szCs w:val="24"/>
          <w:lang w:eastAsia="en-SG"/>
        </w:rPr>
        <w:t xml:space="preserve"> Mats.</w:t>
      </w:r>
    </w:p>
    <w:p w14:paraId="479B8980" w14:textId="6737390D" w:rsidR="004F64B0" w:rsidRDefault="000F7C6D" w:rsidP="001D2A9C">
      <w:pPr>
        <w:pStyle w:val="ListParagraph"/>
        <w:numPr>
          <w:ilvl w:val="0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5A28FD">
        <w:rPr>
          <w:rFonts w:ascii="Arial" w:hAnsi="Arial" w:cs="Arial"/>
          <w:sz w:val="24"/>
          <w:szCs w:val="24"/>
          <w:lang w:eastAsia="en-SG"/>
        </w:rPr>
        <w:lastRenderedPageBreak/>
        <w:t>The GP review</w:t>
      </w:r>
      <w:r w:rsidR="003602CD" w:rsidRPr="005A28FD">
        <w:rPr>
          <w:rFonts w:ascii="Arial" w:hAnsi="Arial" w:cs="Arial"/>
          <w:sz w:val="24"/>
          <w:szCs w:val="24"/>
          <w:lang w:eastAsia="en-SG"/>
        </w:rPr>
        <w:t>ed</w:t>
      </w:r>
      <w:r w:rsidRPr="005A28FD">
        <w:rPr>
          <w:rFonts w:ascii="Arial" w:hAnsi="Arial" w:cs="Arial"/>
          <w:sz w:val="24"/>
          <w:szCs w:val="24"/>
          <w:lang w:eastAsia="en-SG"/>
        </w:rPr>
        <w:t xml:space="preserve"> the list of “circle” and “vertical bar” glyph</w:t>
      </w:r>
      <w:r w:rsidR="00633821" w:rsidRPr="005A28FD">
        <w:rPr>
          <w:rFonts w:ascii="Arial" w:hAnsi="Arial" w:cs="Arial"/>
          <w:sz w:val="24"/>
          <w:szCs w:val="24"/>
          <w:lang w:eastAsia="en-SG"/>
        </w:rPr>
        <w:t xml:space="preserve">s and brain-stormed the </w:t>
      </w:r>
      <w:r w:rsidR="002D0935" w:rsidRPr="005A28FD">
        <w:rPr>
          <w:rFonts w:ascii="Arial" w:hAnsi="Arial" w:cs="Arial"/>
          <w:sz w:val="24"/>
          <w:szCs w:val="24"/>
          <w:lang w:eastAsia="en-SG"/>
        </w:rPr>
        <w:t>analy</w:t>
      </w:r>
      <w:r w:rsidR="002D0935">
        <w:rPr>
          <w:rFonts w:ascii="Arial" w:hAnsi="Arial" w:cs="Arial"/>
          <w:sz w:val="24"/>
          <w:szCs w:val="24"/>
          <w:lang w:eastAsia="en-SG"/>
        </w:rPr>
        <w:t>s</w:t>
      </w:r>
      <w:r w:rsidR="002D0935" w:rsidRPr="005A28FD">
        <w:rPr>
          <w:rFonts w:ascii="Arial" w:hAnsi="Arial" w:cs="Arial"/>
          <w:sz w:val="24"/>
          <w:szCs w:val="24"/>
          <w:lang w:eastAsia="en-SG"/>
        </w:rPr>
        <w:t>i</w:t>
      </w:r>
      <w:r w:rsidR="002D0935">
        <w:rPr>
          <w:rFonts w:ascii="Arial" w:hAnsi="Arial" w:cs="Arial"/>
          <w:sz w:val="24"/>
          <w:szCs w:val="24"/>
          <w:lang w:eastAsia="en-SG"/>
        </w:rPr>
        <w:t>ng rules</w:t>
      </w:r>
      <w:r w:rsidR="00633821" w:rsidRPr="005A28FD">
        <w:rPr>
          <w:rFonts w:ascii="Arial" w:hAnsi="Arial" w:cs="Arial"/>
          <w:sz w:val="24"/>
          <w:szCs w:val="24"/>
          <w:lang w:eastAsia="en-SG"/>
        </w:rPr>
        <w:t xml:space="preserve">. </w:t>
      </w:r>
      <w:r w:rsidR="004F64B0">
        <w:rPr>
          <w:rFonts w:ascii="Arial" w:hAnsi="Arial" w:cs="Arial"/>
          <w:sz w:val="24"/>
          <w:szCs w:val="24"/>
          <w:lang w:eastAsia="en-SG"/>
        </w:rPr>
        <w:t>Some of the discussed rules:</w:t>
      </w:r>
    </w:p>
    <w:p w14:paraId="14C9DA09" w14:textId="77777777" w:rsidR="004F64B0" w:rsidRPr="005A28FD" w:rsidRDefault="004F64B0" w:rsidP="004F64B0">
      <w:pPr>
        <w:pStyle w:val="ListParagraph"/>
        <w:numPr>
          <w:ilvl w:val="1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5A28FD">
        <w:rPr>
          <w:rFonts w:ascii="Arial" w:hAnsi="Arial" w:cs="Arial"/>
          <w:sz w:val="24"/>
          <w:szCs w:val="24"/>
          <w:lang w:eastAsia="en-SG"/>
        </w:rPr>
        <w:t>The analysis of code points which are not the repertoire of other LGRs is out of scope</w:t>
      </w:r>
      <w:r>
        <w:rPr>
          <w:rFonts w:ascii="Arial" w:hAnsi="Arial" w:cs="Arial"/>
          <w:sz w:val="24"/>
          <w:szCs w:val="24"/>
          <w:lang w:eastAsia="en-SG"/>
        </w:rPr>
        <w:t>.</w:t>
      </w:r>
    </w:p>
    <w:p w14:paraId="1EBE4C9C" w14:textId="7D2EE9F3" w:rsidR="004F64B0" w:rsidRPr="005A28FD" w:rsidRDefault="004F64B0" w:rsidP="004F64B0">
      <w:pPr>
        <w:pStyle w:val="ListParagraph"/>
        <w:numPr>
          <w:ilvl w:val="1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5A28FD">
        <w:rPr>
          <w:rFonts w:ascii="Arial" w:hAnsi="Arial" w:cs="Arial"/>
          <w:sz w:val="24"/>
          <w:szCs w:val="24"/>
          <w:lang w:eastAsia="en-SG"/>
        </w:rPr>
        <w:t xml:space="preserve">The code points which could create variant labels between two scripts are in scope of cross-script variant analysis. </w:t>
      </w:r>
      <w:r>
        <w:rPr>
          <w:rFonts w:ascii="Arial" w:hAnsi="Arial" w:cs="Arial"/>
          <w:sz w:val="24"/>
          <w:szCs w:val="24"/>
          <w:lang w:eastAsia="en-SG"/>
        </w:rPr>
        <w:t xml:space="preserve">This means two script pairs must have </w:t>
      </w:r>
      <w:r w:rsidR="00920076">
        <w:rPr>
          <w:rFonts w:ascii="Arial" w:hAnsi="Arial" w:cs="Arial"/>
          <w:sz w:val="24"/>
          <w:szCs w:val="24"/>
          <w:lang w:eastAsia="en-SG"/>
        </w:rPr>
        <w:t xml:space="preserve">a </w:t>
      </w:r>
      <w:r>
        <w:rPr>
          <w:rFonts w:ascii="Arial" w:hAnsi="Arial" w:cs="Arial"/>
          <w:sz w:val="24"/>
          <w:szCs w:val="24"/>
          <w:lang w:eastAsia="en-SG"/>
        </w:rPr>
        <w:t xml:space="preserve">sufficient number of variant code points to form variant labels. </w:t>
      </w:r>
    </w:p>
    <w:p w14:paraId="1B472E59" w14:textId="20CDA084" w:rsidR="004F64B0" w:rsidRPr="004F64B0" w:rsidRDefault="004F64B0" w:rsidP="004F64B0">
      <w:pPr>
        <w:pStyle w:val="ListParagraph"/>
        <w:numPr>
          <w:ilvl w:val="1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5A28FD">
        <w:rPr>
          <w:rFonts w:ascii="Arial" w:hAnsi="Arial" w:cs="Arial"/>
          <w:sz w:val="24"/>
          <w:szCs w:val="24"/>
          <w:lang w:eastAsia="en-SG"/>
        </w:rPr>
        <w:t xml:space="preserve">The analysis of </w:t>
      </w:r>
      <w:r>
        <w:rPr>
          <w:rFonts w:ascii="Arial" w:hAnsi="Arial" w:cs="Arial"/>
          <w:sz w:val="24"/>
          <w:szCs w:val="24"/>
          <w:lang w:eastAsia="en-SG"/>
        </w:rPr>
        <w:t>combining</w:t>
      </w:r>
      <w:r w:rsidRPr="005A28FD">
        <w:rPr>
          <w:rFonts w:ascii="Arial" w:hAnsi="Arial" w:cs="Arial"/>
          <w:sz w:val="24"/>
          <w:szCs w:val="24"/>
          <w:lang w:eastAsia="en-SG"/>
        </w:rPr>
        <w:t xml:space="preserve"> mark</w:t>
      </w:r>
      <w:r>
        <w:rPr>
          <w:rFonts w:ascii="Arial" w:hAnsi="Arial" w:cs="Arial"/>
          <w:sz w:val="24"/>
          <w:szCs w:val="24"/>
          <w:lang w:eastAsia="en-SG"/>
        </w:rPr>
        <w:t>s</w:t>
      </w:r>
      <w:r w:rsidRPr="005A28FD">
        <w:rPr>
          <w:rFonts w:ascii="Arial" w:hAnsi="Arial" w:cs="Arial"/>
          <w:sz w:val="24"/>
          <w:szCs w:val="24"/>
          <w:lang w:eastAsia="en-SG"/>
        </w:rPr>
        <w:t xml:space="preserve"> </w:t>
      </w:r>
      <w:r>
        <w:rPr>
          <w:rFonts w:ascii="Arial" w:hAnsi="Arial" w:cs="Arial"/>
          <w:sz w:val="24"/>
          <w:szCs w:val="24"/>
          <w:lang w:eastAsia="en-SG"/>
        </w:rPr>
        <w:t xml:space="preserve">or modifiers </w:t>
      </w:r>
      <w:r w:rsidRPr="005A28FD">
        <w:rPr>
          <w:rFonts w:ascii="Arial" w:hAnsi="Arial" w:cs="Arial"/>
          <w:sz w:val="24"/>
          <w:szCs w:val="24"/>
          <w:lang w:eastAsia="en-SG"/>
        </w:rPr>
        <w:t xml:space="preserve">should be in the form of sequences code points as the glyph could be changed after combination for some scripts </w:t>
      </w:r>
    </w:p>
    <w:p w14:paraId="3923BB6C" w14:textId="3D92294F" w:rsidR="005A28FD" w:rsidRDefault="005A28FD" w:rsidP="003602CD">
      <w:pPr>
        <w:pStyle w:val="ListParagraph"/>
        <w:numPr>
          <w:ilvl w:val="0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The GP </w:t>
      </w:r>
      <w:r w:rsidR="001D2A9C">
        <w:rPr>
          <w:rFonts w:ascii="Arial" w:hAnsi="Arial" w:cs="Arial"/>
          <w:sz w:val="24"/>
          <w:szCs w:val="24"/>
          <w:lang w:eastAsia="en-SG"/>
        </w:rPr>
        <w:t>planned</w:t>
      </w:r>
      <w:r>
        <w:rPr>
          <w:rFonts w:ascii="Arial" w:hAnsi="Arial" w:cs="Arial"/>
          <w:sz w:val="24"/>
          <w:szCs w:val="24"/>
          <w:lang w:eastAsia="en-SG"/>
        </w:rPr>
        <w:t xml:space="preserve"> to submit the next version of the LGR proposal</w:t>
      </w:r>
      <w:r w:rsidR="002D0935">
        <w:rPr>
          <w:rFonts w:ascii="Arial" w:hAnsi="Arial" w:cs="Arial"/>
          <w:sz w:val="24"/>
          <w:szCs w:val="24"/>
          <w:lang w:eastAsia="en-SG"/>
        </w:rPr>
        <w:t xml:space="preserve"> and the responses to IP questions</w:t>
      </w:r>
      <w:r>
        <w:rPr>
          <w:rFonts w:ascii="Arial" w:hAnsi="Arial" w:cs="Arial"/>
          <w:sz w:val="24"/>
          <w:szCs w:val="24"/>
          <w:lang w:eastAsia="en-SG"/>
        </w:rPr>
        <w:t xml:space="preserve"> by 18 January 2019 to provide enough time for the IP to give feedback before the next face to face meeting. </w:t>
      </w:r>
    </w:p>
    <w:p w14:paraId="67E56374" w14:textId="7F54367A" w:rsidR="00117A50" w:rsidRPr="00135D88" w:rsidRDefault="003602CD" w:rsidP="00117A50">
      <w:pPr>
        <w:pStyle w:val="ListParagraph"/>
        <w:numPr>
          <w:ilvl w:val="0"/>
          <w:numId w:val="2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Cs w:val="22"/>
          <w:u w:val="single"/>
          <w:lang w:eastAsia="en-SG"/>
        </w:rPr>
      </w:pPr>
      <w:r w:rsidRPr="00135D88">
        <w:rPr>
          <w:rFonts w:ascii="Arial" w:hAnsi="Arial" w:cs="Arial"/>
          <w:sz w:val="24"/>
          <w:szCs w:val="24"/>
          <w:lang w:eastAsia="en-SG"/>
        </w:rPr>
        <w:t>The next meeting is 10 January 2019</w:t>
      </w:r>
      <w:r w:rsidR="002D0935" w:rsidRPr="00135D88">
        <w:rPr>
          <w:rFonts w:ascii="Arial" w:hAnsi="Arial" w:cs="Arial"/>
          <w:sz w:val="24"/>
          <w:szCs w:val="24"/>
          <w:lang w:eastAsia="en-SG"/>
        </w:rPr>
        <w:t xml:space="preserve">, </w:t>
      </w:r>
      <w:r w:rsidRPr="00135D88">
        <w:rPr>
          <w:rFonts w:ascii="Arial" w:hAnsi="Arial" w:cs="Arial"/>
          <w:sz w:val="24"/>
          <w:szCs w:val="24"/>
          <w:lang w:eastAsia="en-SG"/>
        </w:rPr>
        <w:t>1600 UTC</w:t>
      </w:r>
      <w:r w:rsidR="005A28FD" w:rsidRPr="00135D88">
        <w:rPr>
          <w:rFonts w:ascii="Arial" w:hAnsi="Arial" w:cs="Arial"/>
          <w:sz w:val="24"/>
          <w:szCs w:val="24"/>
          <w:lang w:eastAsia="en-SG"/>
        </w:rPr>
        <w:t xml:space="preserve">. </w:t>
      </w:r>
    </w:p>
    <w:p w14:paraId="66253620" w14:textId="77777777" w:rsidR="00117A50" w:rsidRPr="00E235F4" w:rsidRDefault="00117A50" w:rsidP="00117A50">
      <w:pPr>
        <w:spacing w:line="276" w:lineRule="auto"/>
        <w:rPr>
          <w:rFonts w:ascii="Arial" w:hAnsi="Arial" w:cs="Arial"/>
          <w:lang w:eastAsia="en-SG"/>
        </w:rPr>
      </w:pPr>
      <w:bookmarkStart w:id="0" w:name="_GoBack"/>
      <w:r w:rsidRPr="00E235F4">
        <w:rPr>
          <w:rFonts w:ascii="Arial" w:hAnsi="Arial" w:cs="Arial"/>
          <w:u w:val="single"/>
          <w:lang w:eastAsia="en-SG"/>
        </w:rPr>
        <w:t>Action Items</w:t>
      </w:r>
      <w:r w:rsidRPr="00E235F4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6750"/>
        <w:gridCol w:w="1080"/>
      </w:tblGrid>
      <w:tr w:rsidR="00117A50" w:rsidRPr="00E235F4" w14:paraId="7779401C" w14:textId="77777777" w:rsidTr="001D2A9C">
        <w:tc>
          <w:tcPr>
            <w:tcW w:w="900" w:type="dxa"/>
          </w:tcPr>
          <w:bookmarkEnd w:id="0"/>
          <w:p w14:paraId="3C9A536D" w14:textId="77777777" w:rsidR="00117A50" w:rsidRPr="00E235F4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6750" w:type="dxa"/>
          </w:tcPr>
          <w:p w14:paraId="077F425C" w14:textId="77777777" w:rsidR="00117A50" w:rsidRPr="00E235F4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38217B05" w14:textId="77777777" w:rsidR="00117A50" w:rsidRPr="00E235F4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117A50" w:rsidRPr="00E235F4" w14:paraId="2BF45B4B" w14:textId="77777777" w:rsidTr="001D2A9C">
        <w:tc>
          <w:tcPr>
            <w:tcW w:w="900" w:type="dxa"/>
          </w:tcPr>
          <w:p w14:paraId="019D7573" w14:textId="77777777" w:rsidR="00117A50" w:rsidRPr="00E235F4" w:rsidRDefault="00117A50" w:rsidP="00BC310F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750" w:type="dxa"/>
          </w:tcPr>
          <w:p w14:paraId="10AF793F" w14:textId="1CD9CBF0" w:rsidR="00117A50" w:rsidRPr="00E235F4" w:rsidRDefault="00EE4BD7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Incorporate the responses from </w:t>
            </w:r>
            <w:r w:rsidR="0065706E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the </w:t>
            </w: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previous face to face meeting into the proposal as concluded by the GP</w:t>
            </w:r>
            <w:r w:rsidR="00E05485"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.</w:t>
            </w:r>
          </w:p>
        </w:tc>
        <w:tc>
          <w:tcPr>
            <w:tcW w:w="1080" w:type="dxa"/>
          </w:tcPr>
          <w:p w14:paraId="36CB2FC5" w14:textId="46AEB575" w:rsidR="00117A50" w:rsidRPr="00E235F4" w:rsidRDefault="00EE4BD7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sz w:val="24"/>
                <w:szCs w:val="24"/>
                <w:lang w:eastAsia="en-SG"/>
              </w:rPr>
              <w:t>D</w:t>
            </w:r>
            <w:r w:rsidR="00117A50" w:rsidRPr="00E235F4">
              <w:rPr>
                <w:rFonts w:ascii="Arial" w:hAnsi="Arial" w:cs="Arial"/>
                <w:sz w:val="24"/>
                <w:szCs w:val="24"/>
                <w:lang w:eastAsia="en-SG"/>
              </w:rPr>
              <w:t>T</w:t>
            </w:r>
          </w:p>
        </w:tc>
      </w:tr>
      <w:tr w:rsidR="00117A50" w:rsidRPr="00E235F4" w14:paraId="62C02C5E" w14:textId="77777777" w:rsidTr="001D2A9C">
        <w:tc>
          <w:tcPr>
            <w:tcW w:w="900" w:type="dxa"/>
          </w:tcPr>
          <w:p w14:paraId="585F0963" w14:textId="77777777" w:rsidR="00117A50" w:rsidRPr="00E235F4" w:rsidRDefault="00117A50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750" w:type="dxa"/>
          </w:tcPr>
          <w:p w14:paraId="50F7FD32" w14:textId="4BF45819" w:rsidR="00117A50" w:rsidRPr="00E235F4" w:rsidRDefault="00E05485" w:rsidP="00BC310F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Prepare </w:t>
            </w:r>
            <w:r w:rsidR="00EE4BD7"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the</w:t>
            </w: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list of</w:t>
            </w:r>
            <w:r w:rsidR="00EE4BD7"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</w:t>
            </w: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expanded base characters for analysis</w:t>
            </w:r>
            <w:r w:rsidR="004F64B0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.</w:t>
            </w:r>
          </w:p>
        </w:tc>
        <w:tc>
          <w:tcPr>
            <w:tcW w:w="1080" w:type="dxa"/>
          </w:tcPr>
          <w:p w14:paraId="54B94606" w14:textId="11E271E8" w:rsidR="00117A50" w:rsidRPr="00E235F4" w:rsidRDefault="00E05485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sz w:val="24"/>
                <w:szCs w:val="24"/>
                <w:lang w:eastAsia="en-SG"/>
              </w:rPr>
              <w:t>MM</w:t>
            </w:r>
          </w:p>
        </w:tc>
      </w:tr>
      <w:tr w:rsidR="00E05485" w:rsidRPr="00E235F4" w14:paraId="30D41251" w14:textId="77777777" w:rsidTr="001D2A9C">
        <w:tc>
          <w:tcPr>
            <w:tcW w:w="900" w:type="dxa"/>
          </w:tcPr>
          <w:p w14:paraId="59911681" w14:textId="5FB7A7AE" w:rsidR="00E05485" w:rsidRPr="00E235F4" w:rsidRDefault="00055A5E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6750" w:type="dxa"/>
          </w:tcPr>
          <w:p w14:paraId="2E193638" w14:textId="623D476A" w:rsidR="00E05485" w:rsidRPr="00E235F4" w:rsidRDefault="00055A5E" w:rsidP="00BC310F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Prepare the test labels</w:t>
            </w:r>
            <w:r w:rsid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. </w:t>
            </w:r>
          </w:p>
        </w:tc>
        <w:tc>
          <w:tcPr>
            <w:tcW w:w="1080" w:type="dxa"/>
          </w:tcPr>
          <w:p w14:paraId="1841D6A4" w14:textId="1EDBB37A" w:rsidR="00E05485" w:rsidRPr="00E235F4" w:rsidRDefault="00055A5E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sz w:val="24"/>
                <w:szCs w:val="24"/>
                <w:lang w:eastAsia="en-SG"/>
              </w:rPr>
              <w:t>MD</w:t>
            </w:r>
          </w:p>
        </w:tc>
      </w:tr>
      <w:tr w:rsidR="00055A5E" w:rsidRPr="00E235F4" w14:paraId="5E5A60B1" w14:textId="77777777" w:rsidTr="001D2A9C">
        <w:tc>
          <w:tcPr>
            <w:tcW w:w="900" w:type="dxa"/>
          </w:tcPr>
          <w:p w14:paraId="1134871E" w14:textId="52F75E21" w:rsidR="00055A5E" w:rsidRPr="00E235F4" w:rsidRDefault="001D2A9C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6750" w:type="dxa"/>
          </w:tcPr>
          <w:p w14:paraId="27304B76" w14:textId="152E4FB4" w:rsidR="00055A5E" w:rsidRPr="001D2A9C" w:rsidRDefault="001D2A9C" w:rsidP="00BC310F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1D2A9C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Draft</w:t>
            </w:r>
            <w:r w:rsidR="0065706E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</w:t>
            </w:r>
            <w:r w:rsidR="003602CD" w:rsidRPr="001D2A9C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the </w:t>
            </w:r>
            <w:r w:rsidRPr="001D2A9C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“circle” and “vertical bar” glyphs</w:t>
            </w:r>
            <w:r w:rsidRPr="001D2A9C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analysis</w:t>
            </w:r>
            <w:r w:rsidR="0065706E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rules</w:t>
            </w:r>
            <w:r w:rsidR="004F64B0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.</w:t>
            </w:r>
          </w:p>
        </w:tc>
        <w:tc>
          <w:tcPr>
            <w:tcW w:w="1080" w:type="dxa"/>
          </w:tcPr>
          <w:p w14:paraId="02CBC53D" w14:textId="1C17241C" w:rsidR="00055A5E" w:rsidRPr="00E235F4" w:rsidRDefault="001D2A9C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BJ</w:t>
            </w:r>
          </w:p>
        </w:tc>
      </w:tr>
    </w:tbl>
    <w:p w14:paraId="01730A56" w14:textId="77777777" w:rsidR="00117A50" w:rsidRDefault="00117A50" w:rsidP="00117A50"/>
    <w:p w14:paraId="35604635" w14:textId="77777777" w:rsidR="00117A50" w:rsidRDefault="00117A50" w:rsidP="00117A50"/>
    <w:sectPr w:rsidR="00117A50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7DF9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B309D"/>
    <w:multiLevelType w:val="hybridMultilevel"/>
    <w:tmpl w:val="5A2C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6FE"/>
    <w:multiLevelType w:val="hybridMultilevel"/>
    <w:tmpl w:val="EB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90E"/>
    <w:multiLevelType w:val="hybridMultilevel"/>
    <w:tmpl w:val="9E8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D1AC1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B14C1"/>
    <w:multiLevelType w:val="hybridMultilevel"/>
    <w:tmpl w:val="0E9E10EE"/>
    <w:lvl w:ilvl="0" w:tplc="21564A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6257C"/>
    <w:multiLevelType w:val="hybridMultilevel"/>
    <w:tmpl w:val="BA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F52CFC"/>
    <w:multiLevelType w:val="hybridMultilevel"/>
    <w:tmpl w:val="EA20726E"/>
    <w:lvl w:ilvl="0" w:tplc="34586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604DB"/>
    <w:multiLevelType w:val="hybridMultilevel"/>
    <w:tmpl w:val="2486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1138"/>
    <w:multiLevelType w:val="hybridMultilevel"/>
    <w:tmpl w:val="339C7444"/>
    <w:lvl w:ilvl="0" w:tplc="59569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055A5E"/>
    <w:rsid w:val="000F7C6D"/>
    <w:rsid w:val="00117A50"/>
    <w:rsid w:val="00135D88"/>
    <w:rsid w:val="001D2A9C"/>
    <w:rsid w:val="001D39EC"/>
    <w:rsid w:val="00207807"/>
    <w:rsid w:val="002D0935"/>
    <w:rsid w:val="00314B86"/>
    <w:rsid w:val="003602CD"/>
    <w:rsid w:val="004F64B0"/>
    <w:rsid w:val="005A28FD"/>
    <w:rsid w:val="005B0C0F"/>
    <w:rsid w:val="00633821"/>
    <w:rsid w:val="0065217C"/>
    <w:rsid w:val="0065706E"/>
    <w:rsid w:val="006F7C9E"/>
    <w:rsid w:val="00760180"/>
    <w:rsid w:val="00915969"/>
    <w:rsid w:val="00920076"/>
    <w:rsid w:val="00A12A3B"/>
    <w:rsid w:val="00C83315"/>
    <w:rsid w:val="00DF600C"/>
    <w:rsid w:val="00E05485"/>
    <w:rsid w:val="00E235F4"/>
    <w:rsid w:val="00EC189A"/>
    <w:rsid w:val="00ED0514"/>
    <w:rsid w:val="00EE4BD7"/>
    <w:rsid w:val="00F12397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60C1"/>
  <w15:chartTrackingRefBased/>
  <w15:docId w15:val="{7891758F-1781-9E40-8C8C-6AB31088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5A0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2"/>
      <w:szCs w:val="28"/>
      <w:lang w:val="en-SG" w:bidi="th-TH"/>
    </w:rPr>
  </w:style>
  <w:style w:type="table" w:styleId="TableGrid">
    <w:name w:val="Table Grid"/>
    <w:basedOn w:val="TableNormal"/>
    <w:uiPriority w:val="39"/>
    <w:rsid w:val="00117A50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15</cp:revision>
  <dcterms:created xsi:type="dcterms:W3CDTF">2019-01-07T05:48:00Z</dcterms:created>
  <dcterms:modified xsi:type="dcterms:W3CDTF">2019-01-07T08:48:00Z</dcterms:modified>
</cp:coreProperties>
</file>