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FCC6" w14:textId="72D82951" w:rsidR="002C5AC2" w:rsidRPr="002C5AC2" w:rsidRDefault="002C5AC2">
      <w:pPr>
        <w:rPr>
          <w:b/>
          <w:bCs/>
        </w:rPr>
      </w:pPr>
      <w:r w:rsidRPr="002C5AC2">
        <w:rPr>
          <w:b/>
          <w:bCs/>
        </w:rPr>
        <w:t>Internationalized Domain Names</w:t>
      </w:r>
      <w:r>
        <w:rPr>
          <w:b/>
          <w:bCs/>
        </w:rPr>
        <w:t xml:space="preserve"> (IDNs)</w:t>
      </w:r>
      <w:r w:rsidRPr="002C5AC2">
        <w:rPr>
          <w:b/>
          <w:bCs/>
        </w:rPr>
        <w:t xml:space="preserve"> </w:t>
      </w:r>
      <w:r>
        <w:rPr>
          <w:b/>
          <w:bCs/>
        </w:rPr>
        <w:t>are</w:t>
      </w:r>
      <w:r w:rsidRPr="002C5AC2">
        <w:rPr>
          <w:b/>
          <w:bCs/>
        </w:rPr>
        <w:t xml:space="preserve"> an important component of a multilingual internet</w:t>
      </w:r>
    </w:p>
    <w:p w14:paraId="74D30EFC" w14:textId="77777777" w:rsidR="002C5AC2" w:rsidRDefault="002C5AC2"/>
    <w:p w14:paraId="05D5DCEB" w14:textId="0661E677" w:rsidR="00FE2493" w:rsidRDefault="00B13AF8">
      <w:r>
        <w:t>The Latin GP agrees with the assertion that, in general, the availability and adoption of Internationalized Domain Names enable communities around the world to create and use online identifier</w:t>
      </w:r>
      <w:r w:rsidR="005565BD">
        <w:t xml:space="preserve">s </w:t>
      </w:r>
      <w:r>
        <w:t>that best represent their needs.</w:t>
      </w:r>
      <w:r w:rsidR="005565BD">
        <w:t xml:space="preserve"> </w:t>
      </w:r>
    </w:p>
    <w:p w14:paraId="0F3ADCB2" w14:textId="7E170E81" w:rsidR="005B41F5" w:rsidRDefault="005B41F5"/>
    <w:p w14:paraId="559453E9" w14:textId="777FB655" w:rsidR="002C5AC2" w:rsidRPr="002C5AC2" w:rsidRDefault="002C5AC2">
      <w:pPr>
        <w:rPr>
          <w:b/>
          <w:bCs/>
        </w:rPr>
      </w:pPr>
      <w:r w:rsidRPr="002C5AC2">
        <w:rPr>
          <w:b/>
          <w:bCs/>
        </w:rPr>
        <w:t>Repertoire selection</w:t>
      </w:r>
    </w:p>
    <w:p w14:paraId="361F19C0" w14:textId="622BA00F" w:rsidR="002C5AC2" w:rsidRDefault="002C5AC2"/>
    <w:p w14:paraId="4F331085" w14:textId="1F33640F" w:rsidR="0081742C" w:rsidRDefault="002C5AC2">
      <w:r>
        <w:t xml:space="preserve">The Latin Script is used by hundreds, if not thousands, of languages around the world. </w:t>
      </w:r>
      <w:r w:rsidR="00A929A1">
        <w:t xml:space="preserve">The core alphabet set is comprised by letters A through Z.  </w:t>
      </w:r>
      <w:r>
        <w:t xml:space="preserve">The usage of these languages </w:t>
      </w:r>
      <w:r w:rsidR="002E0FF6">
        <w:t>varies</w:t>
      </w:r>
      <w:r w:rsidR="00A929A1">
        <w:t xml:space="preserve"> as </w:t>
      </w:r>
      <w:r w:rsidR="009863A0">
        <w:t xml:space="preserve">does </w:t>
      </w:r>
      <w:r w:rsidR="00A929A1">
        <w:t>the composition of their alphabets.</w:t>
      </w:r>
      <w:r w:rsidR="002E0FF6">
        <w:t xml:space="preserve"> Some languages show strong usage and are well documented, while other languages lack of authoritative sources for validation. </w:t>
      </w:r>
    </w:p>
    <w:p w14:paraId="27B80F81" w14:textId="77777777" w:rsidR="0081742C" w:rsidRDefault="0081742C"/>
    <w:p w14:paraId="3E9A0E99" w14:textId="757C81D9" w:rsidR="002E0FF6" w:rsidRDefault="002E0FF6">
      <w:r>
        <w:t xml:space="preserve">The universe of letters </w:t>
      </w:r>
      <w:r w:rsidR="004B42BE">
        <w:t xml:space="preserve">and marks —or starting repertoire— </w:t>
      </w:r>
      <w:r>
        <w:t xml:space="preserve">available to the Latin </w:t>
      </w:r>
      <w:r w:rsidR="00CA6A62">
        <w:t>GP</w:t>
      </w:r>
      <w:r>
        <w:t xml:space="preserve"> </w:t>
      </w:r>
      <w:r w:rsidR="004B42BE">
        <w:t>was</w:t>
      </w:r>
      <w:r>
        <w:t xml:space="preserve"> limited in two ways. On a </w:t>
      </w:r>
      <w:r w:rsidR="004B42BE">
        <w:t>protocol</w:t>
      </w:r>
      <w:r>
        <w:t xml:space="preserve"> level, IDNA </w:t>
      </w:r>
      <w:r w:rsidR="006A3711">
        <w:t>calculates which Unicode code points match the criteria (</w:t>
      </w:r>
      <w:proofErr w:type="gramStart"/>
      <w:r w:rsidR="006A3711">
        <w:t>e.g.</w:t>
      </w:r>
      <w:proofErr w:type="gramEnd"/>
      <w:r w:rsidR="006A3711">
        <w:t xml:space="preserve"> lower case letters, etc.)</w:t>
      </w:r>
      <w:r w:rsidR="00052AD2">
        <w:t xml:space="preserve">; </w:t>
      </w:r>
      <w:r w:rsidR="004B42BE">
        <w:t xml:space="preserve">on a policy level, </w:t>
      </w:r>
      <w:r w:rsidR="00052AD2">
        <w:t xml:space="preserve">the Integration Panel excludes certain code points that </w:t>
      </w:r>
      <w:r w:rsidR="004B42BE">
        <w:t xml:space="preserve">have been identified as a </w:t>
      </w:r>
      <w:r w:rsidR="00052AD2">
        <w:t xml:space="preserve">risk </w:t>
      </w:r>
      <w:r w:rsidR="004B42BE">
        <w:t>to be used at the</w:t>
      </w:r>
      <w:r w:rsidR="00052AD2">
        <w:t xml:space="preserve"> root level</w:t>
      </w:r>
      <w:r w:rsidR="0081742C">
        <w:t xml:space="preserve"> —in addition</w:t>
      </w:r>
      <w:r w:rsidR="00CA6A62">
        <w:t xml:space="preserve"> to </w:t>
      </w:r>
      <w:r w:rsidR="0081742C">
        <w:t>the exclusion of digits and the hyphen</w:t>
      </w:r>
      <w:r w:rsidR="00052AD2">
        <w:t>. This initial repertoire is called the Maximal Starting Repertoire</w:t>
      </w:r>
      <w:r w:rsidR="004B42BE">
        <w:t xml:space="preserve"> (MSR)</w:t>
      </w:r>
      <w:r w:rsidR="00EC7DA6">
        <w:t xml:space="preserve"> —which all Generation Panels used for their own LGR proposals.</w:t>
      </w:r>
    </w:p>
    <w:p w14:paraId="536BABCD" w14:textId="64AAB14F" w:rsidR="00052AD2" w:rsidRDefault="00052AD2"/>
    <w:p w14:paraId="741FAEB9" w14:textId="18D81EDE" w:rsidR="004B42BE" w:rsidRDefault="00052AD2">
      <w:r>
        <w:t xml:space="preserve">The Latin GP needed to find a practical method to </w:t>
      </w:r>
      <w:r w:rsidR="00EC7DA6">
        <w:t>determine the selection</w:t>
      </w:r>
      <w:r w:rsidR="004B42BE">
        <w:t xml:space="preserve"> </w:t>
      </w:r>
      <w:r w:rsidR="00EC7DA6">
        <w:t xml:space="preserve">of </w:t>
      </w:r>
      <w:r w:rsidR="004B42BE">
        <w:t>its own</w:t>
      </w:r>
      <w:r w:rsidR="00EC7DA6">
        <w:t xml:space="preserve"> repertoire</w:t>
      </w:r>
      <w:r w:rsidR="004B42BE">
        <w:t xml:space="preserve"> —using the MSR as a starting point</w:t>
      </w:r>
      <w:r w:rsidR="00EC7DA6">
        <w:t>.</w:t>
      </w:r>
      <w:r w:rsidR="001A4DF3">
        <w:t xml:space="preserve"> But most importantly, </w:t>
      </w:r>
      <w:r w:rsidR="0081742C">
        <w:t>determine a process</w:t>
      </w:r>
      <w:r w:rsidR="001A4DF3">
        <w:t xml:space="preserve"> to navigate through potentially hundreds of alphabets with the limited time and resources available to the panel.</w:t>
      </w:r>
    </w:p>
    <w:p w14:paraId="62667259" w14:textId="77777777" w:rsidR="004B42BE" w:rsidRDefault="004B42BE"/>
    <w:p w14:paraId="03611BBD" w14:textId="3C527575" w:rsidR="00052AD2" w:rsidRDefault="001A4DF3">
      <w:r>
        <w:t xml:space="preserve">The Expanded Graded Intergenerational Disruption Scale (EGDIS) </w:t>
      </w:r>
      <w:r w:rsidR="00A47B7E">
        <w:t>provide</w:t>
      </w:r>
      <w:r w:rsidR="00196847">
        <w:t>s</w:t>
      </w:r>
      <w:r w:rsidR="00A47B7E">
        <w:t xml:space="preserve"> a measure what could be considered </w:t>
      </w:r>
      <w:r w:rsidR="00196847">
        <w:t>as</w:t>
      </w:r>
      <w:r w:rsidR="00A47B7E">
        <w:t xml:space="preserve"> vitality or strength </w:t>
      </w:r>
      <w:r>
        <w:t xml:space="preserve">of </w:t>
      </w:r>
      <w:r w:rsidR="0081742C">
        <w:t>a given</w:t>
      </w:r>
      <w:r>
        <w:t xml:space="preserve"> language. </w:t>
      </w:r>
      <w:r w:rsidR="00A47B7E">
        <w:t>The Latin GP worked through the list of languages that were in the levels 0 through 4 of the EGDIS scale</w:t>
      </w:r>
      <w:r w:rsidR="0081742C">
        <w:t xml:space="preserve">, because these levels showed </w:t>
      </w:r>
      <w:r w:rsidR="00644F8F">
        <w:t xml:space="preserve">attributes of </w:t>
      </w:r>
      <w:r w:rsidR="0081742C">
        <w:t>sustaina</w:t>
      </w:r>
      <w:r w:rsidR="00644F8F">
        <w:t>bility</w:t>
      </w:r>
      <w:r w:rsidR="0081742C">
        <w:t xml:space="preserve"> and widespread usage.</w:t>
      </w:r>
      <w:r w:rsidR="00CA6A62">
        <w:t xml:space="preserve"> Levels 5 and higher signal attributes </w:t>
      </w:r>
      <w:r w:rsidR="00305EF5">
        <w:t>from lower widespread usage</w:t>
      </w:r>
      <w:r w:rsidR="00CA6A62">
        <w:t xml:space="preserve"> </w:t>
      </w:r>
      <w:r w:rsidR="00305EF5">
        <w:t>to</w:t>
      </w:r>
      <w:r w:rsidR="00CA6A62">
        <w:t xml:space="preserve"> </w:t>
      </w:r>
      <w:r w:rsidR="00305EF5">
        <w:t>being in the path to</w:t>
      </w:r>
      <w:r w:rsidR="00CA6A62">
        <w:t xml:space="preserve"> extinction.</w:t>
      </w:r>
    </w:p>
    <w:p w14:paraId="1B13515B" w14:textId="4F24DD89" w:rsidR="00A47B7E" w:rsidRDefault="00A47B7E"/>
    <w:tbl>
      <w:tblPr>
        <w:tblW w:w="8400" w:type="dxa"/>
        <w:shd w:val="clear" w:color="auto" w:fill="FFFFFF"/>
        <w:tblCellMar>
          <w:left w:w="0" w:type="dxa"/>
          <w:right w:w="0" w:type="dxa"/>
        </w:tblCellMar>
        <w:tblLook w:val="04A0" w:firstRow="1" w:lastRow="0" w:firstColumn="1" w:lastColumn="0" w:noHBand="0" w:noVBand="1"/>
      </w:tblPr>
      <w:tblGrid>
        <w:gridCol w:w="829"/>
        <w:gridCol w:w="1970"/>
        <w:gridCol w:w="5601"/>
      </w:tblGrid>
      <w:tr w:rsidR="00A47B7E" w:rsidRPr="00A47B7E" w14:paraId="1C59FCDF" w14:textId="77777777" w:rsidTr="00A47B7E">
        <w:trPr>
          <w:tblHeader/>
        </w:trPr>
        <w:tc>
          <w:tcPr>
            <w:tcW w:w="0" w:type="auto"/>
            <w:tcBorders>
              <w:top w:val="nil"/>
              <w:left w:val="nil"/>
              <w:bottom w:val="nil"/>
              <w:right w:val="nil"/>
            </w:tcBorders>
            <w:shd w:val="clear" w:color="auto" w:fill="8B2479"/>
            <w:tcMar>
              <w:top w:w="75" w:type="dxa"/>
              <w:left w:w="150" w:type="dxa"/>
              <w:bottom w:w="75" w:type="dxa"/>
              <w:right w:w="150" w:type="dxa"/>
            </w:tcMar>
            <w:vAlign w:val="bottom"/>
            <w:hideMark/>
          </w:tcPr>
          <w:p w14:paraId="597471FD" w14:textId="77777777" w:rsidR="00A47B7E" w:rsidRPr="00A47B7E" w:rsidRDefault="00A47B7E" w:rsidP="00A47B7E">
            <w:pPr>
              <w:spacing w:line="240" w:lineRule="atLeast"/>
              <w:rPr>
                <w:rFonts w:ascii="Helvetica Neue" w:eastAsia="Times New Roman" w:hAnsi="Helvetica Neue" w:cs="Times New Roman"/>
                <w:b/>
                <w:bCs/>
                <w:color w:val="FFFFFF"/>
                <w:sz w:val="21"/>
                <w:szCs w:val="21"/>
              </w:rPr>
            </w:pPr>
            <w:r w:rsidRPr="00A47B7E">
              <w:rPr>
                <w:rFonts w:ascii="Helvetica Neue" w:eastAsia="Times New Roman" w:hAnsi="Helvetica Neue" w:cs="Times New Roman"/>
                <w:b/>
                <w:bCs/>
                <w:color w:val="FFFFFF"/>
                <w:sz w:val="21"/>
                <w:szCs w:val="21"/>
              </w:rPr>
              <w:t>Level</w:t>
            </w:r>
          </w:p>
        </w:tc>
        <w:tc>
          <w:tcPr>
            <w:tcW w:w="0" w:type="auto"/>
            <w:tcBorders>
              <w:top w:val="nil"/>
              <w:left w:val="nil"/>
              <w:bottom w:val="nil"/>
              <w:right w:val="nil"/>
            </w:tcBorders>
            <w:shd w:val="clear" w:color="auto" w:fill="8B2479"/>
            <w:tcMar>
              <w:top w:w="75" w:type="dxa"/>
              <w:left w:w="150" w:type="dxa"/>
              <w:bottom w:w="75" w:type="dxa"/>
              <w:right w:w="150" w:type="dxa"/>
            </w:tcMar>
            <w:vAlign w:val="bottom"/>
            <w:hideMark/>
          </w:tcPr>
          <w:p w14:paraId="6345E474" w14:textId="77777777" w:rsidR="00A47B7E" w:rsidRPr="00A47B7E" w:rsidRDefault="00A47B7E" w:rsidP="00A47B7E">
            <w:pPr>
              <w:spacing w:line="240" w:lineRule="atLeast"/>
              <w:rPr>
                <w:rFonts w:ascii="Helvetica Neue" w:eastAsia="Times New Roman" w:hAnsi="Helvetica Neue" w:cs="Times New Roman"/>
                <w:b/>
                <w:bCs/>
                <w:color w:val="FFFFFF"/>
                <w:sz w:val="21"/>
                <w:szCs w:val="21"/>
              </w:rPr>
            </w:pPr>
            <w:r w:rsidRPr="00A47B7E">
              <w:rPr>
                <w:rFonts w:ascii="Helvetica Neue" w:eastAsia="Times New Roman" w:hAnsi="Helvetica Neue" w:cs="Times New Roman"/>
                <w:b/>
                <w:bCs/>
                <w:color w:val="FFFFFF"/>
                <w:sz w:val="21"/>
                <w:szCs w:val="21"/>
              </w:rPr>
              <w:t>Label</w:t>
            </w:r>
          </w:p>
        </w:tc>
        <w:tc>
          <w:tcPr>
            <w:tcW w:w="0" w:type="auto"/>
            <w:tcBorders>
              <w:top w:val="nil"/>
              <w:left w:val="nil"/>
              <w:bottom w:val="nil"/>
              <w:right w:val="nil"/>
            </w:tcBorders>
            <w:shd w:val="clear" w:color="auto" w:fill="E9EEF1"/>
            <w:tcMar>
              <w:top w:w="75" w:type="dxa"/>
              <w:left w:w="150" w:type="dxa"/>
              <w:bottom w:w="75" w:type="dxa"/>
              <w:right w:w="150" w:type="dxa"/>
            </w:tcMar>
            <w:vAlign w:val="bottom"/>
            <w:hideMark/>
          </w:tcPr>
          <w:p w14:paraId="0B5A256A" w14:textId="77777777" w:rsidR="00A47B7E" w:rsidRPr="00A47B7E" w:rsidRDefault="00A47B7E" w:rsidP="00A47B7E">
            <w:pPr>
              <w:spacing w:line="240" w:lineRule="atLeast"/>
              <w:rPr>
                <w:rFonts w:ascii="Helvetica Neue" w:eastAsia="Times New Roman" w:hAnsi="Helvetica Neue" w:cs="Times New Roman"/>
                <w:b/>
                <w:bCs/>
                <w:color w:val="FFFFFF"/>
                <w:sz w:val="21"/>
                <w:szCs w:val="21"/>
              </w:rPr>
            </w:pPr>
            <w:r w:rsidRPr="00A47B7E">
              <w:rPr>
                <w:rFonts w:ascii="Helvetica Neue" w:eastAsia="Times New Roman" w:hAnsi="Helvetica Neue" w:cs="Times New Roman"/>
                <w:b/>
                <w:bCs/>
                <w:color w:val="FFFFFF"/>
                <w:sz w:val="21"/>
                <w:szCs w:val="21"/>
              </w:rPr>
              <w:t>Description</w:t>
            </w:r>
          </w:p>
        </w:tc>
      </w:tr>
      <w:tr w:rsidR="00A47B7E" w:rsidRPr="00A47B7E" w14:paraId="7D51D39D" w14:textId="77777777" w:rsidTr="00A47B7E">
        <w:tc>
          <w:tcPr>
            <w:tcW w:w="0" w:type="auto"/>
            <w:tcBorders>
              <w:top w:val="nil"/>
              <w:left w:val="nil"/>
              <w:bottom w:val="nil"/>
              <w:right w:val="nil"/>
            </w:tcBorders>
            <w:shd w:val="clear" w:color="auto" w:fill="FFFFFF"/>
            <w:tcMar>
              <w:top w:w="75" w:type="dxa"/>
              <w:left w:w="150" w:type="dxa"/>
              <w:bottom w:w="75" w:type="dxa"/>
              <w:right w:w="150" w:type="dxa"/>
            </w:tcMar>
            <w:hideMark/>
          </w:tcPr>
          <w:p w14:paraId="4346B4AE"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0</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0A8E3D7F"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International</w:t>
            </w:r>
          </w:p>
        </w:tc>
        <w:tc>
          <w:tcPr>
            <w:tcW w:w="0" w:type="auto"/>
            <w:tcBorders>
              <w:top w:val="nil"/>
              <w:left w:val="nil"/>
              <w:bottom w:val="nil"/>
              <w:right w:val="nil"/>
            </w:tcBorders>
            <w:shd w:val="clear" w:color="auto" w:fill="FFFFFF"/>
            <w:tcMar>
              <w:top w:w="75" w:type="dxa"/>
              <w:left w:w="150" w:type="dxa"/>
              <w:bottom w:w="75" w:type="dxa"/>
              <w:right w:w="150" w:type="dxa"/>
            </w:tcMar>
            <w:vAlign w:val="bottom"/>
            <w:hideMark/>
          </w:tcPr>
          <w:p w14:paraId="0DD9F327" w14:textId="77777777" w:rsidR="00A47B7E" w:rsidRPr="00A47B7E" w:rsidRDefault="00A47B7E" w:rsidP="00A47B7E">
            <w:pPr>
              <w:spacing w:line="240" w:lineRule="atLeast"/>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The language is widely used between nations in trade, knowledge exchange, and international policy.</w:t>
            </w:r>
          </w:p>
        </w:tc>
      </w:tr>
      <w:tr w:rsidR="00A47B7E" w:rsidRPr="00A47B7E" w14:paraId="3F730418" w14:textId="77777777" w:rsidTr="00A47B7E">
        <w:tc>
          <w:tcPr>
            <w:tcW w:w="0" w:type="auto"/>
            <w:tcBorders>
              <w:top w:val="nil"/>
              <w:left w:val="nil"/>
              <w:bottom w:val="nil"/>
              <w:right w:val="nil"/>
            </w:tcBorders>
            <w:shd w:val="clear" w:color="auto" w:fill="FFFFFF"/>
            <w:tcMar>
              <w:top w:w="75" w:type="dxa"/>
              <w:left w:w="150" w:type="dxa"/>
              <w:bottom w:w="75" w:type="dxa"/>
              <w:right w:w="150" w:type="dxa"/>
            </w:tcMar>
            <w:hideMark/>
          </w:tcPr>
          <w:p w14:paraId="473033EF"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1</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1F452215"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National</w:t>
            </w:r>
          </w:p>
        </w:tc>
        <w:tc>
          <w:tcPr>
            <w:tcW w:w="0" w:type="auto"/>
            <w:tcBorders>
              <w:top w:val="nil"/>
              <w:left w:val="nil"/>
              <w:bottom w:val="nil"/>
              <w:right w:val="nil"/>
            </w:tcBorders>
            <w:shd w:val="clear" w:color="auto" w:fill="FFFFFF"/>
            <w:tcMar>
              <w:top w:w="75" w:type="dxa"/>
              <w:left w:w="150" w:type="dxa"/>
              <w:bottom w:w="75" w:type="dxa"/>
              <w:right w:w="150" w:type="dxa"/>
            </w:tcMar>
            <w:vAlign w:val="bottom"/>
            <w:hideMark/>
          </w:tcPr>
          <w:p w14:paraId="3A393355" w14:textId="77777777" w:rsidR="00A47B7E" w:rsidRPr="00A47B7E" w:rsidRDefault="00A47B7E" w:rsidP="00A47B7E">
            <w:pPr>
              <w:spacing w:line="240" w:lineRule="atLeast"/>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The language is used in education, work, mass media, and government at the national level.</w:t>
            </w:r>
          </w:p>
        </w:tc>
      </w:tr>
      <w:tr w:rsidR="00A47B7E" w:rsidRPr="00A47B7E" w14:paraId="3664E1B9" w14:textId="77777777" w:rsidTr="00A47B7E">
        <w:tc>
          <w:tcPr>
            <w:tcW w:w="0" w:type="auto"/>
            <w:tcBorders>
              <w:top w:val="nil"/>
              <w:left w:val="nil"/>
              <w:bottom w:val="nil"/>
              <w:right w:val="nil"/>
            </w:tcBorders>
            <w:shd w:val="clear" w:color="auto" w:fill="FFFFFF"/>
            <w:tcMar>
              <w:top w:w="75" w:type="dxa"/>
              <w:left w:w="150" w:type="dxa"/>
              <w:bottom w:w="75" w:type="dxa"/>
              <w:right w:w="150" w:type="dxa"/>
            </w:tcMar>
            <w:hideMark/>
          </w:tcPr>
          <w:p w14:paraId="3A70D9BF"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2</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165E43BD"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Provincial</w:t>
            </w:r>
          </w:p>
        </w:tc>
        <w:tc>
          <w:tcPr>
            <w:tcW w:w="0" w:type="auto"/>
            <w:tcBorders>
              <w:top w:val="nil"/>
              <w:left w:val="nil"/>
              <w:bottom w:val="nil"/>
              <w:right w:val="nil"/>
            </w:tcBorders>
            <w:shd w:val="clear" w:color="auto" w:fill="FFFFFF"/>
            <w:tcMar>
              <w:top w:w="75" w:type="dxa"/>
              <w:left w:w="150" w:type="dxa"/>
              <w:bottom w:w="75" w:type="dxa"/>
              <w:right w:w="150" w:type="dxa"/>
            </w:tcMar>
            <w:vAlign w:val="bottom"/>
            <w:hideMark/>
          </w:tcPr>
          <w:p w14:paraId="39596AD9" w14:textId="77777777" w:rsidR="00A47B7E" w:rsidRPr="00A47B7E" w:rsidRDefault="00A47B7E" w:rsidP="00A47B7E">
            <w:pPr>
              <w:spacing w:line="240" w:lineRule="atLeast"/>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The language is used in education, work, mass media, and government within major administrative subdivisions of a nation.</w:t>
            </w:r>
          </w:p>
        </w:tc>
      </w:tr>
      <w:tr w:rsidR="00A47B7E" w:rsidRPr="00A47B7E" w14:paraId="0760B64A" w14:textId="77777777" w:rsidTr="00A47B7E">
        <w:tc>
          <w:tcPr>
            <w:tcW w:w="0" w:type="auto"/>
            <w:tcBorders>
              <w:top w:val="nil"/>
              <w:left w:val="nil"/>
              <w:bottom w:val="nil"/>
              <w:right w:val="nil"/>
            </w:tcBorders>
            <w:shd w:val="clear" w:color="auto" w:fill="FFFFFF"/>
            <w:tcMar>
              <w:top w:w="75" w:type="dxa"/>
              <w:left w:w="150" w:type="dxa"/>
              <w:bottom w:w="75" w:type="dxa"/>
              <w:right w:w="150" w:type="dxa"/>
            </w:tcMar>
            <w:hideMark/>
          </w:tcPr>
          <w:p w14:paraId="57343658"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3</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0915BA65"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Wider Communication</w:t>
            </w:r>
          </w:p>
        </w:tc>
        <w:tc>
          <w:tcPr>
            <w:tcW w:w="0" w:type="auto"/>
            <w:tcBorders>
              <w:top w:val="nil"/>
              <w:left w:val="nil"/>
              <w:bottom w:val="nil"/>
              <w:right w:val="nil"/>
            </w:tcBorders>
            <w:shd w:val="clear" w:color="auto" w:fill="FFFFFF"/>
            <w:tcMar>
              <w:top w:w="75" w:type="dxa"/>
              <w:left w:w="150" w:type="dxa"/>
              <w:bottom w:w="75" w:type="dxa"/>
              <w:right w:w="150" w:type="dxa"/>
            </w:tcMar>
            <w:vAlign w:val="bottom"/>
            <w:hideMark/>
          </w:tcPr>
          <w:p w14:paraId="219C61CD" w14:textId="77777777" w:rsidR="00A47B7E" w:rsidRPr="00A47B7E" w:rsidRDefault="00A47B7E" w:rsidP="00A47B7E">
            <w:pPr>
              <w:spacing w:line="240" w:lineRule="atLeast"/>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The language is used in work and mass media without official status to transcend language differences across a region.</w:t>
            </w:r>
          </w:p>
        </w:tc>
      </w:tr>
      <w:tr w:rsidR="00A47B7E" w:rsidRPr="00A47B7E" w14:paraId="05EDC1EB" w14:textId="77777777" w:rsidTr="00A47B7E">
        <w:tc>
          <w:tcPr>
            <w:tcW w:w="0" w:type="auto"/>
            <w:tcBorders>
              <w:top w:val="nil"/>
              <w:left w:val="nil"/>
              <w:bottom w:val="nil"/>
              <w:right w:val="nil"/>
            </w:tcBorders>
            <w:shd w:val="clear" w:color="auto" w:fill="FFFFFF"/>
            <w:tcMar>
              <w:top w:w="75" w:type="dxa"/>
              <w:left w:w="150" w:type="dxa"/>
              <w:bottom w:w="75" w:type="dxa"/>
              <w:right w:w="150" w:type="dxa"/>
            </w:tcMar>
            <w:hideMark/>
          </w:tcPr>
          <w:p w14:paraId="243DECEE"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lastRenderedPageBreak/>
              <w:t>4</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76B73B34"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Educational</w:t>
            </w:r>
          </w:p>
        </w:tc>
        <w:tc>
          <w:tcPr>
            <w:tcW w:w="0" w:type="auto"/>
            <w:tcBorders>
              <w:top w:val="nil"/>
              <w:left w:val="nil"/>
              <w:bottom w:val="nil"/>
              <w:right w:val="nil"/>
            </w:tcBorders>
            <w:shd w:val="clear" w:color="auto" w:fill="FFFFFF"/>
            <w:tcMar>
              <w:top w:w="75" w:type="dxa"/>
              <w:left w:w="150" w:type="dxa"/>
              <w:bottom w:w="75" w:type="dxa"/>
              <w:right w:w="150" w:type="dxa"/>
            </w:tcMar>
            <w:vAlign w:val="bottom"/>
            <w:hideMark/>
          </w:tcPr>
          <w:p w14:paraId="6E672470" w14:textId="77777777" w:rsidR="00A47B7E" w:rsidRPr="00A47B7E" w:rsidRDefault="00A47B7E" w:rsidP="00A47B7E">
            <w:pPr>
              <w:spacing w:line="240" w:lineRule="atLeast"/>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The language is in vigorous use, with standardization and literature being sustained through a widespread system of institutionally supported education.</w:t>
            </w:r>
          </w:p>
        </w:tc>
      </w:tr>
    </w:tbl>
    <w:p w14:paraId="5453A390" w14:textId="77777777" w:rsidR="00A47B7E" w:rsidRDefault="00A47B7E"/>
    <w:p w14:paraId="06C0C250" w14:textId="020B5682" w:rsidR="002C5AC2" w:rsidRDefault="00A47B7E">
      <w:r>
        <w:t>Exceptionally, the Latin GP panel decided to include languages in the EGDIS scale 5 but limited to those languages that exceeded one million native speakers. This was necessary to limit the scope of the work due to limited resources.</w:t>
      </w:r>
    </w:p>
    <w:p w14:paraId="0802593A" w14:textId="5D25A8B0" w:rsidR="00A47B7E" w:rsidRDefault="00A47B7E"/>
    <w:tbl>
      <w:tblPr>
        <w:tblW w:w="8400" w:type="dxa"/>
        <w:shd w:val="clear" w:color="auto" w:fill="FFFFFF"/>
        <w:tblCellMar>
          <w:left w:w="0" w:type="dxa"/>
          <w:right w:w="0" w:type="dxa"/>
        </w:tblCellMar>
        <w:tblLook w:val="04A0" w:firstRow="1" w:lastRow="0" w:firstColumn="1" w:lastColumn="0" w:noHBand="0" w:noVBand="1"/>
      </w:tblPr>
      <w:tblGrid>
        <w:gridCol w:w="417"/>
        <w:gridCol w:w="1354"/>
        <w:gridCol w:w="6629"/>
      </w:tblGrid>
      <w:tr w:rsidR="00A47B7E" w:rsidRPr="00A47B7E" w14:paraId="6FE13E8D" w14:textId="77777777" w:rsidTr="00A47B7E">
        <w:tc>
          <w:tcPr>
            <w:tcW w:w="0" w:type="auto"/>
            <w:tcBorders>
              <w:top w:val="nil"/>
              <w:left w:val="nil"/>
              <w:bottom w:val="nil"/>
              <w:right w:val="nil"/>
            </w:tcBorders>
            <w:shd w:val="clear" w:color="auto" w:fill="FFFFFF"/>
            <w:tcMar>
              <w:top w:w="75" w:type="dxa"/>
              <w:left w:w="150" w:type="dxa"/>
              <w:bottom w:w="75" w:type="dxa"/>
              <w:right w:w="150" w:type="dxa"/>
            </w:tcMar>
            <w:hideMark/>
          </w:tcPr>
          <w:p w14:paraId="1A952C99"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5</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67DCB050" w14:textId="77777777" w:rsidR="00A47B7E" w:rsidRPr="00A47B7E" w:rsidRDefault="00A47B7E" w:rsidP="00A47B7E">
            <w:pPr>
              <w:spacing w:line="240" w:lineRule="atLeast"/>
              <w:jc w:val="center"/>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Developing</w:t>
            </w:r>
          </w:p>
        </w:tc>
        <w:tc>
          <w:tcPr>
            <w:tcW w:w="0" w:type="auto"/>
            <w:tcBorders>
              <w:top w:val="nil"/>
              <w:left w:val="nil"/>
              <w:bottom w:val="nil"/>
              <w:right w:val="nil"/>
            </w:tcBorders>
            <w:shd w:val="clear" w:color="auto" w:fill="FFFFFF"/>
            <w:tcMar>
              <w:top w:w="75" w:type="dxa"/>
              <w:left w:w="150" w:type="dxa"/>
              <w:bottom w:w="75" w:type="dxa"/>
              <w:right w:w="150" w:type="dxa"/>
            </w:tcMar>
            <w:vAlign w:val="bottom"/>
            <w:hideMark/>
          </w:tcPr>
          <w:p w14:paraId="1864D8E3" w14:textId="77777777" w:rsidR="00A47B7E" w:rsidRPr="00A47B7E" w:rsidRDefault="00A47B7E" w:rsidP="00A47B7E">
            <w:pPr>
              <w:spacing w:line="240" w:lineRule="atLeast"/>
              <w:rPr>
                <w:rFonts w:ascii="Helvetica Neue" w:eastAsia="Times New Roman" w:hAnsi="Helvetica Neue" w:cs="Times New Roman"/>
                <w:color w:val="444444"/>
                <w:sz w:val="21"/>
                <w:szCs w:val="21"/>
              </w:rPr>
            </w:pPr>
            <w:r w:rsidRPr="00A47B7E">
              <w:rPr>
                <w:rFonts w:ascii="Helvetica Neue" w:eastAsia="Times New Roman" w:hAnsi="Helvetica Neue" w:cs="Times New Roman"/>
                <w:color w:val="444444"/>
                <w:sz w:val="21"/>
                <w:szCs w:val="21"/>
              </w:rPr>
              <w:t>The language is in vigorous use, with literature in a standardized form being used by some though this is not yet widespread or sustainable.</w:t>
            </w:r>
          </w:p>
        </w:tc>
      </w:tr>
    </w:tbl>
    <w:p w14:paraId="08C555A0" w14:textId="77777777" w:rsidR="00A47B7E" w:rsidRDefault="00A47B7E"/>
    <w:p w14:paraId="0B52CFD6" w14:textId="467BCF8C" w:rsidR="00A47B7E" w:rsidRDefault="00A47B7E">
      <w:r>
        <w:t xml:space="preserve">The Latin GP panel was confident that this method, while not comprehensive of all languages, was a good representation of the Latin alphabet used in many languages. </w:t>
      </w:r>
    </w:p>
    <w:p w14:paraId="16D61437" w14:textId="5A908221" w:rsidR="00A47B7E" w:rsidRDefault="00A47B7E"/>
    <w:p w14:paraId="74DD03BA" w14:textId="098FA265" w:rsidR="00EB7896" w:rsidRDefault="00741D93">
      <w:r>
        <w:t xml:space="preserve">With respect to the examples referred to in the comments. The </w:t>
      </w:r>
      <w:r w:rsidR="00FB3F98">
        <w:t>Hawaiian</w:t>
      </w:r>
      <w:r>
        <w:t xml:space="preserve"> language had, at the time of review, a</w:t>
      </w:r>
      <w:r w:rsidR="00F86E9E">
        <w:t>n</w:t>
      </w:r>
      <w:r>
        <w:t xml:space="preserve"> EGDIS scale of 2, while </w:t>
      </w:r>
      <w:proofErr w:type="spellStart"/>
      <w:r>
        <w:t>Obolo</w:t>
      </w:r>
      <w:proofErr w:type="spellEnd"/>
      <w:r>
        <w:t xml:space="preserve"> (with 300,000</w:t>
      </w:r>
      <w:r w:rsidR="00F86E9E">
        <w:t>+</w:t>
      </w:r>
      <w:r>
        <w:t xml:space="preserve"> native speakers</w:t>
      </w:r>
      <w:r w:rsidR="00F86E9E">
        <w:t xml:space="preserve">, per the comment by Bill </w:t>
      </w:r>
      <w:proofErr w:type="spellStart"/>
      <w:r w:rsidR="00F86E9E">
        <w:t>Jouris</w:t>
      </w:r>
      <w:proofErr w:type="spellEnd"/>
      <w:r>
        <w:t>) a</w:t>
      </w:r>
      <w:r w:rsidR="00F86E9E">
        <w:t>n</w:t>
      </w:r>
      <w:r>
        <w:t xml:space="preserve"> EGDIS scale of 5-6a. Therefore, </w:t>
      </w:r>
      <w:r w:rsidR="00FB3F98">
        <w:t>Hawaiian</w:t>
      </w:r>
      <w:r>
        <w:t xml:space="preserve"> was included in the review, while </w:t>
      </w:r>
      <w:proofErr w:type="spellStart"/>
      <w:r>
        <w:t>Obolo</w:t>
      </w:r>
      <w:proofErr w:type="spellEnd"/>
      <w:r>
        <w:t xml:space="preserve"> was not.</w:t>
      </w:r>
      <w:r w:rsidR="00F86E9E">
        <w:t xml:space="preserve"> On this point, the Latin GP Panel would like to note</w:t>
      </w:r>
      <w:r>
        <w:t xml:space="preserve"> </w:t>
      </w:r>
      <w:r w:rsidR="00F86E9E">
        <w:t>that w</w:t>
      </w:r>
      <w:r w:rsidR="00644F8F">
        <w:t>hile</w:t>
      </w:r>
      <w:r w:rsidR="00FB3F98">
        <w:t xml:space="preserve"> a specific</w:t>
      </w:r>
      <w:r>
        <w:t xml:space="preserve"> </w:t>
      </w:r>
      <w:r w:rsidR="00FB3F98">
        <w:t xml:space="preserve">Language’s alphabet was reviewed </w:t>
      </w:r>
      <w:r w:rsidR="00F86E9E">
        <w:t>there</w:t>
      </w:r>
      <w:r w:rsidR="00FB3F98">
        <w:t xml:space="preserve"> is no guarantee that all words in that specific language can be represented in a top-level domain name</w:t>
      </w:r>
      <w:r w:rsidR="00F86E9E">
        <w:t>.</w:t>
      </w:r>
      <w:r w:rsidR="00FB3F98">
        <w:t xml:space="preserve"> </w:t>
      </w:r>
      <w:r w:rsidR="00F86E9E">
        <w:t>Q</w:t>
      </w:r>
      <w:r w:rsidR="00FB3F98">
        <w:t xml:space="preserve">uite the opposite. For example, the Okina letter </w:t>
      </w:r>
      <w:r w:rsidR="00F86E9E">
        <w:t>from the</w:t>
      </w:r>
      <w:r w:rsidR="00FB3F98">
        <w:t xml:space="preserve"> Hawaiian </w:t>
      </w:r>
      <w:r w:rsidR="00F86E9E">
        <w:t xml:space="preserve">alphabet </w:t>
      </w:r>
      <w:r w:rsidR="00FB3F98">
        <w:t>resembles the apostrophe, which is prohibited by the protocol. The MSR exclude</w:t>
      </w:r>
      <w:r w:rsidR="00F86E9E">
        <w:t>s</w:t>
      </w:r>
      <w:r w:rsidR="00FB3F98">
        <w:t xml:space="preserve"> all letters that in some degree resemble</w:t>
      </w:r>
      <w:r w:rsidR="00F86E9E">
        <w:t>s</w:t>
      </w:r>
      <w:r w:rsidR="00FB3F98">
        <w:t xml:space="preserve"> a prohibit code point. </w:t>
      </w:r>
      <w:r w:rsidR="00F86E9E">
        <w:t>In contrast,</w:t>
      </w:r>
      <w:r w:rsidR="00FB3F98">
        <w:t xml:space="preserve"> the </w:t>
      </w:r>
      <w:proofErr w:type="spellStart"/>
      <w:r w:rsidR="00FB3F98">
        <w:t>Obolo</w:t>
      </w:r>
      <w:proofErr w:type="spellEnd"/>
      <w:r w:rsidR="00FB3F98">
        <w:t xml:space="preserve"> alphabet</w:t>
      </w:r>
      <w:r w:rsidR="00F86E9E">
        <w:t xml:space="preserve"> (</w:t>
      </w:r>
      <w:r w:rsidR="00FB3F98">
        <w:t>despite not being reviewe</w:t>
      </w:r>
      <w:r w:rsidR="00F86E9E">
        <w:t>d)</w:t>
      </w:r>
      <w:r w:rsidR="00FB3F98">
        <w:t xml:space="preserve"> is well represented in the Latin Script repertoire </w:t>
      </w:r>
      <w:r w:rsidR="00942E77">
        <w:t>except for</w:t>
      </w:r>
      <w:r w:rsidR="00FB3F98">
        <w:t xml:space="preserve"> one letter</w:t>
      </w:r>
      <w:r w:rsidR="00A40A8F">
        <w:t xml:space="preserve"> (</w:t>
      </w:r>
      <w:r w:rsidR="00F86E9E">
        <w:t>‘a’</w:t>
      </w:r>
      <w:r w:rsidR="00A40A8F">
        <w:t xml:space="preserve"> with caron </w:t>
      </w:r>
      <w:r w:rsidR="00942E77">
        <w:t xml:space="preserve">which is </w:t>
      </w:r>
      <w:r w:rsidR="00A40A8F">
        <w:t>used to indicate tone</w:t>
      </w:r>
      <w:r w:rsidR="00F86E9E">
        <w:t xml:space="preserve">, </w:t>
      </w:r>
      <w:r w:rsidR="00942E77">
        <w:t xml:space="preserve">but </w:t>
      </w:r>
      <w:r w:rsidR="00F86E9E">
        <w:t>usage in writing is not</w:t>
      </w:r>
      <w:r w:rsidR="00942E77">
        <w:t xml:space="preserve"> conclusive</w:t>
      </w:r>
      <w:r w:rsidR="00A40A8F">
        <w:t>).</w:t>
      </w:r>
    </w:p>
    <w:p w14:paraId="15A82274" w14:textId="77777777" w:rsidR="00A47B7E" w:rsidRDefault="00A47B7E"/>
    <w:p w14:paraId="43BDEEA5" w14:textId="3E946D4F" w:rsidR="00942E77" w:rsidRDefault="00942E77">
      <w:pPr>
        <w:rPr>
          <w:rFonts w:cstheme="minorHAnsi"/>
        </w:rPr>
      </w:pPr>
      <w:r>
        <w:rPr>
          <w:rFonts w:cstheme="minorHAnsi"/>
        </w:rPr>
        <w:t xml:space="preserve">The proposal for a Latin Script </w:t>
      </w:r>
      <w:r w:rsidRPr="00942E77">
        <w:rPr>
          <w:rFonts w:cstheme="minorHAnsi"/>
        </w:rPr>
        <w:t>LGR</w:t>
      </w:r>
      <w:r w:rsidR="00196847">
        <w:rPr>
          <w:rFonts w:cstheme="minorHAnsi"/>
        </w:rPr>
        <w:t xml:space="preserve"> for the root zone</w:t>
      </w:r>
      <w:r w:rsidRPr="00942E77">
        <w:rPr>
          <w:rFonts w:cstheme="minorHAnsi"/>
        </w:rPr>
        <w:t xml:space="preserve"> is meant for mnemonics, not word</w:t>
      </w:r>
      <w:r w:rsidR="00196847">
        <w:rPr>
          <w:rFonts w:cstheme="minorHAnsi"/>
        </w:rPr>
        <w:t>s</w:t>
      </w:r>
      <w:r>
        <w:rPr>
          <w:rFonts w:cstheme="minorHAnsi"/>
        </w:rPr>
        <w:t>.</w:t>
      </w:r>
      <w:r w:rsidRPr="00942E77">
        <w:rPr>
          <w:rFonts w:cstheme="minorHAnsi"/>
        </w:rPr>
        <w:t xml:space="preserve"> Even if a language is listed, it does not mean all words from that language can be represented as a domain name in the DNS, quite the contrary. </w:t>
      </w:r>
      <w:r w:rsidR="00130DAC">
        <w:rPr>
          <w:rFonts w:cstheme="minorHAnsi"/>
        </w:rPr>
        <w:t>Also, adding more languages to the review cycle does not guarantee finding new letters to be incorporated in the LGR. To conclude, w</w:t>
      </w:r>
      <w:r w:rsidRPr="00942E77">
        <w:rPr>
          <w:rFonts w:cstheme="minorHAnsi"/>
        </w:rPr>
        <w:t xml:space="preserve">hile not all languages were reviewed individually, because of </w:t>
      </w:r>
      <w:r>
        <w:rPr>
          <w:rFonts w:cstheme="minorHAnsi"/>
        </w:rPr>
        <w:t xml:space="preserve">a </w:t>
      </w:r>
      <w:r w:rsidRPr="00942E77">
        <w:rPr>
          <w:rFonts w:cstheme="minorHAnsi"/>
        </w:rPr>
        <w:t xml:space="preserve">cost efficiency </w:t>
      </w:r>
      <w:r>
        <w:rPr>
          <w:rFonts w:cstheme="minorHAnsi"/>
        </w:rPr>
        <w:t>decision</w:t>
      </w:r>
      <w:r w:rsidR="00130DAC">
        <w:rPr>
          <w:rFonts w:cstheme="minorHAnsi"/>
        </w:rPr>
        <w:t xml:space="preserve"> </w:t>
      </w:r>
      <w:r w:rsidR="00130DAC" w:rsidRPr="00942E77">
        <w:rPr>
          <w:rFonts w:cstheme="minorHAnsi"/>
        </w:rPr>
        <w:t>(thousands of languages)</w:t>
      </w:r>
      <w:r w:rsidRPr="00942E77">
        <w:rPr>
          <w:rFonts w:cstheme="minorHAnsi"/>
        </w:rPr>
        <w:t>, the</w:t>
      </w:r>
      <w:r>
        <w:rPr>
          <w:rFonts w:cstheme="minorHAnsi"/>
        </w:rPr>
        <w:t xml:space="preserve"> Latin GP </w:t>
      </w:r>
      <w:r w:rsidR="00130DAC">
        <w:rPr>
          <w:rFonts w:cstheme="minorHAnsi"/>
        </w:rPr>
        <w:t>asserts</w:t>
      </w:r>
      <w:r>
        <w:rPr>
          <w:rFonts w:cstheme="minorHAnsi"/>
        </w:rPr>
        <w:t xml:space="preserve"> that the</w:t>
      </w:r>
      <w:r w:rsidRPr="00942E77">
        <w:rPr>
          <w:rFonts w:cstheme="minorHAnsi"/>
        </w:rPr>
        <w:t xml:space="preserve"> overlap among language</w:t>
      </w:r>
      <w:r>
        <w:rPr>
          <w:rFonts w:cstheme="minorHAnsi"/>
        </w:rPr>
        <w:t>’s al</w:t>
      </w:r>
      <w:r w:rsidR="006B2564">
        <w:rPr>
          <w:rFonts w:cstheme="minorHAnsi"/>
        </w:rPr>
        <w:t>phabets</w:t>
      </w:r>
      <w:r w:rsidRPr="00942E77">
        <w:rPr>
          <w:rFonts w:cstheme="minorHAnsi"/>
        </w:rPr>
        <w:t xml:space="preserve"> provide</w:t>
      </w:r>
      <w:r w:rsidR="00130DAC">
        <w:rPr>
          <w:rFonts w:cstheme="minorHAnsi"/>
        </w:rPr>
        <w:t>s</w:t>
      </w:r>
      <w:r w:rsidRPr="00942E77">
        <w:rPr>
          <w:rFonts w:cstheme="minorHAnsi"/>
        </w:rPr>
        <w:t xml:space="preserve"> </w:t>
      </w:r>
      <w:r w:rsidR="00A929A1">
        <w:rPr>
          <w:rFonts w:cstheme="minorHAnsi"/>
        </w:rPr>
        <w:t>reasonable</w:t>
      </w:r>
      <w:r w:rsidRPr="00942E77">
        <w:rPr>
          <w:rFonts w:cstheme="minorHAnsi"/>
        </w:rPr>
        <w:t xml:space="preserve"> coverage to all languages using the Latin script</w:t>
      </w:r>
      <w:r w:rsidR="00130DAC">
        <w:rPr>
          <w:rFonts w:cstheme="minorHAnsi"/>
        </w:rPr>
        <w:t xml:space="preserve"> in the selection of top-level labels.</w:t>
      </w:r>
    </w:p>
    <w:p w14:paraId="5F3257FF" w14:textId="2966CBD9" w:rsidR="00060B00" w:rsidRDefault="00060B00">
      <w:pPr>
        <w:rPr>
          <w:rFonts w:cstheme="minorHAnsi"/>
        </w:rPr>
      </w:pPr>
    </w:p>
    <w:p w14:paraId="67A7011F" w14:textId="7ADBDD84" w:rsidR="00060B00" w:rsidRPr="003C0117" w:rsidRDefault="00060B00">
      <w:pPr>
        <w:rPr>
          <w:rFonts w:cstheme="minorHAnsi"/>
          <w:b/>
          <w:bCs/>
        </w:rPr>
      </w:pPr>
      <w:r w:rsidRPr="003C0117">
        <w:rPr>
          <w:rFonts w:cstheme="minorHAnsi"/>
          <w:b/>
          <w:bCs/>
        </w:rPr>
        <w:t>Inclusion of Middle Dot (U+</w:t>
      </w:r>
      <w:r w:rsidR="004563CA" w:rsidRPr="003C0117">
        <w:rPr>
          <w:rFonts w:cstheme="minorHAnsi"/>
          <w:b/>
          <w:bCs/>
        </w:rPr>
        <w:t>00B7)</w:t>
      </w:r>
    </w:p>
    <w:p w14:paraId="5FCE1D84" w14:textId="014F47DE" w:rsidR="004563CA" w:rsidRDefault="004563CA">
      <w:pPr>
        <w:rPr>
          <w:rFonts w:cstheme="minorHAnsi"/>
        </w:rPr>
      </w:pPr>
    </w:p>
    <w:p w14:paraId="71CB545A" w14:textId="77777777" w:rsidR="003C0117" w:rsidRDefault="004563CA">
      <w:pPr>
        <w:rPr>
          <w:rFonts w:cstheme="minorHAnsi"/>
        </w:rPr>
      </w:pPr>
      <w:r>
        <w:rPr>
          <w:rFonts w:cstheme="minorHAnsi"/>
        </w:rPr>
        <w:t xml:space="preserve">The Latin GP studied the inclusion of this letter at the request of a member of the Catalan language community. The conclusion to exclude this letter in the repertoire was due to the principle that any code point with the Unicode property of CONTEXTO or CONTEXJ are prohibited for inclusion. The Middle Dot or U+00B7 has such property, thus prohibited from </w:t>
      </w:r>
      <w:r>
        <w:rPr>
          <w:rFonts w:cstheme="minorHAnsi"/>
        </w:rPr>
        <w:lastRenderedPageBreak/>
        <w:t xml:space="preserve">inclusion. For additional details please refer to section 5.4.1 (Other Excluded Letters) in the </w:t>
      </w:r>
      <w:r w:rsidR="003C0117">
        <w:rPr>
          <w:rFonts w:cstheme="minorHAnsi"/>
        </w:rPr>
        <w:t>proposal document.</w:t>
      </w:r>
    </w:p>
    <w:p w14:paraId="02BCF671" w14:textId="77777777" w:rsidR="003C0117" w:rsidRDefault="003C0117">
      <w:pPr>
        <w:rPr>
          <w:rFonts w:cstheme="minorHAnsi"/>
        </w:rPr>
      </w:pPr>
    </w:p>
    <w:p w14:paraId="7E1832A9" w14:textId="2A0609E8" w:rsidR="000929E5" w:rsidRPr="002E7283" w:rsidRDefault="000929E5">
      <w:pPr>
        <w:rPr>
          <w:rFonts w:cstheme="minorHAnsi"/>
          <w:b/>
          <w:bCs/>
        </w:rPr>
      </w:pPr>
      <w:r w:rsidRPr="002E7283">
        <w:rPr>
          <w:rFonts w:cstheme="minorHAnsi"/>
          <w:b/>
          <w:bCs/>
        </w:rPr>
        <w:t>List of Languages in Appendix B</w:t>
      </w:r>
    </w:p>
    <w:p w14:paraId="44B6E0DF" w14:textId="36DDB1D0" w:rsidR="000929E5" w:rsidRDefault="000929E5">
      <w:pPr>
        <w:rPr>
          <w:rFonts w:cstheme="minorHAnsi"/>
        </w:rPr>
      </w:pPr>
    </w:p>
    <w:p w14:paraId="71FB5A7E" w14:textId="62D2F837" w:rsidR="000929E5" w:rsidRDefault="000929E5">
      <w:pPr>
        <w:rPr>
          <w:rFonts w:cstheme="minorHAnsi"/>
        </w:rPr>
      </w:pPr>
      <w:r>
        <w:rPr>
          <w:rFonts w:cstheme="minorHAnsi"/>
        </w:rPr>
        <w:t>The list order by EGDIS scale is not a ranking</w:t>
      </w:r>
      <w:r w:rsidR="002E7283">
        <w:rPr>
          <w:rFonts w:cstheme="minorHAnsi"/>
        </w:rPr>
        <w:t xml:space="preserve"> system</w:t>
      </w:r>
      <w:r>
        <w:rPr>
          <w:rFonts w:cstheme="minorHAnsi"/>
        </w:rPr>
        <w:t xml:space="preserve"> of languages</w:t>
      </w:r>
      <w:r w:rsidR="002E7283">
        <w:rPr>
          <w:rFonts w:cstheme="minorHAnsi"/>
        </w:rPr>
        <w:t>, but the designation by the scale definition (e.g., 0-International, 1-National, 2- Provincial, etc.).</w:t>
      </w:r>
      <w:r>
        <w:rPr>
          <w:rFonts w:cstheme="minorHAnsi"/>
        </w:rPr>
        <w:t xml:space="preserve"> </w:t>
      </w:r>
      <w:r w:rsidR="002E7283">
        <w:rPr>
          <w:rFonts w:cstheme="minorHAnsi"/>
        </w:rPr>
        <w:t>Appendix B</w:t>
      </w:r>
      <w:r>
        <w:rPr>
          <w:rFonts w:cstheme="minorHAnsi"/>
        </w:rPr>
        <w:t xml:space="preserve"> simply reflects, for ease of reference</w:t>
      </w:r>
      <w:r w:rsidR="002E7283">
        <w:rPr>
          <w:rFonts w:cstheme="minorHAnsi"/>
        </w:rPr>
        <w:t>, the data points used by the panel in reviewing the alphabets. Languages in each group are listed in alphabetic order as well.</w:t>
      </w:r>
    </w:p>
    <w:p w14:paraId="54BB435C" w14:textId="77777777" w:rsidR="000929E5" w:rsidRDefault="000929E5">
      <w:pPr>
        <w:rPr>
          <w:rFonts w:cstheme="minorHAnsi"/>
        </w:rPr>
      </w:pPr>
    </w:p>
    <w:p w14:paraId="5984CD3D" w14:textId="015C8086" w:rsidR="004563CA" w:rsidRDefault="004563CA">
      <w:pPr>
        <w:rPr>
          <w:rFonts w:cstheme="minorHAnsi"/>
        </w:rPr>
      </w:pPr>
      <w:r>
        <w:rPr>
          <w:rFonts w:cstheme="minorHAnsi"/>
        </w:rPr>
        <w:t xml:space="preserve"> </w:t>
      </w:r>
    </w:p>
    <w:p w14:paraId="12DF2908" w14:textId="77777777" w:rsidR="00942E77" w:rsidRDefault="00942E77">
      <w:pPr>
        <w:rPr>
          <w:rFonts w:cstheme="minorHAnsi"/>
        </w:rPr>
      </w:pPr>
    </w:p>
    <w:p w14:paraId="16DB5263" w14:textId="0A246320" w:rsidR="005565BD" w:rsidRDefault="005565BD"/>
    <w:p w14:paraId="30FB84A3" w14:textId="77777777" w:rsidR="005B41F5" w:rsidRDefault="005B41F5"/>
    <w:p w14:paraId="170C5DE6" w14:textId="77777777" w:rsidR="005565BD" w:rsidRDefault="005565BD"/>
    <w:p w14:paraId="7EC1E846" w14:textId="6FF8BBBD" w:rsidR="004632DA" w:rsidRDefault="004632DA"/>
    <w:p w14:paraId="34473AAC" w14:textId="548779D2" w:rsidR="004632DA" w:rsidRDefault="004632DA"/>
    <w:sectPr w:rsidR="004632DA" w:rsidSect="00BF5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F8"/>
    <w:rsid w:val="00042865"/>
    <w:rsid w:val="00052AD2"/>
    <w:rsid w:val="00060B00"/>
    <w:rsid w:val="000929E5"/>
    <w:rsid w:val="00130DAC"/>
    <w:rsid w:val="00162B62"/>
    <w:rsid w:val="00186A3C"/>
    <w:rsid w:val="00196847"/>
    <w:rsid w:val="001A4DF3"/>
    <w:rsid w:val="002C5AC2"/>
    <w:rsid w:val="002E0FF6"/>
    <w:rsid w:val="002E7283"/>
    <w:rsid w:val="00305EF5"/>
    <w:rsid w:val="003C0117"/>
    <w:rsid w:val="00414C18"/>
    <w:rsid w:val="004563CA"/>
    <w:rsid w:val="004632DA"/>
    <w:rsid w:val="004B42BE"/>
    <w:rsid w:val="004C1ABE"/>
    <w:rsid w:val="00507F40"/>
    <w:rsid w:val="005565BD"/>
    <w:rsid w:val="005B41F5"/>
    <w:rsid w:val="00644F8F"/>
    <w:rsid w:val="006A3711"/>
    <w:rsid w:val="006B2564"/>
    <w:rsid w:val="006D327D"/>
    <w:rsid w:val="00741D93"/>
    <w:rsid w:val="0081742C"/>
    <w:rsid w:val="00942E77"/>
    <w:rsid w:val="009863A0"/>
    <w:rsid w:val="00A10FC2"/>
    <w:rsid w:val="00A40A8F"/>
    <w:rsid w:val="00A47B7E"/>
    <w:rsid w:val="00A929A1"/>
    <w:rsid w:val="00AF4CF5"/>
    <w:rsid w:val="00B114CD"/>
    <w:rsid w:val="00B13AF8"/>
    <w:rsid w:val="00BF5684"/>
    <w:rsid w:val="00C709BB"/>
    <w:rsid w:val="00CA6A62"/>
    <w:rsid w:val="00E4269A"/>
    <w:rsid w:val="00EB7896"/>
    <w:rsid w:val="00EC7DA6"/>
    <w:rsid w:val="00F86E9E"/>
    <w:rsid w:val="00FB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13F892"/>
  <w15:chartTrackingRefBased/>
  <w15:docId w15:val="{A735A0D1-996B-674B-A6E2-7CE34991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354156">
      <w:bodyDiv w:val="1"/>
      <w:marLeft w:val="0"/>
      <w:marRight w:val="0"/>
      <w:marTop w:val="0"/>
      <w:marBottom w:val="0"/>
      <w:divBdr>
        <w:top w:val="none" w:sz="0" w:space="0" w:color="auto"/>
        <w:left w:val="none" w:sz="0" w:space="0" w:color="auto"/>
        <w:bottom w:val="none" w:sz="0" w:space="0" w:color="auto"/>
        <w:right w:val="none" w:sz="0" w:space="0" w:color="auto"/>
      </w:divBdr>
    </w:div>
    <w:div w:id="19736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Tanaka, Dennis</dc:creator>
  <cp:keywords/>
  <dc:description/>
  <cp:lastModifiedBy>Tan Tanaka, Dennis</cp:lastModifiedBy>
  <cp:revision>14</cp:revision>
  <dcterms:created xsi:type="dcterms:W3CDTF">2021-12-03T14:53:00Z</dcterms:created>
  <dcterms:modified xsi:type="dcterms:W3CDTF">2021-12-03T21:30:00Z</dcterms:modified>
</cp:coreProperties>
</file>