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CEC" w:rsidRDefault="00674A34" w:rsidP="00E23C0E">
      <w:pPr>
        <w:pStyle w:val="Title"/>
      </w:pPr>
      <w:r>
        <w:t>IP</w:t>
      </w:r>
      <w:r w:rsidR="00E23C0E">
        <w:t xml:space="preserve"> </w:t>
      </w:r>
      <w:r>
        <w:t>feedback on Latin</w:t>
      </w:r>
      <w:r w:rsidR="00E23C0E">
        <w:t xml:space="preserve"> LGR </w:t>
      </w:r>
      <w:r w:rsidR="00234F18">
        <w:br/>
      </w:r>
      <w:r>
        <w:t>(</w:t>
      </w:r>
      <w:r w:rsidR="00234F18">
        <w:t>re</w:t>
      </w:r>
      <w:r>
        <w:t xml:space="preserve"> Proposal of 20180</w:t>
      </w:r>
      <w:r w:rsidR="00411104">
        <w:t>910</w:t>
      </w:r>
      <w:r>
        <w:t>)</w:t>
      </w:r>
    </w:p>
    <w:p w:rsidR="00E36C3F" w:rsidRDefault="00F2058E" w:rsidP="00E23C0E">
      <w:r>
        <w:t>DATE: 2018-0</w:t>
      </w:r>
      <w:r w:rsidR="00411104">
        <w:t>9</w:t>
      </w:r>
      <w:r>
        <w:t>-2</w:t>
      </w:r>
      <w:r w:rsidR="00411104">
        <w:t>4</w:t>
      </w:r>
    </w:p>
    <w:p w:rsidR="00E23C0E" w:rsidRDefault="00E23C0E" w:rsidP="00E23C0E">
      <w:pPr>
        <w:pStyle w:val="Heading1"/>
      </w:pPr>
      <w:r>
        <w:t>Overview</w:t>
      </w:r>
    </w:p>
    <w:p w:rsidR="005E5450" w:rsidRDefault="005E5450" w:rsidP="00E23C0E">
      <w:r>
        <w:t>This feedback document comments on the set of documents distributed with the Latin LGR proposal of 2018-09-10).</w:t>
      </w:r>
    </w:p>
    <w:p w:rsidR="00234F18" w:rsidRPr="005E5450" w:rsidRDefault="008203F6" w:rsidP="00E23C0E">
      <w:r>
        <w:t>1.</w:t>
      </w:r>
      <w:r>
        <w:tab/>
      </w:r>
      <w:r w:rsidR="009B7C09">
        <w:t>The Repertoire</w:t>
      </w:r>
      <w:r w:rsidR="00F2058E">
        <w:t xml:space="preserve"> </w:t>
      </w:r>
      <w:proofErr w:type="gramStart"/>
      <w:r w:rsidR="00152386">
        <w:t>has been updated</w:t>
      </w:r>
      <w:proofErr w:type="gramEnd"/>
      <w:r w:rsidR="00411104">
        <w:t xml:space="preserve"> from that dated 2018-05</w:t>
      </w:r>
      <w:r w:rsidR="00F2058E">
        <w:t>25</w:t>
      </w:r>
      <w:r w:rsidR="00152386">
        <w:t>, based on</w:t>
      </w:r>
      <w:r w:rsidR="009B7C09">
        <w:t xml:space="preserve"> discussion</w:t>
      </w:r>
      <w:r w:rsidR="00152386">
        <w:t xml:space="preserve"> with the IP. At this point, the IP has no specific further input on repertoire (except as noted below in comments on Section 5 and subsections)</w:t>
      </w:r>
      <w:r w:rsidR="0073486D">
        <w:t>.</w:t>
      </w:r>
      <w:r w:rsidR="0073486D">
        <w:rPr>
          <w:rFonts w:eastAsia="Times New Roman" w:cs="Times New Roman"/>
        </w:rPr>
        <w:t xml:space="preserve"> </w:t>
      </w:r>
      <w:r w:rsidR="00274CA9">
        <w:t xml:space="preserve"> </w:t>
      </w:r>
    </w:p>
    <w:p w:rsidR="00234F18" w:rsidRDefault="008203F6" w:rsidP="00E23C0E">
      <w:r>
        <w:t>2.</w:t>
      </w:r>
      <w:r>
        <w:tab/>
      </w:r>
      <w:r w:rsidR="00234F18">
        <w:t>In response</w:t>
      </w:r>
      <w:r w:rsidR="005A3B86">
        <w:t xml:space="preserve"> to a request from the Latin GP</w:t>
      </w:r>
      <w:r w:rsidR="00234F18">
        <w:t xml:space="preserve">, the IP attaches a paper with general considerations on the selection of code points to be variants. </w:t>
      </w:r>
    </w:p>
    <w:p w:rsidR="005E5450" w:rsidRDefault="00234F18" w:rsidP="009D2594">
      <w:pPr>
        <w:ind w:firstLine="720"/>
      </w:pPr>
      <w:r>
        <w:t>IP-Comments-Latin-Variants-02.docx</w:t>
      </w:r>
      <w:r w:rsidR="005E5450" w:rsidRPr="005E5450">
        <w:t xml:space="preserve"> </w:t>
      </w:r>
    </w:p>
    <w:p w:rsidR="00234F18" w:rsidRDefault="005E5450" w:rsidP="005E5450">
      <w:r>
        <w:t xml:space="preserve">The variants listed in the request are not part of the proposal and at this point entirely hypothetical. </w:t>
      </w:r>
      <w:r w:rsidRPr="00152386">
        <w:t xml:space="preserve">The IP will not attempt to adjudicate individual cases of </w:t>
      </w:r>
      <w:r>
        <w:t>hypothetical</w:t>
      </w:r>
      <w:r w:rsidRPr="00152386">
        <w:t xml:space="preserve"> Latin </w:t>
      </w:r>
      <w:r>
        <w:t>variants</w:t>
      </w:r>
      <w:r w:rsidRPr="00152386">
        <w:t xml:space="preserve">. The GP is free to make </w:t>
      </w:r>
      <w:r>
        <w:t>its own</w:t>
      </w:r>
      <w:r w:rsidRPr="00152386">
        <w:t xml:space="preserve"> decision</w:t>
      </w:r>
      <w:r>
        <w:t xml:space="preserve"> on variants</w:t>
      </w:r>
      <w:r w:rsidRPr="00152386">
        <w:t xml:space="preserve"> and if the rationale appears sound (and there are no other obstacles such as Root Zone consistency</w:t>
      </w:r>
      <w:r>
        <w:t xml:space="preserve"> or the </w:t>
      </w:r>
      <w:proofErr w:type="gramStart"/>
      <w:r>
        <w:t>Principles</w:t>
      </w:r>
      <w:r w:rsidRPr="00152386">
        <w:t>)</w:t>
      </w:r>
      <w:proofErr w:type="gramEnd"/>
      <w:r w:rsidRPr="00152386">
        <w:t xml:space="preserve"> the IP will sustain it</w:t>
      </w:r>
      <w:r>
        <w:t xml:space="preserve"> when reviewing the proposal. In the meantime, the Latin GP may find the attached general considerations helpful in selecting candidates or in formulating the rationale defending their selection (or in defending a position to forego defining certain types of variant).</w:t>
      </w:r>
    </w:p>
    <w:p w:rsidR="00234F18" w:rsidRDefault="008203F6" w:rsidP="00E23C0E">
      <w:r>
        <w:t>3.</w:t>
      </w:r>
      <w:r>
        <w:tab/>
      </w:r>
      <w:r w:rsidR="009D2594">
        <w:t>More specifically</w:t>
      </w:r>
      <w:r w:rsidR="00234F18">
        <w:t>, the IP attaches a paper with comments on particular sets of variants proposed by Latin GP, giving reasons to accept or to cast doubt</w:t>
      </w:r>
      <w:r w:rsidR="00FA74B1">
        <w:t xml:space="preserve"> on</w:t>
      </w:r>
      <w:r w:rsidR="00234F18">
        <w:t xml:space="preserve"> </w:t>
      </w:r>
      <w:r w:rsidR="009D2594">
        <w:t>the proposals.</w:t>
      </w:r>
      <w:r w:rsidR="00152386">
        <w:t xml:space="preserve"> </w:t>
      </w:r>
    </w:p>
    <w:p w:rsidR="009D2594" w:rsidRDefault="009D2594" w:rsidP="009D2594">
      <w:pPr>
        <w:ind w:firstLine="720"/>
      </w:pPr>
      <w:r>
        <w:t>IP-Review-Latin-Variants-0.3.docx</w:t>
      </w:r>
    </w:p>
    <w:p w:rsidR="009D2594" w:rsidRPr="005E5450" w:rsidRDefault="009D2594" w:rsidP="009D2594">
      <w:r>
        <w:t xml:space="preserve">Hence, specific variant sets </w:t>
      </w:r>
      <w:proofErr w:type="gramStart"/>
      <w:r>
        <w:t>are not discussed</w:t>
      </w:r>
      <w:proofErr w:type="gramEnd"/>
      <w:r>
        <w:t xml:space="preserve"> in this feedback document.</w:t>
      </w:r>
      <w:r w:rsidR="005A3B86" w:rsidRPr="005A3B86">
        <w:rPr>
          <w:rFonts w:ascii="Candara" w:eastAsia="Times New Roman" w:hAnsi="Candara" w:cs="Times New Roman"/>
        </w:rPr>
        <w:t xml:space="preserve"> </w:t>
      </w:r>
      <w:r w:rsidR="005A3B86" w:rsidRPr="005E5450">
        <w:t>Furthermore, IP has not listed</w:t>
      </w:r>
      <w:r w:rsidR="00152386" w:rsidRPr="005E5450">
        <w:t xml:space="preserve"> or commented on</w:t>
      </w:r>
      <w:r w:rsidR="005A3B86" w:rsidRPr="005E5450">
        <w:t xml:space="preserve"> any variant sets proposed by </w:t>
      </w:r>
      <w:r w:rsidR="00152386" w:rsidRPr="005E5450">
        <w:t xml:space="preserve">the Latin </w:t>
      </w:r>
      <w:r w:rsidR="005A3B86" w:rsidRPr="005E5450">
        <w:t>GP that entirely agree with</w:t>
      </w:r>
      <w:r w:rsidR="00152386" w:rsidRPr="005E5450">
        <w:t xml:space="preserve"> variant sets defined in</w:t>
      </w:r>
      <w:r w:rsidR="005A3B86" w:rsidRPr="005E5450">
        <w:t xml:space="preserve"> the </w:t>
      </w:r>
      <w:r w:rsidR="00152386" w:rsidRPr="005E5450">
        <w:t xml:space="preserve">existing </w:t>
      </w:r>
      <w:r w:rsidR="005A3B86" w:rsidRPr="005E5450">
        <w:t xml:space="preserve">deferred </w:t>
      </w:r>
      <w:proofErr w:type="spellStart"/>
      <w:r w:rsidR="005A3B86" w:rsidRPr="005E5450">
        <w:t>LGRs</w:t>
      </w:r>
      <w:proofErr w:type="spellEnd"/>
      <w:r w:rsidR="00152386" w:rsidRPr="005E5450">
        <w:t xml:space="preserve"> for Armenian and Cyrillic</w:t>
      </w:r>
      <w:r w:rsidR="005A3B86" w:rsidRPr="005E5450">
        <w:t>.</w:t>
      </w:r>
    </w:p>
    <w:p w:rsidR="008D68D6" w:rsidRDefault="008203F6" w:rsidP="008D68D6">
      <w:r>
        <w:t>4.</w:t>
      </w:r>
      <w:r>
        <w:tab/>
      </w:r>
      <w:r w:rsidR="00FA74B1">
        <w:t xml:space="preserve">The IP submits in this </w:t>
      </w:r>
      <w:r w:rsidR="005E5450">
        <w:t xml:space="preserve">feedback </w:t>
      </w:r>
      <w:r w:rsidR="00FA74B1">
        <w:t>document a set of comments on some specific issues.</w:t>
      </w:r>
      <w:r w:rsidR="008D68D6">
        <w:t xml:space="preserve"> The proposal document itself (.</w:t>
      </w:r>
      <w:proofErr w:type="spellStart"/>
      <w:r w:rsidR="008D68D6">
        <w:t>docx</w:t>
      </w:r>
      <w:proofErr w:type="spellEnd"/>
      <w:r w:rsidR="008D68D6">
        <w:t>) does not appear to require further mark-up from IP at present.</w:t>
      </w:r>
    </w:p>
    <w:p w:rsidR="0086586A" w:rsidRDefault="008203F6" w:rsidP="00E23C0E">
      <w:r>
        <w:t>5.</w:t>
      </w:r>
      <w:r>
        <w:tab/>
      </w:r>
      <w:r w:rsidR="00234F18">
        <w:t xml:space="preserve">In addition, the </w:t>
      </w:r>
      <w:r w:rsidR="00274CA9">
        <w:t>XML file</w:t>
      </w:r>
      <w:r w:rsidR="00F2058E">
        <w:t xml:space="preserve"> </w:t>
      </w:r>
      <w:r w:rsidR="00411104">
        <w:t>is now</w:t>
      </w:r>
      <w:r w:rsidR="00F2058E">
        <w:t xml:space="preserve"> considered</w:t>
      </w:r>
      <w:r w:rsidR="006053F3">
        <w:t xml:space="preserve"> explicitly</w:t>
      </w:r>
      <w:r w:rsidR="00F2058E">
        <w:t xml:space="preserve"> </w:t>
      </w:r>
      <w:r w:rsidR="00411104">
        <w:t>for the first time</w:t>
      </w:r>
      <w:r w:rsidR="00F2058E">
        <w:t>.</w:t>
      </w:r>
    </w:p>
    <w:p w:rsidR="006053F3" w:rsidRDefault="006053F3" w:rsidP="00E23C0E">
      <w:r>
        <w:t>6.</w:t>
      </w:r>
      <w:r>
        <w:tab/>
        <w:t>There is no file of test labels.</w:t>
      </w:r>
    </w:p>
    <w:p w:rsidR="00E23C0E" w:rsidRDefault="00E23C0E" w:rsidP="00E23C0E">
      <w:pPr>
        <w:pStyle w:val="Heading1"/>
      </w:pPr>
      <w:r>
        <w:t>Conclusion</w:t>
      </w:r>
    </w:p>
    <w:p w:rsidR="00CE0DB2" w:rsidRDefault="00CE0DB2" w:rsidP="00E23C0E">
      <w:r>
        <w:t xml:space="preserve">The IP notes extensive areas that remain work in progress. </w:t>
      </w:r>
      <w:r>
        <w:br/>
      </w:r>
      <w:r>
        <w:br/>
        <w:t>The repertoire appears to be taking shape nicely, and the cross-script variants proposed, while in need of refinement, constitute a solid starting point.</w:t>
      </w:r>
    </w:p>
    <w:p w:rsidR="00CE0DB2" w:rsidRDefault="00CE0DB2" w:rsidP="00E23C0E">
      <w:r>
        <w:t>The question of in-script variants requires some principled decisions by the GP; the IP will be available for additional discussion during the ICANN63 meeting, if the Latin GP should find that helpful.</w:t>
      </w:r>
    </w:p>
    <w:p w:rsidR="00CE0DB2" w:rsidRDefault="00CE0DB2" w:rsidP="00E23C0E">
      <w:r>
        <w:t>A test file is missing.</w:t>
      </w:r>
    </w:p>
    <w:p w:rsidR="00CE0DB2" w:rsidRDefault="00CE0DB2" w:rsidP="00E23C0E">
      <w:r>
        <w:t>The IP is looking forward to an updated draft addressing these issues and the comments raised herein or the attached documents.</w:t>
      </w:r>
    </w:p>
    <w:p w:rsidR="008616D4" w:rsidRDefault="008616D4" w:rsidP="008616D4">
      <w:pPr>
        <w:pStyle w:val="Heading1"/>
      </w:pPr>
      <w:r>
        <w:t>Comments on main document (.</w:t>
      </w:r>
      <w:proofErr w:type="spellStart"/>
      <w:r>
        <w:t>docx</w:t>
      </w:r>
      <w:proofErr w:type="spellEnd"/>
      <w:r>
        <w:t>)</w:t>
      </w:r>
    </w:p>
    <w:p w:rsidR="008616D4" w:rsidRDefault="008616D4" w:rsidP="008616D4"/>
    <w:tbl>
      <w:tblPr>
        <w:tblStyle w:val="TableGrid"/>
        <w:tblW w:w="0" w:type="auto"/>
        <w:tblLook w:val="04A0"/>
      </w:tblPr>
      <w:tblGrid>
        <w:gridCol w:w="754"/>
        <w:gridCol w:w="5353"/>
        <w:gridCol w:w="2409"/>
      </w:tblGrid>
      <w:tr w:rsidR="008616D4" w:rsidRPr="005D0DFC" w:rsidTr="00652AF3">
        <w:tc>
          <w:tcPr>
            <w:tcW w:w="754" w:type="dxa"/>
          </w:tcPr>
          <w:p w:rsidR="008616D4" w:rsidRPr="005D0DFC" w:rsidRDefault="008616D4" w:rsidP="00AE239B">
            <w:pPr>
              <w:rPr>
                <w:b/>
              </w:rPr>
            </w:pPr>
            <w:r w:rsidRPr="005D0DFC">
              <w:rPr>
                <w:b/>
              </w:rPr>
              <w:t>Item</w:t>
            </w:r>
          </w:p>
        </w:tc>
        <w:tc>
          <w:tcPr>
            <w:tcW w:w="5353" w:type="dxa"/>
          </w:tcPr>
          <w:p w:rsidR="008616D4" w:rsidRPr="005D0DFC" w:rsidRDefault="008616D4" w:rsidP="00AE239B">
            <w:pPr>
              <w:rPr>
                <w:b/>
              </w:rPr>
            </w:pPr>
            <w:r w:rsidRPr="005D0DFC">
              <w:rPr>
                <w:b/>
              </w:rPr>
              <w:t>Issue</w:t>
            </w:r>
          </w:p>
        </w:tc>
        <w:tc>
          <w:tcPr>
            <w:tcW w:w="2409" w:type="dxa"/>
          </w:tcPr>
          <w:p w:rsidR="008616D4" w:rsidRPr="005D0DFC" w:rsidRDefault="008616D4" w:rsidP="00AE239B">
            <w:pPr>
              <w:rPr>
                <w:b/>
              </w:rPr>
            </w:pPr>
            <w:r w:rsidRPr="005D0DFC">
              <w:rPr>
                <w:b/>
              </w:rPr>
              <w:t>IP Comment</w:t>
            </w:r>
          </w:p>
        </w:tc>
      </w:tr>
      <w:tr w:rsidR="00652AF3" w:rsidRPr="00E23C0E" w:rsidTr="00652AF3">
        <w:tc>
          <w:tcPr>
            <w:tcW w:w="754" w:type="dxa"/>
          </w:tcPr>
          <w:p w:rsidR="00652AF3" w:rsidRDefault="00652AF3" w:rsidP="00AE239B"/>
        </w:tc>
        <w:tc>
          <w:tcPr>
            <w:tcW w:w="5353" w:type="dxa"/>
          </w:tcPr>
          <w:p w:rsidR="00652AF3" w:rsidRPr="00C0685B" w:rsidRDefault="00C71767" w:rsidP="008C7705">
            <w:pPr>
              <w:rPr>
                <w:rFonts w:ascii="Calibri" w:eastAsia="Calibri" w:hAnsi="Calibri" w:cs="Calibri"/>
                <w:sz w:val="20"/>
                <w:szCs w:val="20"/>
              </w:rPr>
            </w:pPr>
            <w:r w:rsidRPr="00C0685B">
              <w:rPr>
                <w:rFonts w:eastAsia="Times New Roman" w:cs="Times New Roman"/>
                <w:sz w:val="20"/>
                <w:szCs w:val="20"/>
              </w:rPr>
              <w:t xml:space="preserve">The IP thanks the GP for its response to its queries on repertoire proposed in </w:t>
            </w:r>
            <w:r w:rsidRPr="00C0685B">
              <w:rPr>
                <w:rFonts w:ascii="Calibri" w:eastAsia="Calibri" w:hAnsi="Calibri" w:cs="Calibri"/>
                <w:sz w:val="20"/>
                <w:szCs w:val="20"/>
              </w:rPr>
              <w:t>May 25</w:t>
            </w:r>
            <w:r w:rsidRPr="00C0685B">
              <w:rPr>
                <w:rFonts w:ascii="Calibri" w:eastAsia="Calibri" w:hAnsi="Calibri" w:cs="Calibri"/>
                <w:sz w:val="20"/>
                <w:szCs w:val="20"/>
                <w:vertAlign w:val="superscript"/>
              </w:rPr>
              <w:t>th</w:t>
            </w:r>
            <w:r w:rsidRPr="00C0685B">
              <w:rPr>
                <w:rFonts w:ascii="Calibri" w:eastAsia="Calibri" w:hAnsi="Calibri" w:cs="Calibri"/>
                <w:sz w:val="20"/>
                <w:szCs w:val="20"/>
              </w:rPr>
              <w:t>, 2018.</w:t>
            </w:r>
          </w:p>
          <w:p w:rsidR="00C71767" w:rsidRPr="00C0685B" w:rsidRDefault="00C71767" w:rsidP="008C7705">
            <w:pPr>
              <w:rPr>
                <w:rFonts w:eastAsia="Times New Roman" w:cs="Times New Roman"/>
                <w:sz w:val="20"/>
                <w:szCs w:val="20"/>
              </w:rPr>
            </w:pPr>
            <w:r w:rsidRPr="00C0685B">
              <w:rPr>
                <w:rFonts w:ascii="Calibri" w:eastAsia="Calibri" w:hAnsi="Calibri" w:cs="Calibri"/>
                <w:sz w:val="20"/>
                <w:szCs w:val="20"/>
              </w:rPr>
              <w:t>2018-09-10-GPResponse –to-IP-comments-onFirstReport.docx</w:t>
            </w:r>
          </w:p>
        </w:tc>
        <w:tc>
          <w:tcPr>
            <w:tcW w:w="2409" w:type="dxa"/>
          </w:tcPr>
          <w:p w:rsidR="00C71767" w:rsidRPr="0073486D" w:rsidRDefault="00C71767" w:rsidP="00C71767">
            <w:pPr>
              <w:rPr>
                <w:rFonts w:eastAsia="Times New Roman" w:cs="Times New Roman"/>
              </w:rPr>
            </w:pPr>
            <w:r>
              <w:rPr>
                <w:rFonts w:eastAsia="Times New Roman" w:cs="Times New Roman"/>
              </w:rPr>
              <w:t>In general, the level of evidence offered in individual cases appears adequate.</w:t>
            </w:r>
          </w:p>
          <w:p w:rsidR="00652AF3" w:rsidRDefault="00652AF3" w:rsidP="00652AF3">
            <w:pPr>
              <w:rPr>
                <w:rFonts w:eastAsia="Times New Roman" w:cs="Times New Roman"/>
                <w:sz w:val="22"/>
                <w:szCs w:val="22"/>
              </w:rPr>
            </w:pPr>
          </w:p>
        </w:tc>
      </w:tr>
      <w:tr w:rsidR="007C02D2" w:rsidRPr="00E23C0E" w:rsidTr="00652AF3">
        <w:tc>
          <w:tcPr>
            <w:tcW w:w="754" w:type="dxa"/>
          </w:tcPr>
          <w:p w:rsidR="007C02D2" w:rsidRDefault="007C02D2" w:rsidP="00AE239B">
            <w:pPr>
              <w:rPr>
                <w:lang w:val="de-DE"/>
              </w:rPr>
            </w:pPr>
            <w:r w:rsidRPr="007C02D2">
              <w:rPr>
                <w:lang w:val="de-DE"/>
              </w:rPr>
              <w:t>§</w:t>
            </w:r>
            <w:r>
              <w:rPr>
                <w:lang w:val="en-US"/>
              </w:rPr>
              <w:t>2.</w:t>
            </w:r>
          </w:p>
        </w:tc>
        <w:tc>
          <w:tcPr>
            <w:tcW w:w="5353" w:type="dxa"/>
          </w:tcPr>
          <w:p w:rsidR="007C02D2" w:rsidRPr="00C0685B" w:rsidRDefault="007C02D2" w:rsidP="007C02D2">
            <w:pPr>
              <w:jc w:val="both"/>
              <w:rPr>
                <w:rFonts w:eastAsia="Times New Roman" w:cs="Times New Roman"/>
                <w:sz w:val="20"/>
                <w:szCs w:val="20"/>
              </w:rPr>
            </w:pPr>
            <w:r w:rsidRPr="00C0685B">
              <w:rPr>
                <w:rFonts w:eastAsia="Times New Roman" w:cs="Times New Roman"/>
                <w:sz w:val="20"/>
                <w:szCs w:val="20"/>
              </w:rPr>
              <w:t>“</w:t>
            </w:r>
            <w:proofErr w:type="gramStart"/>
            <w:r w:rsidRPr="00C0685B">
              <w:rPr>
                <w:sz w:val="20"/>
                <w:szCs w:val="20"/>
              </w:rPr>
              <w:t>only</w:t>
            </w:r>
            <w:proofErr w:type="gramEnd"/>
            <w:r w:rsidRPr="00C0685B">
              <w:rPr>
                <w:sz w:val="20"/>
                <w:szCs w:val="20"/>
              </w:rPr>
              <w:t xml:space="preserve"> code points included in Maximal Starting Repertoire, Second Version (Referred to simply as [MSR-2] in the following) were considered.</w:t>
            </w:r>
            <w:r w:rsidRPr="00C0685B">
              <w:rPr>
                <w:rFonts w:eastAsia="Times New Roman" w:cs="Times New Roman"/>
                <w:sz w:val="20"/>
                <w:szCs w:val="20"/>
              </w:rPr>
              <w:t>”</w:t>
            </w:r>
          </w:p>
          <w:p w:rsidR="007C02D2" w:rsidRPr="00C0685B" w:rsidRDefault="007C02D2" w:rsidP="007C02D2">
            <w:pPr>
              <w:jc w:val="both"/>
              <w:rPr>
                <w:rFonts w:eastAsia="Times New Roman" w:cs="Times New Roman"/>
                <w:sz w:val="20"/>
                <w:szCs w:val="20"/>
              </w:rPr>
            </w:pPr>
          </w:p>
          <w:p w:rsidR="007C02D2" w:rsidRPr="00C0685B" w:rsidRDefault="007C02D2" w:rsidP="007C02D2">
            <w:pPr>
              <w:jc w:val="both"/>
              <w:rPr>
                <w:rFonts w:eastAsia="Times New Roman" w:cs="Times New Roman"/>
                <w:sz w:val="20"/>
                <w:szCs w:val="20"/>
              </w:rPr>
            </w:pPr>
            <w:r w:rsidRPr="00C0685B">
              <w:rPr>
                <w:rFonts w:eastAsia="Times New Roman" w:cs="Times New Roman"/>
                <w:sz w:val="20"/>
                <w:szCs w:val="20"/>
              </w:rPr>
              <w:t xml:space="preserve">This sentence needs to </w:t>
            </w:r>
            <w:proofErr w:type="gramStart"/>
            <w:r w:rsidRPr="00C0685B">
              <w:rPr>
                <w:rFonts w:eastAsia="Times New Roman" w:cs="Times New Roman"/>
                <w:sz w:val="20"/>
                <w:szCs w:val="20"/>
              </w:rPr>
              <w:t>be updated</w:t>
            </w:r>
            <w:proofErr w:type="gramEnd"/>
            <w:r w:rsidRPr="00C0685B">
              <w:rPr>
                <w:rFonts w:eastAsia="Times New Roman" w:cs="Times New Roman"/>
                <w:sz w:val="20"/>
                <w:szCs w:val="20"/>
              </w:rPr>
              <w:t xml:space="preserve"> to [MSR-3] (as the current work is based on MSR-3). </w:t>
            </w:r>
            <w:proofErr w:type="gramStart"/>
            <w:r w:rsidRPr="00C0685B">
              <w:rPr>
                <w:rFonts w:eastAsia="Times New Roman" w:cs="Times New Roman"/>
                <w:sz w:val="20"/>
                <w:szCs w:val="20"/>
              </w:rPr>
              <w:t>Also</w:t>
            </w:r>
            <w:proofErr w:type="gramEnd"/>
            <w:r w:rsidRPr="00C0685B">
              <w:rPr>
                <w:rFonts w:eastAsia="Times New Roman" w:cs="Times New Roman"/>
                <w:sz w:val="20"/>
                <w:szCs w:val="20"/>
              </w:rPr>
              <w:t>, [MSR-3] is used like a citation; a matching reference for [MSR-3] should be supplied in the References section.</w:t>
            </w:r>
          </w:p>
        </w:tc>
        <w:tc>
          <w:tcPr>
            <w:tcW w:w="2409" w:type="dxa"/>
          </w:tcPr>
          <w:p w:rsidR="007C02D2" w:rsidRDefault="007C02D2" w:rsidP="00C71767">
            <w:pPr>
              <w:rPr>
                <w:rFonts w:eastAsia="Times New Roman" w:cs="Times New Roman"/>
              </w:rPr>
            </w:pPr>
            <w:r>
              <w:rPr>
                <w:rFonts w:eastAsia="Times New Roman" w:cs="Times New Roman"/>
              </w:rPr>
              <w:t>Please update and provide a reference for [MSR-3]</w:t>
            </w:r>
          </w:p>
        </w:tc>
      </w:tr>
      <w:tr w:rsidR="00F62046" w:rsidRPr="00E23C0E" w:rsidTr="00652AF3">
        <w:tc>
          <w:tcPr>
            <w:tcW w:w="754" w:type="dxa"/>
          </w:tcPr>
          <w:p w:rsidR="00F62046" w:rsidRPr="00F62046" w:rsidRDefault="00F62046" w:rsidP="00AE239B">
            <w:pPr>
              <w:rPr>
                <w:lang w:val="en-US"/>
              </w:rPr>
            </w:pPr>
            <w:r>
              <w:rPr>
                <w:lang w:val="de-DE"/>
              </w:rPr>
              <w:t>§</w:t>
            </w:r>
            <w:r>
              <w:rPr>
                <w:lang w:val="en-US"/>
              </w:rPr>
              <w:t>5.3</w:t>
            </w:r>
          </w:p>
        </w:tc>
        <w:tc>
          <w:tcPr>
            <w:tcW w:w="5353" w:type="dxa"/>
          </w:tcPr>
          <w:p w:rsidR="00F62046" w:rsidRPr="00C0685B" w:rsidRDefault="00F62046" w:rsidP="008C7705">
            <w:pPr>
              <w:rPr>
                <w:rFonts w:eastAsia="Times New Roman" w:cs="Times New Roman"/>
                <w:sz w:val="20"/>
                <w:szCs w:val="20"/>
              </w:rPr>
            </w:pPr>
            <w:r w:rsidRPr="00C0685B">
              <w:rPr>
                <w:rFonts w:eastAsia="Times New Roman" w:cs="Times New Roman"/>
                <w:sz w:val="20"/>
                <w:szCs w:val="20"/>
              </w:rPr>
              <w:t>“</w:t>
            </w:r>
            <w:r w:rsidRPr="00C0685B">
              <w:rPr>
                <w:rFonts w:ascii="Calibri" w:eastAsia="Calibri" w:hAnsi="Calibri" w:cs="Calibri"/>
                <w:sz w:val="20"/>
                <w:szCs w:val="20"/>
              </w:rPr>
              <w:t xml:space="preserve">The table below lists the code points </w:t>
            </w:r>
            <w:r w:rsidRPr="00C0685B">
              <w:rPr>
                <w:rFonts w:ascii="Calibri" w:eastAsia="Calibri" w:hAnsi="Calibri" w:cs="Calibri"/>
                <w:b/>
                <w:bCs/>
                <w:sz w:val="20"/>
                <w:szCs w:val="20"/>
              </w:rPr>
              <w:t>recommended</w:t>
            </w:r>
            <w:r w:rsidRPr="00C0685B">
              <w:rPr>
                <w:rFonts w:ascii="Calibri" w:eastAsia="Calibri" w:hAnsi="Calibri" w:cs="Calibri"/>
                <w:sz w:val="20"/>
                <w:szCs w:val="20"/>
              </w:rPr>
              <w:t xml:space="preserve"> for inclusion …</w:t>
            </w:r>
            <w:r w:rsidRPr="00C0685B">
              <w:rPr>
                <w:rFonts w:eastAsia="Times New Roman" w:cs="Times New Roman"/>
                <w:sz w:val="20"/>
                <w:szCs w:val="20"/>
              </w:rPr>
              <w:t>”</w:t>
            </w:r>
          </w:p>
          <w:p w:rsidR="00F62046" w:rsidRPr="00C0685B" w:rsidRDefault="00F62046" w:rsidP="008C7705">
            <w:pPr>
              <w:rPr>
                <w:rFonts w:eastAsia="Times New Roman" w:cs="Times New Roman"/>
                <w:sz w:val="20"/>
                <w:szCs w:val="20"/>
              </w:rPr>
            </w:pPr>
            <w:r w:rsidRPr="00C0685B">
              <w:rPr>
                <w:rFonts w:eastAsia="Times New Roman" w:cs="Times New Roman"/>
                <w:sz w:val="20"/>
                <w:szCs w:val="20"/>
              </w:rPr>
              <w:t xml:space="preserve">Perhaps this should better </w:t>
            </w:r>
            <w:proofErr w:type="gramStart"/>
            <w:r w:rsidRPr="00C0685B">
              <w:rPr>
                <w:rFonts w:eastAsia="Times New Roman" w:cs="Times New Roman"/>
                <w:sz w:val="20"/>
                <w:szCs w:val="20"/>
              </w:rPr>
              <w:t>read</w:t>
            </w:r>
            <w:proofErr w:type="gramEnd"/>
            <w:r w:rsidRPr="00C0685B">
              <w:rPr>
                <w:rFonts w:eastAsia="Times New Roman" w:cs="Times New Roman"/>
                <w:sz w:val="20"/>
                <w:szCs w:val="20"/>
              </w:rPr>
              <w:t xml:space="preserve"> “proposed”, given that the GP is creating a proposal and not a recommendation.</w:t>
            </w:r>
          </w:p>
          <w:p w:rsidR="00B76A0D" w:rsidRPr="00C0685B" w:rsidRDefault="00B76A0D" w:rsidP="008C7705">
            <w:pPr>
              <w:rPr>
                <w:rFonts w:eastAsia="Times New Roman" w:cs="Times New Roman"/>
                <w:sz w:val="20"/>
                <w:szCs w:val="20"/>
              </w:rPr>
            </w:pPr>
          </w:p>
        </w:tc>
        <w:tc>
          <w:tcPr>
            <w:tcW w:w="2409" w:type="dxa"/>
          </w:tcPr>
          <w:p w:rsidR="00F62046" w:rsidRDefault="00F62046" w:rsidP="00C71767">
            <w:pPr>
              <w:rPr>
                <w:rFonts w:eastAsia="Times New Roman" w:cs="Times New Roman"/>
              </w:rPr>
            </w:pPr>
            <w:r>
              <w:rPr>
                <w:rFonts w:eastAsia="Times New Roman" w:cs="Times New Roman"/>
              </w:rPr>
              <w:t>Consider revising this and any similar text elsewhere in the document.</w:t>
            </w:r>
          </w:p>
        </w:tc>
      </w:tr>
      <w:tr w:rsidR="00B76A0D" w:rsidRPr="00E23C0E" w:rsidTr="00652AF3">
        <w:tc>
          <w:tcPr>
            <w:tcW w:w="754" w:type="dxa"/>
          </w:tcPr>
          <w:p w:rsidR="00B76A0D" w:rsidRDefault="00B76A0D" w:rsidP="00AE239B">
            <w:pPr>
              <w:rPr>
                <w:lang w:val="de-DE"/>
              </w:rPr>
            </w:pPr>
          </w:p>
        </w:tc>
        <w:tc>
          <w:tcPr>
            <w:tcW w:w="5353" w:type="dxa"/>
          </w:tcPr>
          <w:p w:rsidR="00B76A0D" w:rsidRPr="00C0685B" w:rsidRDefault="00B76A0D" w:rsidP="008C7705">
            <w:pPr>
              <w:rPr>
                <w:rFonts w:eastAsia="Times New Roman" w:cs="Times New Roman"/>
                <w:sz w:val="20"/>
                <w:szCs w:val="20"/>
              </w:rPr>
            </w:pPr>
            <w:r w:rsidRPr="00C0685B">
              <w:rPr>
                <w:rFonts w:eastAsia="Times New Roman" w:cs="Times New Roman"/>
                <w:sz w:val="20"/>
                <w:szCs w:val="20"/>
              </w:rPr>
              <w:t xml:space="preserve">In the </w:t>
            </w:r>
            <w:proofErr w:type="gramStart"/>
            <w:r w:rsidRPr="00C0685B">
              <w:rPr>
                <w:rFonts w:eastAsia="Times New Roman" w:cs="Times New Roman"/>
                <w:sz w:val="20"/>
                <w:szCs w:val="20"/>
              </w:rPr>
              <w:t>table</w:t>
            </w:r>
            <w:proofErr w:type="gramEnd"/>
            <w:r w:rsidRPr="00C0685B">
              <w:rPr>
                <w:rFonts w:eastAsia="Times New Roman" w:cs="Times New Roman"/>
                <w:sz w:val="20"/>
                <w:szCs w:val="20"/>
              </w:rPr>
              <w:t xml:space="preserve"> there are two cells where the serial number is shaded in gray for no reason that IP can discern. (177 and 179 for code points U+1EA7 and U+1EAB used for Vietnamese)</w:t>
            </w:r>
          </w:p>
        </w:tc>
        <w:tc>
          <w:tcPr>
            <w:tcW w:w="2409" w:type="dxa"/>
          </w:tcPr>
          <w:p w:rsidR="00B76A0D" w:rsidRDefault="00B76A0D" w:rsidP="00C71767">
            <w:pPr>
              <w:rPr>
                <w:rFonts w:eastAsia="Times New Roman" w:cs="Times New Roman"/>
              </w:rPr>
            </w:pPr>
            <w:r>
              <w:rPr>
                <w:rFonts w:eastAsia="Times New Roman" w:cs="Times New Roman"/>
              </w:rPr>
              <w:t xml:space="preserve">Please either provide an explanation </w:t>
            </w:r>
            <w:proofErr w:type="gramStart"/>
            <w:r>
              <w:rPr>
                <w:rFonts w:eastAsia="Times New Roman" w:cs="Times New Roman"/>
              </w:rPr>
              <w:t>or  remove</w:t>
            </w:r>
            <w:proofErr w:type="gramEnd"/>
            <w:r>
              <w:rPr>
                <w:rFonts w:eastAsia="Times New Roman" w:cs="Times New Roman"/>
              </w:rPr>
              <w:t xml:space="preserve"> shading.</w:t>
            </w:r>
          </w:p>
        </w:tc>
      </w:tr>
      <w:tr w:rsidR="00BC4163" w:rsidRPr="00E23C0E" w:rsidTr="00652AF3">
        <w:tc>
          <w:tcPr>
            <w:tcW w:w="754" w:type="dxa"/>
          </w:tcPr>
          <w:p w:rsidR="00BC4163" w:rsidRDefault="00BC4163" w:rsidP="00AE239B">
            <w:pPr>
              <w:rPr>
                <w:lang w:val="de-DE"/>
              </w:rPr>
            </w:pPr>
          </w:p>
        </w:tc>
        <w:tc>
          <w:tcPr>
            <w:tcW w:w="5353" w:type="dxa"/>
          </w:tcPr>
          <w:p w:rsidR="00BC4163" w:rsidRPr="00C0685B" w:rsidRDefault="00BC4163" w:rsidP="008C7705">
            <w:pPr>
              <w:rPr>
                <w:rFonts w:eastAsia="Times New Roman" w:cs="Times New Roman"/>
                <w:sz w:val="20"/>
                <w:szCs w:val="20"/>
              </w:rPr>
            </w:pPr>
            <w:r w:rsidRPr="00C0685B">
              <w:rPr>
                <w:rFonts w:eastAsia="Times New Roman" w:cs="Times New Roman"/>
                <w:sz w:val="20"/>
                <w:szCs w:val="20"/>
              </w:rPr>
              <w:t xml:space="preserve">The language references provided for the code points appear to </w:t>
            </w:r>
            <w:proofErr w:type="gramStart"/>
            <w:r w:rsidRPr="00C0685B">
              <w:rPr>
                <w:rFonts w:eastAsia="Times New Roman" w:cs="Times New Roman"/>
                <w:sz w:val="20"/>
                <w:szCs w:val="20"/>
              </w:rPr>
              <w:t>be intended</w:t>
            </w:r>
            <w:proofErr w:type="gramEnd"/>
            <w:r w:rsidRPr="00C0685B">
              <w:rPr>
                <w:rFonts w:eastAsia="Times New Roman" w:cs="Times New Roman"/>
                <w:sz w:val="20"/>
                <w:szCs w:val="20"/>
              </w:rPr>
              <w:t xml:space="preserve"> to be exhaustive rather than focusing on a single “index” language. </w:t>
            </w:r>
          </w:p>
          <w:p w:rsidR="00BC4163" w:rsidRPr="00C0685B" w:rsidRDefault="00BC4163" w:rsidP="008C7705">
            <w:pPr>
              <w:rPr>
                <w:rFonts w:eastAsia="Times New Roman" w:cs="Times New Roman"/>
                <w:sz w:val="20"/>
                <w:szCs w:val="20"/>
              </w:rPr>
            </w:pPr>
            <w:r w:rsidRPr="00C0685B">
              <w:rPr>
                <w:rFonts w:eastAsia="Times New Roman" w:cs="Times New Roman"/>
                <w:sz w:val="20"/>
                <w:szCs w:val="20"/>
              </w:rPr>
              <w:t>If that is the case, the references appear to be incomplete, for example:</w:t>
            </w:r>
          </w:p>
          <w:p w:rsidR="00BC4163" w:rsidRPr="00C0685B" w:rsidRDefault="00BC4163" w:rsidP="00BC4163">
            <w:pPr>
              <w:rPr>
                <w:rFonts w:eastAsia="Times New Roman" w:cs="Times New Roman"/>
                <w:sz w:val="20"/>
                <w:szCs w:val="20"/>
              </w:rPr>
            </w:pPr>
            <w:r w:rsidRPr="00C0685B">
              <w:rPr>
                <w:rFonts w:eastAsia="Times New Roman" w:cs="Times New Roman"/>
                <w:sz w:val="20"/>
                <w:szCs w:val="20"/>
              </w:rPr>
              <w:t xml:space="preserve">(a) A GRAVE (item 39) or U GRAVE (item 63) </w:t>
            </w:r>
            <w:proofErr w:type="gramStart"/>
            <w:r w:rsidRPr="00C0685B">
              <w:rPr>
                <w:rFonts w:eastAsia="Times New Roman" w:cs="Times New Roman"/>
                <w:sz w:val="20"/>
                <w:szCs w:val="20"/>
              </w:rPr>
              <w:t>are</w:t>
            </w:r>
            <w:proofErr w:type="gramEnd"/>
            <w:r w:rsidRPr="00C0685B">
              <w:rPr>
                <w:rFonts w:eastAsia="Times New Roman" w:cs="Times New Roman"/>
                <w:sz w:val="20"/>
                <w:szCs w:val="20"/>
              </w:rPr>
              <w:t xml:space="preserve"> used in French.</w:t>
            </w:r>
          </w:p>
          <w:p w:rsidR="00BC4163" w:rsidRPr="00C0685B" w:rsidRDefault="00BC4163" w:rsidP="00BC4163">
            <w:pPr>
              <w:rPr>
                <w:rFonts w:eastAsia="Times New Roman" w:cs="Times New Roman"/>
                <w:sz w:val="20"/>
                <w:szCs w:val="20"/>
              </w:rPr>
            </w:pPr>
            <w:r w:rsidRPr="00C0685B">
              <w:rPr>
                <w:rFonts w:eastAsia="Times New Roman" w:cs="Times New Roman"/>
                <w:sz w:val="20"/>
                <w:szCs w:val="20"/>
              </w:rPr>
              <w:t xml:space="preserve">(b) </w:t>
            </w:r>
            <w:proofErr w:type="gramStart"/>
            <w:r w:rsidRPr="00C0685B">
              <w:rPr>
                <w:rFonts w:eastAsia="Times New Roman" w:cs="Times New Roman"/>
                <w:sz w:val="20"/>
                <w:szCs w:val="20"/>
              </w:rPr>
              <w:t>serial</w:t>
            </w:r>
            <w:proofErr w:type="gramEnd"/>
            <w:r w:rsidRPr="00C0685B">
              <w:rPr>
                <w:rFonts w:eastAsia="Times New Roman" w:cs="Times New Roman"/>
                <w:sz w:val="20"/>
                <w:szCs w:val="20"/>
              </w:rPr>
              <w:t xml:space="preserve"> items 143, 144 and 145 have more references cited than languages listed.</w:t>
            </w:r>
          </w:p>
          <w:p w:rsidR="00BC4163" w:rsidRPr="00C0685B" w:rsidRDefault="00BC4163" w:rsidP="00BC4163">
            <w:pPr>
              <w:rPr>
                <w:rFonts w:eastAsia="Times New Roman" w:cs="Times New Roman"/>
                <w:sz w:val="20"/>
                <w:szCs w:val="20"/>
              </w:rPr>
            </w:pPr>
            <w:r w:rsidRPr="00C0685B">
              <w:rPr>
                <w:rFonts w:eastAsia="Times New Roman" w:cs="Times New Roman"/>
                <w:sz w:val="20"/>
                <w:szCs w:val="20"/>
              </w:rPr>
              <w:t>These are only examples, ere may be other cases.</w:t>
            </w:r>
          </w:p>
        </w:tc>
        <w:tc>
          <w:tcPr>
            <w:tcW w:w="2409" w:type="dxa"/>
          </w:tcPr>
          <w:p w:rsidR="00BC4163" w:rsidRDefault="00BC4163" w:rsidP="00C71767">
            <w:pPr>
              <w:rPr>
                <w:rFonts w:eastAsia="Times New Roman" w:cs="Times New Roman"/>
              </w:rPr>
            </w:pPr>
            <w:r>
              <w:rPr>
                <w:rFonts w:eastAsia="Times New Roman" w:cs="Times New Roman"/>
              </w:rPr>
              <w:t>Please double-check the language annotations and references for completeness and consistency</w:t>
            </w:r>
          </w:p>
        </w:tc>
      </w:tr>
      <w:tr w:rsidR="00F62046" w:rsidRPr="00E23C0E" w:rsidTr="00652AF3">
        <w:tc>
          <w:tcPr>
            <w:tcW w:w="754" w:type="dxa"/>
          </w:tcPr>
          <w:p w:rsidR="00F62046" w:rsidRDefault="00F62046" w:rsidP="00AE239B">
            <w:r w:rsidRPr="00F62046">
              <w:rPr>
                <w:lang w:val="de-DE"/>
              </w:rPr>
              <w:t>§</w:t>
            </w:r>
            <w:r w:rsidRPr="00F62046">
              <w:rPr>
                <w:lang w:val="en-US"/>
              </w:rPr>
              <w:t>5.</w:t>
            </w:r>
            <w:r>
              <w:rPr>
                <w:lang w:val="en-US"/>
              </w:rPr>
              <w:t>4</w:t>
            </w:r>
          </w:p>
        </w:tc>
        <w:tc>
          <w:tcPr>
            <w:tcW w:w="5353" w:type="dxa"/>
          </w:tcPr>
          <w:p w:rsidR="00F62046" w:rsidRDefault="00F62046" w:rsidP="00082C30">
            <w:pPr>
              <w:rPr>
                <w:rFonts w:ascii="Times" w:eastAsia="Times New Roman" w:hAnsi="Times" w:cs="Times New Roman"/>
                <w:sz w:val="20"/>
                <w:szCs w:val="20"/>
                <w:lang w:eastAsia="en-US"/>
              </w:rPr>
            </w:pPr>
            <w:r>
              <w:rPr>
                <w:rFonts w:ascii="Times" w:eastAsia="Times New Roman" w:hAnsi="Times" w:cs="Times New Roman"/>
                <w:sz w:val="20"/>
                <w:szCs w:val="20"/>
                <w:lang w:eastAsia="en-US"/>
              </w:rPr>
              <w:t>Code points not included in MSR2</w:t>
            </w:r>
          </w:p>
          <w:p w:rsidR="00F62046" w:rsidRDefault="00F62046" w:rsidP="00F62046">
            <w:pPr>
              <w:rPr>
                <w:rFonts w:ascii="Times" w:eastAsia="Times New Roman" w:hAnsi="Times" w:cs="Times New Roman"/>
                <w:sz w:val="20"/>
                <w:szCs w:val="20"/>
                <w:lang w:eastAsia="en-US"/>
              </w:rPr>
            </w:pPr>
            <w:r>
              <w:rPr>
                <w:rFonts w:ascii="Times" w:eastAsia="Times New Roman" w:hAnsi="Times" w:cs="Times New Roman"/>
                <w:sz w:val="20"/>
                <w:szCs w:val="20"/>
                <w:lang w:eastAsia="en-US"/>
              </w:rPr>
              <w:t xml:space="preserve">At this point, MSR2 is a historical footnote, while the final LGR proposal </w:t>
            </w:r>
            <w:proofErr w:type="gramStart"/>
            <w:r>
              <w:rPr>
                <w:rFonts w:ascii="Times" w:eastAsia="Times New Roman" w:hAnsi="Times" w:cs="Times New Roman"/>
                <w:sz w:val="20"/>
                <w:szCs w:val="20"/>
                <w:lang w:eastAsia="en-US"/>
              </w:rPr>
              <w:t>will be archived</w:t>
            </w:r>
            <w:proofErr w:type="gramEnd"/>
            <w:r>
              <w:rPr>
                <w:rFonts w:ascii="Times" w:eastAsia="Times New Roman" w:hAnsi="Times" w:cs="Times New Roman"/>
                <w:sz w:val="20"/>
                <w:szCs w:val="20"/>
                <w:lang w:eastAsia="en-US"/>
              </w:rPr>
              <w:t xml:space="preserve"> indefinitely. Please consider, whether future readers will need this information.</w:t>
            </w:r>
          </w:p>
          <w:p w:rsidR="00F62046" w:rsidRDefault="00F62046" w:rsidP="00F62046">
            <w:pPr>
              <w:rPr>
                <w:rFonts w:ascii="Times" w:eastAsia="Times New Roman" w:hAnsi="Times" w:cs="Times New Roman"/>
                <w:sz w:val="20"/>
                <w:szCs w:val="20"/>
                <w:lang w:eastAsia="en-US"/>
              </w:rPr>
            </w:pPr>
          </w:p>
          <w:p w:rsidR="00F62046" w:rsidRDefault="00D45F82" w:rsidP="00F62046">
            <w:pPr>
              <w:rPr>
                <w:rFonts w:ascii="Times" w:eastAsia="Times New Roman" w:hAnsi="Times" w:cs="Times New Roman"/>
                <w:sz w:val="20"/>
                <w:szCs w:val="20"/>
                <w:lang w:eastAsia="en-US"/>
              </w:rPr>
            </w:pPr>
            <w:r>
              <w:rPr>
                <w:rFonts w:ascii="Times" w:eastAsia="Times New Roman" w:hAnsi="Times" w:cs="Times New Roman"/>
                <w:sz w:val="20"/>
                <w:szCs w:val="20"/>
                <w:lang w:eastAsia="en-US"/>
              </w:rPr>
              <w:t>Most of it duplicates the data in the preceding table.</w:t>
            </w:r>
          </w:p>
          <w:p w:rsidR="00D45F82" w:rsidRDefault="00D45F82" w:rsidP="00F62046">
            <w:pPr>
              <w:rPr>
                <w:rFonts w:ascii="Times" w:eastAsia="Times New Roman" w:hAnsi="Times" w:cs="Times New Roman"/>
                <w:sz w:val="20"/>
                <w:szCs w:val="20"/>
                <w:lang w:eastAsia="en-US"/>
              </w:rPr>
            </w:pPr>
          </w:p>
          <w:p w:rsidR="00F62046" w:rsidRPr="00082C30" w:rsidRDefault="00F62046" w:rsidP="00F62046">
            <w:pPr>
              <w:rPr>
                <w:rFonts w:ascii="Times" w:eastAsia="Times New Roman" w:hAnsi="Times" w:cs="Times New Roman"/>
                <w:sz w:val="20"/>
                <w:szCs w:val="20"/>
                <w:lang w:eastAsia="en-US"/>
              </w:rPr>
            </w:pPr>
            <w:r>
              <w:rPr>
                <w:rFonts w:ascii="Times" w:eastAsia="Times New Roman" w:hAnsi="Times" w:cs="Times New Roman"/>
                <w:sz w:val="20"/>
                <w:szCs w:val="20"/>
                <w:lang w:eastAsia="en-US"/>
              </w:rPr>
              <w:t>(See also the following comment).</w:t>
            </w:r>
          </w:p>
        </w:tc>
        <w:tc>
          <w:tcPr>
            <w:tcW w:w="2409" w:type="dxa"/>
          </w:tcPr>
          <w:p w:rsidR="00F62046" w:rsidRDefault="00F62046" w:rsidP="00C71767">
            <w:pPr>
              <w:rPr>
                <w:rFonts w:eastAsia="Times New Roman" w:cs="Times New Roman"/>
              </w:rPr>
            </w:pPr>
            <w:r>
              <w:rPr>
                <w:rFonts w:eastAsia="Times New Roman" w:cs="Times New Roman"/>
              </w:rPr>
              <w:t>Consider revising.</w:t>
            </w:r>
          </w:p>
        </w:tc>
      </w:tr>
      <w:tr w:rsidR="00082C30" w:rsidRPr="00E23C0E" w:rsidTr="00652AF3">
        <w:tc>
          <w:tcPr>
            <w:tcW w:w="754" w:type="dxa"/>
          </w:tcPr>
          <w:p w:rsidR="00082C30" w:rsidRDefault="00082C30" w:rsidP="00AE239B"/>
        </w:tc>
        <w:tc>
          <w:tcPr>
            <w:tcW w:w="5353" w:type="dxa"/>
          </w:tcPr>
          <w:p w:rsidR="00082C30" w:rsidRPr="00082C30" w:rsidRDefault="00082C30" w:rsidP="00082C30">
            <w:pPr>
              <w:rPr>
                <w:rFonts w:ascii="Times" w:eastAsia="Times New Roman" w:hAnsi="Times" w:cs="Times New Roman"/>
                <w:sz w:val="20"/>
                <w:szCs w:val="20"/>
                <w:lang w:eastAsia="en-US"/>
              </w:rPr>
            </w:pPr>
            <w:r w:rsidRPr="00082C30">
              <w:rPr>
                <w:rFonts w:ascii="Times" w:eastAsia="Times New Roman" w:hAnsi="Times" w:cs="Times New Roman"/>
                <w:sz w:val="20"/>
                <w:szCs w:val="20"/>
                <w:lang w:eastAsia="en-US"/>
              </w:rPr>
              <w:t>The Latin LGR contains these three code points not in MSR-3</w:t>
            </w:r>
          </w:p>
          <w:p w:rsidR="00082C30" w:rsidRPr="00082C30" w:rsidRDefault="00082C30" w:rsidP="00082C30">
            <w:pPr>
              <w:rPr>
                <w:rFonts w:ascii="Times" w:eastAsia="Times New Roman" w:hAnsi="Times" w:cs="Times New Roman"/>
                <w:sz w:val="20"/>
                <w:szCs w:val="20"/>
                <w:lang w:eastAsia="en-US"/>
              </w:rPr>
            </w:pPr>
          </w:p>
          <w:p w:rsidR="00082C30" w:rsidRPr="00082C30" w:rsidRDefault="00082C30" w:rsidP="00082C30">
            <w:pPr>
              <w:rPr>
                <w:rFonts w:ascii="Times" w:eastAsia="Times New Roman" w:hAnsi="Times" w:cs="Times New Roman"/>
                <w:sz w:val="20"/>
                <w:szCs w:val="20"/>
                <w:lang w:eastAsia="en-US"/>
              </w:rPr>
            </w:pPr>
            <w:r w:rsidRPr="00082C30">
              <w:rPr>
                <w:rFonts w:ascii="Times" w:eastAsia="Times New Roman" w:hAnsi="Times" w:cs="Times New Roman"/>
                <w:sz w:val="20"/>
                <w:szCs w:val="20"/>
                <w:lang w:eastAsia="en-US"/>
              </w:rPr>
              <w:t xml:space="preserve">U+1E13 </w:t>
            </w:r>
            <w:r w:rsidRPr="00082C30">
              <w:rPr>
                <w:rFonts w:ascii="Times" w:eastAsia="Times New Roman" w:hAnsi="Times" w:cs="Times New Roman"/>
                <w:sz w:val="20"/>
                <w:szCs w:val="20"/>
                <w:lang w:eastAsia="en-US"/>
              </w:rPr>
              <w:br/>
              <w:t xml:space="preserve">U+1E4B </w:t>
            </w:r>
            <w:r w:rsidRPr="00082C30">
              <w:rPr>
                <w:rFonts w:ascii="Times" w:eastAsia="Times New Roman" w:hAnsi="Times" w:cs="Times New Roman"/>
                <w:sz w:val="20"/>
                <w:szCs w:val="20"/>
                <w:lang w:eastAsia="en-US"/>
              </w:rPr>
              <w:br/>
              <w:t xml:space="preserve">U+1E71 </w:t>
            </w:r>
          </w:p>
          <w:p w:rsidR="00082C30" w:rsidRPr="00082C30" w:rsidRDefault="00082C30" w:rsidP="00082C30">
            <w:pPr>
              <w:rPr>
                <w:rFonts w:ascii="Times" w:eastAsia="Times New Roman" w:hAnsi="Times" w:cs="Times New Roman"/>
                <w:sz w:val="20"/>
                <w:szCs w:val="20"/>
                <w:lang w:eastAsia="en-US"/>
              </w:rPr>
            </w:pPr>
          </w:p>
          <w:p w:rsidR="00082C30" w:rsidRPr="00082C30" w:rsidRDefault="00082C30" w:rsidP="00082C30">
            <w:pPr>
              <w:rPr>
                <w:rFonts w:ascii="Times" w:eastAsia="Times New Roman" w:hAnsi="Times" w:cs="Times New Roman"/>
                <w:sz w:val="20"/>
                <w:szCs w:val="20"/>
                <w:lang w:eastAsia="en-US"/>
              </w:rPr>
            </w:pPr>
            <w:r w:rsidRPr="00082C30">
              <w:rPr>
                <w:rFonts w:ascii="Times" w:eastAsia="Times New Roman" w:hAnsi="Times" w:cs="Times New Roman"/>
                <w:sz w:val="20"/>
                <w:szCs w:val="20"/>
                <w:lang w:eastAsia="en-US"/>
              </w:rPr>
              <w:t>These three code points are d, n, and t with circumflex below, which, together with l with circumflex below are needed for Venda (1), a statutory language of South Africa with &gt;1mi</w:t>
            </w:r>
            <w:r>
              <w:rPr>
                <w:rFonts w:ascii="Times" w:eastAsia="Times New Roman" w:hAnsi="Times" w:cs="Times New Roman"/>
                <w:sz w:val="20"/>
                <w:szCs w:val="20"/>
                <w:lang w:eastAsia="en-US"/>
              </w:rPr>
              <w:t>lli</w:t>
            </w:r>
            <w:r w:rsidRPr="00082C30">
              <w:rPr>
                <w:rFonts w:ascii="Times" w:eastAsia="Times New Roman" w:hAnsi="Times" w:cs="Times New Roman"/>
                <w:sz w:val="20"/>
                <w:szCs w:val="20"/>
                <w:lang w:eastAsia="en-US"/>
              </w:rPr>
              <w:t>o</w:t>
            </w:r>
            <w:r>
              <w:rPr>
                <w:rFonts w:ascii="Times" w:eastAsia="Times New Roman" w:hAnsi="Times" w:cs="Times New Roman"/>
                <w:sz w:val="20"/>
                <w:szCs w:val="20"/>
                <w:lang w:eastAsia="en-US"/>
              </w:rPr>
              <w:t>n</w:t>
            </w:r>
            <w:r w:rsidRPr="00082C30">
              <w:rPr>
                <w:rFonts w:ascii="Times" w:eastAsia="Times New Roman" w:hAnsi="Times" w:cs="Times New Roman"/>
                <w:sz w:val="20"/>
                <w:szCs w:val="20"/>
                <w:lang w:eastAsia="en-US"/>
              </w:rPr>
              <w:t xml:space="preserve"> L1 speakers (and with a budding Wikipedia containing 266 articles in that language).</w:t>
            </w:r>
          </w:p>
          <w:p w:rsidR="00082C30" w:rsidRPr="00082C30" w:rsidRDefault="00082C30" w:rsidP="00082C30">
            <w:pPr>
              <w:rPr>
                <w:rFonts w:ascii="Times" w:eastAsia="Times New Roman" w:hAnsi="Times" w:cs="Times New Roman"/>
                <w:sz w:val="20"/>
                <w:szCs w:val="20"/>
                <w:lang w:eastAsia="en-US"/>
              </w:rPr>
            </w:pPr>
          </w:p>
          <w:p w:rsidR="00082C30" w:rsidRPr="00082C30" w:rsidRDefault="0030305A" w:rsidP="00082C30">
            <w:pPr>
              <w:rPr>
                <w:rFonts w:ascii="Times" w:eastAsia="Times New Roman" w:hAnsi="Times" w:cs="Times New Roman"/>
                <w:sz w:val="20"/>
                <w:szCs w:val="20"/>
                <w:lang w:eastAsia="en-US"/>
              </w:rPr>
            </w:pPr>
            <w:r>
              <w:rPr>
                <w:rFonts w:ascii="Times" w:eastAsia="Times New Roman" w:hAnsi="Times" w:cs="Times New Roman"/>
                <w:sz w:val="20"/>
                <w:szCs w:val="20"/>
                <w:lang w:eastAsia="en-US"/>
              </w:rPr>
              <w:t>An</w:t>
            </w:r>
            <w:r w:rsidR="00082C30" w:rsidRPr="00082C30">
              <w:rPr>
                <w:rFonts w:ascii="Times" w:eastAsia="Times New Roman" w:hAnsi="Times" w:cs="Times New Roman"/>
                <w:sz w:val="20"/>
                <w:szCs w:val="20"/>
                <w:lang w:eastAsia="en-US"/>
              </w:rPr>
              <w:t xml:space="preserve"> updated MSR</w:t>
            </w:r>
            <w:r>
              <w:rPr>
                <w:rFonts w:ascii="Times" w:eastAsia="Times New Roman" w:hAnsi="Times" w:cs="Times New Roman"/>
                <w:sz w:val="20"/>
                <w:szCs w:val="20"/>
                <w:lang w:eastAsia="en-US"/>
              </w:rPr>
              <w:t xml:space="preserve"> would be required</w:t>
            </w:r>
            <w:r w:rsidR="00082C30" w:rsidRPr="00082C30">
              <w:rPr>
                <w:rFonts w:ascii="Times" w:eastAsia="Times New Roman" w:hAnsi="Times" w:cs="Times New Roman"/>
                <w:sz w:val="20"/>
                <w:szCs w:val="20"/>
                <w:lang w:eastAsia="en-US"/>
              </w:rPr>
              <w:t xml:space="preserve"> to allow </w:t>
            </w:r>
            <w:proofErr w:type="gramStart"/>
            <w:r w:rsidR="00082C30" w:rsidRPr="00082C30">
              <w:rPr>
                <w:rFonts w:ascii="Times" w:eastAsia="Times New Roman" w:hAnsi="Times" w:cs="Times New Roman"/>
                <w:sz w:val="20"/>
                <w:szCs w:val="20"/>
                <w:lang w:eastAsia="en-US"/>
              </w:rPr>
              <w:t>these,</w:t>
            </w:r>
            <w:proofErr w:type="gramEnd"/>
            <w:r w:rsidR="00082C30" w:rsidRPr="00082C30">
              <w:rPr>
                <w:rFonts w:ascii="Times" w:eastAsia="Times New Roman" w:hAnsi="Times" w:cs="Times New Roman"/>
                <w:sz w:val="20"/>
                <w:szCs w:val="20"/>
                <w:lang w:eastAsia="en-US"/>
              </w:rPr>
              <w:t xml:space="preserve"> however, the Latin GP did not request </w:t>
            </w:r>
            <w:r>
              <w:rPr>
                <w:rFonts w:ascii="Times" w:eastAsia="Times New Roman" w:hAnsi="Times" w:cs="Times New Roman"/>
                <w:sz w:val="20"/>
                <w:szCs w:val="20"/>
                <w:lang w:eastAsia="en-US"/>
              </w:rPr>
              <w:t>the IP</w:t>
            </w:r>
            <w:r w:rsidRPr="00082C30">
              <w:rPr>
                <w:rFonts w:ascii="Times" w:eastAsia="Times New Roman" w:hAnsi="Times" w:cs="Times New Roman"/>
                <w:sz w:val="20"/>
                <w:szCs w:val="20"/>
                <w:lang w:eastAsia="en-US"/>
              </w:rPr>
              <w:t xml:space="preserve"> </w:t>
            </w:r>
            <w:r w:rsidR="00082C30" w:rsidRPr="00082C30">
              <w:rPr>
                <w:rFonts w:ascii="Times" w:eastAsia="Times New Roman" w:hAnsi="Times" w:cs="Times New Roman"/>
                <w:sz w:val="20"/>
                <w:szCs w:val="20"/>
                <w:lang w:eastAsia="en-US"/>
              </w:rPr>
              <w:t xml:space="preserve">to release an MSR-4 with these. </w:t>
            </w:r>
            <w:r>
              <w:rPr>
                <w:rFonts w:ascii="Times" w:eastAsia="Times New Roman" w:hAnsi="Times" w:cs="Times New Roman"/>
                <w:sz w:val="20"/>
                <w:szCs w:val="20"/>
                <w:lang w:eastAsia="en-US"/>
              </w:rPr>
              <w:t>The IP would</w:t>
            </w:r>
            <w:r w:rsidRPr="00082C30">
              <w:rPr>
                <w:rFonts w:ascii="Times" w:eastAsia="Times New Roman" w:hAnsi="Times" w:cs="Times New Roman"/>
                <w:sz w:val="20"/>
                <w:szCs w:val="20"/>
                <w:lang w:eastAsia="en-US"/>
              </w:rPr>
              <w:t xml:space="preserve"> </w:t>
            </w:r>
            <w:r w:rsidR="00082C30" w:rsidRPr="00082C30">
              <w:rPr>
                <w:rFonts w:ascii="Times" w:eastAsia="Times New Roman" w:hAnsi="Times" w:cs="Times New Roman"/>
                <w:sz w:val="20"/>
                <w:szCs w:val="20"/>
                <w:lang w:eastAsia="en-US"/>
              </w:rPr>
              <w:t xml:space="preserve">need to have a </w:t>
            </w:r>
            <w:r w:rsidR="005E5450">
              <w:rPr>
                <w:rFonts w:ascii="Times" w:eastAsia="Times New Roman" w:hAnsi="Times" w:cs="Times New Roman"/>
                <w:sz w:val="20"/>
                <w:szCs w:val="20"/>
                <w:lang w:eastAsia="en-US"/>
              </w:rPr>
              <w:t xml:space="preserve">formal </w:t>
            </w:r>
            <w:r w:rsidR="00082C30" w:rsidRPr="00082C30">
              <w:rPr>
                <w:rFonts w:ascii="Times" w:eastAsia="Times New Roman" w:hAnsi="Times" w:cs="Times New Roman"/>
                <w:sz w:val="20"/>
                <w:szCs w:val="20"/>
                <w:lang w:eastAsia="en-US"/>
              </w:rPr>
              <w:t xml:space="preserve">request from the Latin-GP for these, but </w:t>
            </w:r>
            <w:r>
              <w:rPr>
                <w:rFonts w:ascii="Times" w:eastAsia="Times New Roman" w:hAnsi="Times" w:cs="Times New Roman"/>
                <w:sz w:val="20"/>
                <w:szCs w:val="20"/>
                <w:lang w:eastAsia="en-US"/>
              </w:rPr>
              <w:t xml:space="preserve">on first </w:t>
            </w:r>
            <w:proofErr w:type="gramStart"/>
            <w:r w:rsidR="005E5450">
              <w:rPr>
                <w:rFonts w:ascii="Times" w:eastAsia="Times New Roman" w:hAnsi="Times" w:cs="Times New Roman"/>
                <w:sz w:val="20"/>
                <w:szCs w:val="20"/>
                <w:lang w:eastAsia="en-US"/>
              </w:rPr>
              <w:t>review</w:t>
            </w:r>
            <w:proofErr w:type="gramEnd"/>
            <w:r>
              <w:rPr>
                <w:rFonts w:ascii="Times" w:eastAsia="Times New Roman" w:hAnsi="Times" w:cs="Times New Roman"/>
                <w:sz w:val="20"/>
                <w:szCs w:val="20"/>
                <w:lang w:eastAsia="en-US"/>
              </w:rPr>
              <w:t xml:space="preserve"> there does not appear to be any obvious</w:t>
            </w:r>
            <w:r w:rsidR="00082C30" w:rsidRPr="00082C30">
              <w:rPr>
                <w:rFonts w:ascii="Times" w:eastAsia="Times New Roman" w:hAnsi="Times" w:cs="Times New Roman"/>
                <w:sz w:val="20"/>
                <w:szCs w:val="20"/>
                <w:lang w:eastAsia="en-US"/>
              </w:rPr>
              <w:t xml:space="preserve"> reason to exclude them; all sources agree that they are used for that language; the EGIDS status is (1) and there's definite evidence of online usage</w:t>
            </w:r>
            <w:r w:rsidR="00082C30">
              <w:rPr>
                <w:rFonts w:ascii="Times" w:eastAsia="Times New Roman" w:hAnsi="Times" w:cs="Times New Roman"/>
                <w:sz w:val="20"/>
                <w:szCs w:val="20"/>
                <w:lang w:eastAsia="en-US"/>
              </w:rPr>
              <w:t>.</w:t>
            </w:r>
            <w:r w:rsidR="00082C30" w:rsidRPr="00082C30">
              <w:rPr>
                <w:rFonts w:ascii="Times" w:eastAsia="Times New Roman" w:hAnsi="Times" w:cs="Times New Roman"/>
                <w:sz w:val="20"/>
                <w:szCs w:val="20"/>
                <w:lang w:eastAsia="en-US"/>
              </w:rPr>
              <w:t xml:space="preserve"> (</w:t>
            </w:r>
            <w:r w:rsidR="00082C30">
              <w:rPr>
                <w:rFonts w:ascii="Times" w:eastAsia="Times New Roman" w:hAnsi="Times" w:cs="Times New Roman"/>
                <w:sz w:val="20"/>
                <w:szCs w:val="20"/>
                <w:lang w:eastAsia="en-US"/>
              </w:rPr>
              <w:t>I</w:t>
            </w:r>
            <w:r w:rsidR="00082C30" w:rsidRPr="00082C30">
              <w:rPr>
                <w:rFonts w:ascii="Times" w:eastAsia="Times New Roman" w:hAnsi="Times" w:cs="Times New Roman"/>
                <w:sz w:val="20"/>
                <w:szCs w:val="20"/>
                <w:lang w:eastAsia="en-US"/>
              </w:rPr>
              <w:t>ncidentally such usage includes English language sites, such as YouTube spelling the native name of the language with the d-circumflex below).</w:t>
            </w:r>
          </w:p>
          <w:p w:rsidR="00082C30" w:rsidRDefault="00082C30" w:rsidP="00082C30">
            <w:pPr>
              <w:rPr>
                <w:rFonts w:eastAsia="Times New Roman" w:cs="Times New Roman"/>
                <w:sz w:val="22"/>
                <w:szCs w:val="22"/>
              </w:rPr>
            </w:pPr>
          </w:p>
        </w:tc>
        <w:tc>
          <w:tcPr>
            <w:tcW w:w="2409" w:type="dxa"/>
          </w:tcPr>
          <w:p w:rsidR="00082C30" w:rsidRDefault="00082C30" w:rsidP="005E5450">
            <w:pPr>
              <w:rPr>
                <w:rFonts w:eastAsia="Times New Roman" w:cs="Times New Roman"/>
              </w:rPr>
            </w:pPr>
            <w:r>
              <w:rPr>
                <w:rFonts w:eastAsia="Times New Roman" w:cs="Times New Roman"/>
              </w:rPr>
              <w:t>IP requests GP to include a proposed extension to MSR-3, to produce an MSR-</w:t>
            </w:r>
            <w:proofErr w:type="gramStart"/>
            <w:r>
              <w:rPr>
                <w:rFonts w:eastAsia="Times New Roman" w:cs="Times New Roman"/>
              </w:rPr>
              <w:t>4</w:t>
            </w:r>
            <w:r w:rsidR="005E5450">
              <w:rPr>
                <w:rFonts w:eastAsia="Times New Roman" w:cs="Times New Roman"/>
              </w:rPr>
              <w:t>, that</w:t>
            </w:r>
            <w:proofErr w:type="gramEnd"/>
            <w:r>
              <w:rPr>
                <w:rFonts w:eastAsia="Times New Roman" w:cs="Times New Roman"/>
              </w:rPr>
              <w:t xml:space="preserve"> include</w:t>
            </w:r>
            <w:r w:rsidR="005E5450">
              <w:rPr>
                <w:rFonts w:eastAsia="Times New Roman" w:cs="Times New Roman"/>
              </w:rPr>
              <w:t>s</w:t>
            </w:r>
            <w:r>
              <w:rPr>
                <w:rFonts w:eastAsia="Times New Roman" w:cs="Times New Roman"/>
              </w:rPr>
              <w:t xml:space="preserve"> these code points.</w:t>
            </w:r>
          </w:p>
        </w:tc>
      </w:tr>
      <w:tr w:rsidR="00082C30" w:rsidRPr="00E23C0E" w:rsidTr="00652AF3">
        <w:tc>
          <w:tcPr>
            <w:tcW w:w="754" w:type="dxa"/>
          </w:tcPr>
          <w:p w:rsidR="00082C30" w:rsidRDefault="00082C30" w:rsidP="00AE239B"/>
        </w:tc>
        <w:tc>
          <w:tcPr>
            <w:tcW w:w="5353" w:type="dxa"/>
          </w:tcPr>
          <w:p w:rsidR="00082C30" w:rsidRPr="00082C30" w:rsidRDefault="00F62046" w:rsidP="00082C30">
            <w:pPr>
              <w:rPr>
                <w:rFonts w:ascii="Times" w:eastAsia="Times New Roman" w:hAnsi="Times" w:cs="Times New Roman"/>
                <w:sz w:val="20"/>
                <w:szCs w:val="20"/>
                <w:lang w:eastAsia="en-US"/>
              </w:rPr>
            </w:pPr>
            <w:r>
              <w:rPr>
                <w:rFonts w:ascii="Times" w:eastAsia="Times New Roman" w:hAnsi="Times" w:cs="Times New Roman"/>
                <w:sz w:val="20"/>
                <w:szCs w:val="20"/>
                <w:lang w:eastAsia="en-US"/>
              </w:rPr>
              <w:t>The</w:t>
            </w:r>
            <w:r w:rsidR="0030305A">
              <w:rPr>
                <w:rFonts w:ascii="Times" w:eastAsia="Times New Roman" w:hAnsi="Times" w:cs="Times New Roman"/>
                <w:sz w:val="20"/>
                <w:szCs w:val="20"/>
                <w:lang w:eastAsia="en-US"/>
              </w:rPr>
              <w:t xml:space="preserve"> following list summarizes the</w:t>
            </w:r>
            <w:r w:rsidR="00082C30" w:rsidRPr="00082C30">
              <w:rPr>
                <w:rFonts w:ascii="Times" w:eastAsia="Times New Roman" w:hAnsi="Times" w:cs="Times New Roman"/>
                <w:sz w:val="20"/>
                <w:szCs w:val="20"/>
                <w:lang w:eastAsia="en-US"/>
              </w:rPr>
              <w:t xml:space="preserve"> sequences from the Latin LGR that allow specific combinations for six combining marks that are not separately listed in the LGR.</w:t>
            </w:r>
          </w:p>
          <w:p w:rsidR="00082C30" w:rsidRPr="00082C30" w:rsidRDefault="00082C30" w:rsidP="00082C30">
            <w:pPr>
              <w:rPr>
                <w:rFonts w:ascii="Times" w:eastAsia="Times New Roman" w:hAnsi="Times" w:cs="Times New Roman"/>
                <w:sz w:val="20"/>
                <w:szCs w:val="20"/>
                <w:lang w:eastAsia="en-US"/>
              </w:rPr>
            </w:pPr>
          </w:p>
          <w:p w:rsidR="00082C30" w:rsidRPr="00082C30" w:rsidRDefault="00082C30" w:rsidP="00082C30">
            <w:pPr>
              <w:rPr>
                <w:rFonts w:ascii="Times" w:eastAsia="Times New Roman" w:hAnsi="Times" w:cs="Times New Roman"/>
                <w:sz w:val="20"/>
                <w:szCs w:val="20"/>
                <w:lang w:eastAsia="en-US"/>
              </w:rPr>
            </w:pPr>
            <w:r w:rsidRPr="00082C30">
              <w:rPr>
                <w:rFonts w:ascii="Times" w:eastAsia="Times New Roman" w:hAnsi="Times" w:cs="Times New Roman"/>
                <w:sz w:val="20"/>
                <w:szCs w:val="20"/>
                <w:lang w:eastAsia="en-US"/>
              </w:rPr>
              <w:t>GRAVE</w:t>
            </w:r>
          </w:p>
          <w:p w:rsidR="00082C30" w:rsidRPr="00082C30" w:rsidRDefault="00082C30" w:rsidP="00082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lang w:eastAsia="en-US"/>
              </w:rPr>
            </w:pPr>
            <w:r w:rsidRPr="00082C30">
              <w:rPr>
                <w:rFonts w:ascii="Courier" w:hAnsi="Courier" w:cs="Courier"/>
                <w:sz w:val="20"/>
                <w:szCs w:val="20"/>
                <w:lang w:eastAsia="en-US"/>
              </w:rPr>
              <w:t>0300: Sequence (1EB9 0300)</w:t>
            </w:r>
          </w:p>
          <w:p w:rsidR="00082C30" w:rsidRPr="00082C30" w:rsidRDefault="00082C30" w:rsidP="00082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lang w:eastAsia="en-US"/>
              </w:rPr>
            </w:pPr>
            <w:r w:rsidRPr="00082C30">
              <w:rPr>
                <w:rFonts w:ascii="Courier" w:hAnsi="Courier" w:cs="Courier"/>
                <w:sz w:val="20"/>
                <w:szCs w:val="20"/>
                <w:lang w:eastAsia="en-US"/>
              </w:rPr>
              <w:t>0300: Sequence (1ECD 0300)</w:t>
            </w:r>
          </w:p>
          <w:p w:rsidR="00082C30" w:rsidRPr="00082C30" w:rsidRDefault="00082C30" w:rsidP="00082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lang w:eastAsia="en-US"/>
              </w:rPr>
            </w:pPr>
            <w:r w:rsidRPr="00082C30">
              <w:rPr>
                <w:rFonts w:ascii="Courier" w:hAnsi="Courier" w:cs="Courier"/>
                <w:sz w:val="20"/>
                <w:szCs w:val="20"/>
                <w:lang w:eastAsia="en-US"/>
              </w:rPr>
              <w:t>ACUTE 0301: Sequence (1EB9 0301)</w:t>
            </w:r>
          </w:p>
          <w:p w:rsidR="00082C30" w:rsidRPr="00082C30" w:rsidRDefault="00082C30" w:rsidP="00082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lang w:eastAsia="en-US"/>
              </w:rPr>
            </w:pPr>
            <w:r w:rsidRPr="00082C30">
              <w:rPr>
                <w:rFonts w:ascii="Courier" w:hAnsi="Courier" w:cs="Courier"/>
                <w:sz w:val="20"/>
                <w:szCs w:val="20"/>
                <w:lang w:eastAsia="en-US"/>
              </w:rPr>
              <w:t>0301: Sequence (1ECD 0301)</w:t>
            </w:r>
          </w:p>
          <w:p w:rsidR="00082C30" w:rsidRPr="00082C30" w:rsidRDefault="00082C30" w:rsidP="00082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lang w:eastAsia="en-US"/>
              </w:rPr>
            </w:pPr>
            <w:r w:rsidRPr="00082C30">
              <w:rPr>
                <w:rFonts w:ascii="Courier" w:hAnsi="Courier" w:cs="Courier"/>
                <w:sz w:val="20"/>
                <w:szCs w:val="20"/>
                <w:lang w:eastAsia="en-US"/>
              </w:rPr>
              <w:t>TILDE 0303: Sequence (0067 0303)</w:t>
            </w:r>
          </w:p>
          <w:p w:rsidR="00082C30" w:rsidRPr="00082C30" w:rsidRDefault="00082C30" w:rsidP="00082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lang w:eastAsia="en-US"/>
              </w:rPr>
            </w:pPr>
            <w:r w:rsidRPr="00082C30">
              <w:rPr>
                <w:rFonts w:ascii="Courier" w:hAnsi="Courier" w:cs="Courier"/>
                <w:sz w:val="20"/>
                <w:szCs w:val="20"/>
                <w:lang w:eastAsia="en-US"/>
              </w:rPr>
              <w:t>0303: Sequence (0072 0303)</w:t>
            </w:r>
          </w:p>
          <w:p w:rsidR="00082C30" w:rsidRPr="00082C30" w:rsidRDefault="00082C30" w:rsidP="00082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lang w:eastAsia="en-US"/>
              </w:rPr>
            </w:pPr>
            <w:r w:rsidRPr="00082C30">
              <w:rPr>
                <w:rFonts w:ascii="Courier" w:hAnsi="Courier" w:cs="Courier"/>
                <w:sz w:val="20"/>
                <w:szCs w:val="20"/>
                <w:lang w:eastAsia="en-US"/>
              </w:rPr>
              <w:t>0303: Sequence (0268 0303)</w:t>
            </w:r>
          </w:p>
          <w:p w:rsidR="00082C30" w:rsidRPr="00082C30" w:rsidRDefault="00082C30" w:rsidP="00082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lang w:eastAsia="en-US"/>
              </w:rPr>
            </w:pPr>
            <w:r w:rsidRPr="00082C30">
              <w:rPr>
                <w:rFonts w:ascii="Courier" w:hAnsi="Courier" w:cs="Courier"/>
                <w:sz w:val="20"/>
                <w:szCs w:val="20"/>
                <w:lang w:eastAsia="en-US"/>
              </w:rPr>
              <w:t>0303: Sequence (0289 0303)</w:t>
            </w:r>
          </w:p>
          <w:p w:rsidR="00082C30" w:rsidRPr="00082C30" w:rsidRDefault="00082C30" w:rsidP="00082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lang w:eastAsia="en-US"/>
              </w:rPr>
            </w:pPr>
            <w:r w:rsidRPr="00082C30">
              <w:rPr>
                <w:rFonts w:ascii="Courier" w:hAnsi="Courier" w:cs="Courier"/>
                <w:sz w:val="20"/>
                <w:szCs w:val="20"/>
                <w:lang w:eastAsia="en-US"/>
              </w:rPr>
              <w:t>MACRON 0304: Sequence (006E 0304)</w:t>
            </w:r>
          </w:p>
          <w:p w:rsidR="00082C30" w:rsidRPr="00082C30" w:rsidRDefault="00082C30" w:rsidP="00082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lang w:eastAsia="en-US"/>
              </w:rPr>
            </w:pPr>
            <w:r w:rsidRPr="00082C30">
              <w:rPr>
                <w:rFonts w:ascii="Courier" w:hAnsi="Courier" w:cs="Courier"/>
                <w:sz w:val="20"/>
                <w:szCs w:val="20"/>
                <w:lang w:eastAsia="en-US"/>
              </w:rPr>
              <w:t>DIAERESIS 0308: Sequence (006E 0308)</w:t>
            </w:r>
          </w:p>
          <w:p w:rsidR="00082C30" w:rsidRPr="00082C30" w:rsidRDefault="00082C30" w:rsidP="00082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lang w:eastAsia="en-US"/>
              </w:rPr>
            </w:pPr>
            <w:r w:rsidRPr="00082C30">
              <w:rPr>
                <w:rFonts w:ascii="Courier" w:hAnsi="Courier" w:cs="Courier"/>
                <w:sz w:val="20"/>
                <w:szCs w:val="20"/>
                <w:lang w:eastAsia="en-US"/>
              </w:rPr>
              <w:t>0308: Sequence (0254 0308)</w:t>
            </w:r>
          </w:p>
          <w:p w:rsidR="00082C30" w:rsidRPr="00082C30" w:rsidRDefault="00082C30" w:rsidP="00082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lang w:eastAsia="en-US"/>
              </w:rPr>
            </w:pPr>
            <w:r w:rsidRPr="00082C30">
              <w:rPr>
                <w:rFonts w:ascii="Courier" w:hAnsi="Courier" w:cs="Courier"/>
                <w:sz w:val="20"/>
                <w:szCs w:val="20"/>
                <w:lang w:eastAsia="en-US"/>
              </w:rPr>
              <w:t>0308: Sequence (025B 0308)</w:t>
            </w:r>
          </w:p>
          <w:p w:rsidR="00082C30" w:rsidRPr="00082C30" w:rsidRDefault="00082C30" w:rsidP="00082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lang w:eastAsia="en-US"/>
              </w:rPr>
            </w:pPr>
            <w:r w:rsidRPr="00082C30">
              <w:rPr>
                <w:rFonts w:ascii="Courier" w:hAnsi="Courier" w:cs="Courier"/>
                <w:sz w:val="20"/>
                <w:szCs w:val="20"/>
                <w:lang w:eastAsia="en-US"/>
              </w:rPr>
              <w:t>0308: Sequence (025B 0331 0308)</w:t>
            </w:r>
          </w:p>
          <w:p w:rsidR="00082C30" w:rsidRPr="00082C30" w:rsidRDefault="00082C30" w:rsidP="00082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lang w:eastAsia="en-US"/>
              </w:rPr>
            </w:pPr>
            <w:r w:rsidRPr="00082C30">
              <w:rPr>
                <w:rFonts w:ascii="Courier" w:hAnsi="Courier" w:cs="Courier"/>
                <w:sz w:val="20"/>
                <w:szCs w:val="20"/>
                <w:lang w:eastAsia="en-US"/>
              </w:rPr>
              <w:t>CEDILLA 0327: Sequence (006D 0327)</w:t>
            </w:r>
          </w:p>
          <w:p w:rsidR="00082C30" w:rsidRPr="00082C30" w:rsidRDefault="00082C30" w:rsidP="00082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lang w:eastAsia="en-US"/>
              </w:rPr>
            </w:pPr>
            <w:r w:rsidRPr="00082C30">
              <w:rPr>
                <w:rFonts w:ascii="Courier" w:hAnsi="Courier" w:cs="Courier"/>
                <w:sz w:val="20"/>
                <w:szCs w:val="20"/>
                <w:lang w:eastAsia="en-US"/>
              </w:rPr>
              <w:t>0327: Sequence (006F 0327)</w:t>
            </w:r>
          </w:p>
          <w:p w:rsidR="00082C30" w:rsidRPr="00082C30" w:rsidRDefault="00082C30" w:rsidP="00082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lang w:eastAsia="en-US"/>
              </w:rPr>
            </w:pPr>
            <w:r w:rsidRPr="00082C30">
              <w:rPr>
                <w:rFonts w:ascii="Courier" w:hAnsi="Courier" w:cs="Courier"/>
                <w:sz w:val="20"/>
                <w:szCs w:val="20"/>
                <w:lang w:eastAsia="en-US"/>
              </w:rPr>
              <w:t>MACRON BELOW 0331: Sequence (0061 0331)</w:t>
            </w:r>
          </w:p>
          <w:p w:rsidR="00082C30" w:rsidRPr="00082C30" w:rsidRDefault="00082C30" w:rsidP="00082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lang w:eastAsia="en-US"/>
              </w:rPr>
            </w:pPr>
            <w:r w:rsidRPr="00082C30">
              <w:rPr>
                <w:rFonts w:ascii="Courier" w:hAnsi="Courier" w:cs="Courier"/>
                <w:sz w:val="20"/>
                <w:szCs w:val="20"/>
                <w:lang w:eastAsia="en-US"/>
              </w:rPr>
              <w:t>0331: Sequence (0065 0331)</w:t>
            </w:r>
          </w:p>
          <w:p w:rsidR="00082C30" w:rsidRPr="00082C30" w:rsidRDefault="00082C30" w:rsidP="00082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lang w:eastAsia="en-US"/>
              </w:rPr>
            </w:pPr>
            <w:r w:rsidRPr="00082C30">
              <w:rPr>
                <w:rFonts w:ascii="Courier" w:hAnsi="Courier" w:cs="Courier"/>
                <w:sz w:val="20"/>
                <w:szCs w:val="20"/>
                <w:lang w:eastAsia="en-US"/>
              </w:rPr>
              <w:t>0331: Sequence (0069 0331)</w:t>
            </w:r>
          </w:p>
          <w:p w:rsidR="00082C30" w:rsidRPr="00082C30" w:rsidRDefault="00082C30" w:rsidP="00082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lang w:eastAsia="en-US"/>
              </w:rPr>
            </w:pPr>
            <w:r w:rsidRPr="00082C30">
              <w:rPr>
                <w:rFonts w:ascii="Courier" w:hAnsi="Courier" w:cs="Courier"/>
                <w:sz w:val="20"/>
                <w:szCs w:val="20"/>
                <w:lang w:eastAsia="en-US"/>
              </w:rPr>
              <w:t>0331: Sequence (006F 0331)</w:t>
            </w:r>
          </w:p>
          <w:p w:rsidR="00082C30" w:rsidRPr="00082C30" w:rsidRDefault="00082C30" w:rsidP="00082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lang w:eastAsia="en-US"/>
              </w:rPr>
            </w:pPr>
            <w:r w:rsidRPr="00082C30">
              <w:rPr>
                <w:rFonts w:ascii="Courier" w:hAnsi="Courier" w:cs="Courier"/>
                <w:sz w:val="20"/>
                <w:szCs w:val="20"/>
                <w:lang w:eastAsia="en-US"/>
              </w:rPr>
              <w:t>0331: Sequence (0254 0331)</w:t>
            </w:r>
          </w:p>
          <w:p w:rsidR="00082C30" w:rsidRPr="00082C30" w:rsidRDefault="00082C30" w:rsidP="00082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lang w:eastAsia="en-US"/>
              </w:rPr>
            </w:pPr>
            <w:r w:rsidRPr="00082C30">
              <w:rPr>
                <w:rFonts w:ascii="Courier" w:hAnsi="Courier" w:cs="Courier"/>
                <w:sz w:val="20"/>
                <w:szCs w:val="20"/>
                <w:lang w:eastAsia="en-US"/>
              </w:rPr>
              <w:t>0331: Sequence (025B 0331 0308)</w:t>
            </w:r>
          </w:p>
          <w:p w:rsidR="00082C30" w:rsidRPr="00082C30" w:rsidRDefault="00082C30" w:rsidP="00082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lang w:eastAsia="en-US"/>
              </w:rPr>
            </w:pPr>
            <w:r w:rsidRPr="00082C30">
              <w:rPr>
                <w:rFonts w:ascii="Courier" w:hAnsi="Courier" w:cs="Courier"/>
                <w:sz w:val="20"/>
                <w:szCs w:val="20"/>
                <w:lang w:eastAsia="en-US"/>
              </w:rPr>
              <w:t>0331: Sequence (025B 0331)</w:t>
            </w:r>
          </w:p>
          <w:p w:rsidR="00082C30" w:rsidRPr="00082C30" w:rsidRDefault="00082C30" w:rsidP="00082C30">
            <w:pPr>
              <w:rPr>
                <w:rFonts w:ascii="Times" w:eastAsia="Times New Roman" w:hAnsi="Times" w:cs="Times New Roman"/>
                <w:sz w:val="20"/>
                <w:szCs w:val="20"/>
                <w:lang w:eastAsia="en-US"/>
              </w:rPr>
            </w:pPr>
          </w:p>
          <w:p w:rsidR="00082C30" w:rsidRPr="00082C30" w:rsidRDefault="00082C30" w:rsidP="00082C30">
            <w:pPr>
              <w:rPr>
                <w:rFonts w:ascii="Times" w:eastAsia="Times New Roman" w:hAnsi="Times" w:cs="Times New Roman"/>
                <w:sz w:val="20"/>
                <w:szCs w:val="20"/>
                <w:lang w:eastAsia="en-US"/>
              </w:rPr>
            </w:pPr>
            <w:r w:rsidRPr="00082C30">
              <w:rPr>
                <w:rFonts w:ascii="Times" w:eastAsia="Times New Roman" w:hAnsi="Times" w:cs="Times New Roman"/>
                <w:sz w:val="20"/>
                <w:szCs w:val="20"/>
                <w:lang w:eastAsia="en-US"/>
              </w:rPr>
              <w:t>Of the writing systems contributing to that list, Nuer (4) is responsible for about half of these.</w:t>
            </w:r>
          </w:p>
          <w:p w:rsidR="00082C30" w:rsidRPr="00082C30" w:rsidRDefault="00082C30" w:rsidP="00082C30">
            <w:pPr>
              <w:rPr>
                <w:rFonts w:ascii="Times" w:eastAsia="Times New Roman" w:hAnsi="Times" w:cs="Times New Roman"/>
                <w:sz w:val="20"/>
                <w:szCs w:val="20"/>
                <w:lang w:eastAsia="en-US"/>
              </w:rPr>
            </w:pPr>
          </w:p>
        </w:tc>
        <w:tc>
          <w:tcPr>
            <w:tcW w:w="2409" w:type="dxa"/>
          </w:tcPr>
          <w:p w:rsidR="00082C30" w:rsidRDefault="00082C30" w:rsidP="00F62046">
            <w:pPr>
              <w:rPr>
                <w:rFonts w:eastAsia="Times New Roman" w:cs="Times New Roman"/>
              </w:rPr>
            </w:pPr>
            <w:r>
              <w:rPr>
                <w:rFonts w:eastAsia="Times New Roman" w:cs="Times New Roman"/>
              </w:rPr>
              <w:t xml:space="preserve">It would be useful if GP included this list in the next version of the proposal, this clarifying the effects of the policy of </w:t>
            </w:r>
            <w:r w:rsidR="00F62046">
              <w:rPr>
                <w:rFonts w:eastAsia="Times New Roman" w:cs="Times New Roman"/>
              </w:rPr>
              <w:t xml:space="preserve">including </w:t>
            </w:r>
            <w:r>
              <w:rPr>
                <w:rFonts w:eastAsia="Times New Roman" w:cs="Times New Roman"/>
              </w:rPr>
              <w:t>on</w:t>
            </w:r>
            <w:r w:rsidR="00F62046">
              <w:rPr>
                <w:rFonts w:eastAsia="Times New Roman" w:cs="Times New Roman"/>
              </w:rPr>
              <w:t>ly</w:t>
            </w:r>
            <w:r>
              <w:rPr>
                <w:rFonts w:eastAsia="Times New Roman" w:cs="Times New Roman"/>
              </w:rPr>
              <w:t xml:space="preserve"> pre-</w:t>
            </w:r>
            <w:r w:rsidR="00F62046">
              <w:rPr>
                <w:rFonts w:eastAsia="Times New Roman" w:cs="Times New Roman"/>
              </w:rPr>
              <w:t xml:space="preserve">selected </w:t>
            </w:r>
            <w:r>
              <w:rPr>
                <w:rFonts w:eastAsia="Times New Roman" w:cs="Times New Roman"/>
              </w:rPr>
              <w:t>combinations.</w:t>
            </w:r>
          </w:p>
        </w:tc>
      </w:tr>
      <w:tr w:rsidR="008A5681" w:rsidRPr="00E23C0E" w:rsidTr="00652AF3">
        <w:tc>
          <w:tcPr>
            <w:tcW w:w="754" w:type="dxa"/>
          </w:tcPr>
          <w:p w:rsidR="008A5681" w:rsidRDefault="008A5681" w:rsidP="00AE239B">
            <w:r w:rsidRPr="008A5681">
              <w:rPr>
                <w:lang w:val="de-DE"/>
              </w:rPr>
              <w:t>§</w:t>
            </w:r>
            <w:r w:rsidRPr="008A5681">
              <w:rPr>
                <w:lang w:val="en-US"/>
              </w:rPr>
              <w:t>5.</w:t>
            </w:r>
            <w:r>
              <w:rPr>
                <w:lang w:val="en-US"/>
              </w:rPr>
              <w:t>5</w:t>
            </w:r>
          </w:p>
        </w:tc>
        <w:tc>
          <w:tcPr>
            <w:tcW w:w="5353" w:type="dxa"/>
          </w:tcPr>
          <w:p w:rsidR="008A5681" w:rsidDel="0030305A" w:rsidRDefault="008A5681" w:rsidP="00082C30">
            <w:pPr>
              <w:rPr>
                <w:rFonts w:ascii="Times" w:eastAsia="Times New Roman" w:hAnsi="Times" w:cs="Times New Roman"/>
                <w:sz w:val="20"/>
                <w:szCs w:val="20"/>
                <w:lang w:eastAsia="en-US"/>
              </w:rPr>
            </w:pPr>
            <w:r>
              <w:rPr>
                <w:rFonts w:ascii="Times" w:eastAsia="Times New Roman" w:hAnsi="Times" w:cs="Times New Roman"/>
                <w:sz w:val="20"/>
                <w:szCs w:val="20"/>
                <w:lang w:eastAsia="en-US"/>
              </w:rPr>
              <w:t xml:space="preserve">As result of the recent discussion with the </w:t>
            </w:r>
            <w:proofErr w:type="gramStart"/>
            <w:r>
              <w:rPr>
                <w:rFonts w:ascii="Times" w:eastAsia="Times New Roman" w:hAnsi="Times" w:cs="Times New Roman"/>
                <w:sz w:val="20"/>
                <w:szCs w:val="20"/>
                <w:lang w:eastAsia="en-US"/>
              </w:rPr>
              <w:t>IP</w:t>
            </w:r>
            <w:proofErr w:type="gramEnd"/>
            <w:r>
              <w:rPr>
                <w:rFonts w:ascii="Times" w:eastAsia="Times New Roman" w:hAnsi="Times" w:cs="Times New Roman"/>
                <w:sz w:val="20"/>
                <w:szCs w:val="20"/>
                <w:lang w:eastAsia="en-US"/>
              </w:rPr>
              <w:t xml:space="preserve"> the GP decided to not include certain code points that were in earlier drafts.</w:t>
            </w:r>
            <w:r w:rsidR="00152386">
              <w:rPr>
                <w:rFonts w:ascii="Times" w:eastAsia="Times New Roman" w:hAnsi="Times" w:cs="Times New Roman"/>
                <w:sz w:val="20"/>
                <w:szCs w:val="20"/>
                <w:lang w:eastAsia="en-US"/>
              </w:rPr>
              <w:t xml:space="preserve"> </w:t>
            </w:r>
            <w:proofErr w:type="gramStart"/>
            <w:r w:rsidR="00152386">
              <w:rPr>
                <w:rFonts w:ascii="Times" w:eastAsia="Times New Roman" w:hAnsi="Times" w:cs="Times New Roman"/>
                <w:sz w:val="20"/>
                <w:szCs w:val="20"/>
                <w:lang w:eastAsia="en-US"/>
              </w:rPr>
              <w:t>These,</w:t>
            </w:r>
            <w:proofErr w:type="gramEnd"/>
            <w:r w:rsidR="00152386">
              <w:rPr>
                <w:rFonts w:ascii="Times" w:eastAsia="Times New Roman" w:hAnsi="Times" w:cs="Times New Roman"/>
                <w:sz w:val="20"/>
                <w:szCs w:val="20"/>
                <w:lang w:eastAsia="en-US"/>
              </w:rPr>
              <w:t xml:space="preserve"> and the rationale for their exclusion are only documented in an informal discussion document.</w:t>
            </w:r>
            <w:r>
              <w:rPr>
                <w:rFonts w:ascii="Times" w:eastAsia="Times New Roman" w:hAnsi="Times" w:cs="Times New Roman"/>
                <w:sz w:val="20"/>
                <w:szCs w:val="20"/>
                <w:lang w:eastAsia="en-US"/>
              </w:rPr>
              <w:br/>
            </w:r>
            <w:r>
              <w:rPr>
                <w:rFonts w:ascii="Times" w:eastAsia="Times New Roman" w:hAnsi="Times" w:cs="Times New Roman"/>
                <w:sz w:val="20"/>
                <w:szCs w:val="20"/>
                <w:lang w:eastAsia="en-US"/>
              </w:rPr>
              <w:br/>
              <w:t>As this was the result of specific findings, it might be useful to document some or all of these explicitly</w:t>
            </w:r>
            <w:r w:rsidR="00152386">
              <w:rPr>
                <w:rFonts w:ascii="Times" w:eastAsia="Times New Roman" w:hAnsi="Times" w:cs="Times New Roman"/>
                <w:sz w:val="20"/>
                <w:szCs w:val="20"/>
                <w:lang w:eastAsia="en-US"/>
              </w:rPr>
              <w:t xml:space="preserve"> as part of the discussion of excluded code points in the LGR proposal.</w:t>
            </w:r>
          </w:p>
        </w:tc>
        <w:tc>
          <w:tcPr>
            <w:tcW w:w="2409" w:type="dxa"/>
          </w:tcPr>
          <w:p w:rsidR="008A5681" w:rsidRDefault="00152386" w:rsidP="00F62046">
            <w:pPr>
              <w:rPr>
                <w:rFonts w:eastAsia="Times New Roman" w:cs="Times New Roman"/>
              </w:rPr>
            </w:pPr>
            <w:r>
              <w:rPr>
                <w:rFonts w:eastAsia="Times New Roman" w:cs="Times New Roman"/>
              </w:rPr>
              <w:t>Please</w:t>
            </w:r>
            <w:r w:rsidR="008A5681">
              <w:rPr>
                <w:rFonts w:eastAsia="Times New Roman" w:cs="Times New Roman"/>
              </w:rPr>
              <w:t xml:space="preserve"> consider adding this information</w:t>
            </w:r>
            <w:r>
              <w:rPr>
                <w:rFonts w:eastAsia="Times New Roman" w:cs="Times New Roman"/>
              </w:rPr>
              <w:t xml:space="preserve"> to the proposal</w:t>
            </w:r>
          </w:p>
        </w:tc>
      </w:tr>
    </w:tbl>
    <w:p w:rsidR="008616D4" w:rsidRPr="00E23C0E" w:rsidRDefault="008616D4" w:rsidP="008616D4"/>
    <w:p w:rsidR="008616D4" w:rsidRDefault="008616D4" w:rsidP="008616D4">
      <w:pPr>
        <w:pStyle w:val="Heading1"/>
      </w:pPr>
      <w:r>
        <w:t>Comments on LGR specification (.xml)</w:t>
      </w:r>
    </w:p>
    <w:p w:rsidR="008616D4" w:rsidRDefault="008616D4" w:rsidP="008616D4"/>
    <w:tbl>
      <w:tblPr>
        <w:tblStyle w:val="TableGrid"/>
        <w:tblW w:w="0" w:type="auto"/>
        <w:tblLook w:val="04A0"/>
      </w:tblPr>
      <w:tblGrid>
        <w:gridCol w:w="817"/>
        <w:gridCol w:w="3827"/>
        <w:gridCol w:w="3872"/>
      </w:tblGrid>
      <w:tr w:rsidR="008616D4" w:rsidRPr="005D0DFC" w:rsidTr="00AE239B">
        <w:tc>
          <w:tcPr>
            <w:tcW w:w="817" w:type="dxa"/>
          </w:tcPr>
          <w:p w:rsidR="008616D4" w:rsidRPr="005D0DFC" w:rsidRDefault="008616D4" w:rsidP="00AE239B">
            <w:pPr>
              <w:rPr>
                <w:b/>
              </w:rPr>
            </w:pPr>
            <w:r w:rsidRPr="005D0DFC">
              <w:rPr>
                <w:b/>
              </w:rPr>
              <w:t>Item</w:t>
            </w:r>
          </w:p>
        </w:tc>
        <w:tc>
          <w:tcPr>
            <w:tcW w:w="3827" w:type="dxa"/>
          </w:tcPr>
          <w:p w:rsidR="008616D4" w:rsidRPr="005D0DFC" w:rsidRDefault="008616D4" w:rsidP="00AE239B">
            <w:pPr>
              <w:rPr>
                <w:b/>
              </w:rPr>
            </w:pPr>
            <w:r w:rsidRPr="005D0DFC">
              <w:rPr>
                <w:b/>
              </w:rPr>
              <w:t>Issue</w:t>
            </w:r>
          </w:p>
        </w:tc>
        <w:tc>
          <w:tcPr>
            <w:tcW w:w="3872" w:type="dxa"/>
          </w:tcPr>
          <w:p w:rsidR="008616D4" w:rsidRPr="005D0DFC" w:rsidRDefault="008616D4" w:rsidP="00AE239B">
            <w:pPr>
              <w:rPr>
                <w:b/>
              </w:rPr>
            </w:pPr>
            <w:r w:rsidRPr="005D0DFC">
              <w:rPr>
                <w:b/>
              </w:rPr>
              <w:t>IP Comment</w:t>
            </w:r>
          </w:p>
        </w:tc>
      </w:tr>
      <w:tr w:rsidR="008616D4" w:rsidRPr="00E23C0E" w:rsidTr="00AE239B">
        <w:tc>
          <w:tcPr>
            <w:tcW w:w="817" w:type="dxa"/>
          </w:tcPr>
          <w:p w:rsidR="008616D4" w:rsidRPr="00E23C0E" w:rsidRDefault="008616D4" w:rsidP="00AE239B"/>
        </w:tc>
        <w:tc>
          <w:tcPr>
            <w:tcW w:w="3827" w:type="dxa"/>
          </w:tcPr>
          <w:p w:rsidR="008616D4" w:rsidRPr="00C0685B" w:rsidRDefault="00F52EEC" w:rsidP="00D637AD">
            <w:pPr>
              <w:rPr>
                <w:sz w:val="20"/>
                <w:szCs w:val="20"/>
              </w:rPr>
            </w:pPr>
            <w:r w:rsidRPr="00C0685B">
              <w:rPr>
                <w:sz w:val="20"/>
                <w:szCs w:val="20"/>
              </w:rPr>
              <w:t>An X</w:t>
            </w:r>
            <w:r w:rsidR="00CC4A33" w:rsidRPr="00C0685B">
              <w:rPr>
                <w:sz w:val="20"/>
                <w:szCs w:val="20"/>
              </w:rPr>
              <w:t xml:space="preserve">ML </w:t>
            </w:r>
            <w:r w:rsidRPr="00C0685B">
              <w:rPr>
                <w:sz w:val="20"/>
                <w:szCs w:val="20"/>
              </w:rPr>
              <w:t xml:space="preserve">was </w:t>
            </w:r>
            <w:r w:rsidR="00CC4A33" w:rsidRPr="00C0685B">
              <w:rPr>
                <w:sz w:val="20"/>
                <w:szCs w:val="20"/>
              </w:rPr>
              <w:t xml:space="preserve">submitted </w:t>
            </w:r>
            <w:r w:rsidR="005A3B86" w:rsidRPr="00C0685B">
              <w:rPr>
                <w:sz w:val="20"/>
                <w:szCs w:val="20"/>
              </w:rPr>
              <w:t>earlier</w:t>
            </w:r>
            <w:r w:rsidR="00CC4A33" w:rsidRPr="00C0685B">
              <w:rPr>
                <w:sz w:val="20"/>
                <w:szCs w:val="20"/>
              </w:rPr>
              <w:t xml:space="preserve"> by Latin GP</w:t>
            </w:r>
            <w:r w:rsidRPr="00C0685B">
              <w:rPr>
                <w:sz w:val="20"/>
                <w:szCs w:val="20"/>
              </w:rPr>
              <w:t xml:space="preserve"> but</w:t>
            </w:r>
            <w:r w:rsidR="005A3B86" w:rsidRPr="00C0685B">
              <w:rPr>
                <w:sz w:val="20"/>
                <w:szCs w:val="20"/>
              </w:rPr>
              <w:t xml:space="preserve"> too late for IP</w:t>
            </w:r>
            <w:r w:rsidRPr="00C0685B">
              <w:rPr>
                <w:sz w:val="20"/>
                <w:szCs w:val="20"/>
              </w:rPr>
              <w:t xml:space="preserve"> to consider it</w:t>
            </w:r>
            <w:r w:rsidR="008B7A19" w:rsidRPr="00C0685B">
              <w:rPr>
                <w:sz w:val="20"/>
                <w:szCs w:val="20"/>
              </w:rPr>
              <w:t xml:space="preserve"> with the May proposal</w:t>
            </w:r>
            <w:r w:rsidRPr="00C0685B">
              <w:rPr>
                <w:sz w:val="20"/>
                <w:szCs w:val="20"/>
              </w:rPr>
              <w:t>.</w:t>
            </w:r>
            <w:r w:rsidR="005A3B86" w:rsidRPr="00C0685B">
              <w:rPr>
                <w:sz w:val="20"/>
                <w:szCs w:val="20"/>
              </w:rPr>
              <w:t xml:space="preserve"> </w:t>
            </w:r>
          </w:p>
        </w:tc>
        <w:tc>
          <w:tcPr>
            <w:tcW w:w="3872" w:type="dxa"/>
          </w:tcPr>
          <w:p w:rsidR="008616D4" w:rsidRPr="00E23C0E" w:rsidRDefault="00D637AD" w:rsidP="00CC4A33">
            <w:proofErr w:type="gramStart"/>
            <w:r>
              <w:t>Hence</w:t>
            </w:r>
            <w:proofErr w:type="gramEnd"/>
            <w:r>
              <w:t xml:space="preserve"> this is the first IP comment on a proposed Latin XML.</w:t>
            </w:r>
          </w:p>
        </w:tc>
      </w:tr>
      <w:tr w:rsidR="006053F3" w:rsidRPr="00E23C0E" w:rsidTr="00AE239B">
        <w:tc>
          <w:tcPr>
            <w:tcW w:w="817" w:type="dxa"/>
          </w:tcPr>
          <w:p w:rsidR="006053F3" w:rsidRPr="00E23C0E" w:rsidRDefault="006053F3" w:rsidP="00AE239B"/>
        </w:tc>
        <w:tc>
          <w:tcPr>
            <w:tcW w:w="3827" w:type="dxa"/>
          </w:tcPr>
          <w:p w:rsidR="00D637AD" w:rsidRPr="00C0685B" w:rsidRDefault="00D637AD" w:rsidP="00D637AD">
            <w:pPr>
              <w:rPr>
                <w:rFonts w:ascii="Times" w:eastAsia="Times New Roman" w:hAnsi="Times" w:cs="Times New Roman"/>
                <w:sz w:val="20"/>
                <w:szCs w:val="20"/>
                <w:lang w:eastAsia="en-US"/>
              </w:rPr>
            </w:pPr>
            <w:r w:rsidRPr="00C0685B">
              <w:rPr>
                <w:rFonts w:ascii="Times" w:eastAsia="Times New Roman" w:hAnsi="Times" w:cs="Times New Roman"/>
                <w:sz w:val="20"/>
                <w:szCs w:val="20"/>
                <w:lang w:eastAsia="en-US"/>
              </w:rPr>
              <w:t xml:space="preserve">XML line 350: repeated reference 151 (should be 154 per document page 17) </w:t>
            </w:r>
          </w:p>
          <w:p w:rsidR="006053F3" w:rsidRPr="00C0685B" w:rsidRDefault="0030305A" w:rsidP="005A3B86">
            <w:pPr>
              <w:rPr>
                <w:sz w:val="20"/>
                <w:szCs w:val="20"/>
              </w:rPr>
            </w:pPr>
            <w:r w:rsidRPr="00C0685B">
              <w:rPr>
                <w:sz w:val="20"/>
                <w:szCs w:val="20"/>
              </w:rPr>
              <w:t xml:space="preserve">RFC7940 </w:t>
            </w:r>
            <w:proofErr w:type="gramStart"/>
            <w:r w:rsidRPr="00C0685B">
              <w:rPr>
                <w:sz w:val="20"/>
                <w:szCs w:val="20"/>
              </w:rPr>
              <w:t>states</w:t>
            </w:r>
            <w:proofErr w:type="gramEnd"/>
            <w:r w:rsidRPr="00C0685B">
              <w:rPr>
                <w:rFonts w:ascii="Courier" w:hAnsi="Courier" w:cs="Courier"/>
                <w:b/>
                <w:bCs/>
                <w:color w:val="CC33CC"/>
                <w:sz w:val="20"/>
                <w:szCs w:val="20"/>
                <w:lang w:eastAsia="en-US"/>
              </w:rPr>
              <w:t xml:space="preserve"> </w:t>
            </w:r>
            <w:r w:rsidRPr="00C0685B">
              <w:rPr>
                <w:sz w:val="20"/>
                <w:szCs w:val="20"/>
              </w:rPr>
              <w:t>“It is an error to repeat a reference identifier    in the same "ref" attribute”.</w:t>
            </w:r>
            <w:r w:rsidRPr="00C0685B">
              <w:rPr>
                <w:rFonts w:ascii="Courier" w:hAnsi="Courier" w:cs="Courier"/>
                <w:sz w:val="20"/>
                <w:szCs w:val="20"/>
                <w:lang w:eastAsia="en-US"/>
              </w:rPr>
              <w:t xml:space="preserve">  </w:t>
            </w:r>
          </w:p>
        </w:tc>
        <w:tc>
          <w:tcPr>
            <w:tcW w:w="3872" w:type="dxa"/>
          </w:tcPr>
          <w:p w:rsidR="006053F3" w:rsidRPr="00E23C0E" w:rsidRDefault="0030305A" w:rsidP="00CC4A33">
            <w:r>
              <w:t>Please fix</w:t>
            </w:r>
            <w:r w:rsidR="00152386">
              <w:t xml:space="preserve"> on line 350</w:t>
            </w:r>
          </w:p>
        </w:tc>
      </w:tr>
    </w:tbl>
    <w:p w:rsidR="008616D4" w:rsidRPr="00E23C0E" w:rsidRDefault="008616D4" w:rsidP="008616D4"/>
    <w:p w:rsidR="002B7ECF" w:rsidRDefault="008616D4" w:rsidP="008616D4">
      <w:pPr>
        <w:pStyle w:val="Heading1"/>
      </w:pPr>
      <w:r>
        <w:t>Comments on Test Labels</w:t>
      </w:r>
    </w:p>
    <w:p w:rsidR="008616D4" w:rsidRDefault="008616D4" w:rsidP="008616D4"/>
    <w:tbl>
      <w:tblPr>
        <w:tblStyle w:val="TableGrid"/>
        <w:tblW w:w="0" w:type="auto"/>
        <w:tblLook w:val="04A0"/>
      </w:tblPr>
      <w:tblGrid>
        <w:gridCol w:w="817"/>
        <w:gridCol w:w="3827"/>
        <w:gridCol w:w="3872"/>
      </w:tblGrid>
      <w:tr w:rsidR="008616D4" w:rsidRPr="005D0DFC" w:rsidTr="00AE239B">
        <w:tc>
          <w:tcPr>
            <w:tcW w:w="817" w:type="dxa"/>
          </w:tcPr>
          <w:p w:rsidR="008616D4" w:rsidRPr="005D0DFC" w:rsidRDefault="008616D4" w:rsidP="00AE239B">
            <w:pPr>
              <w:rPr>
                <w:b/>
              </w:rPr>
            </w:pPr>
            <w:r w:rsidRPr="005D0DFC">
              <w:rPr>
                <w:b/>
              </w:rPr>
              <w:t>Item</w:t>
            </w:r>
          </w:p>
        </w:tc>
        <w:tc>
          <w:tcPr>
            <w:tcW w:w="3827" w:type="dxa"/>
          </w:tcPr>
          <w:p w:rsidR="008616D4" w:rsidRPr="005D0DFC" w:rsidRDefault="008616D4" w:rsidP="00AE239B">
            <w:pPr>
              <w:rPr>
                <w:b/>
              </w:rPr>
            </w:pPr>
            <w:r w:rsidRPr="005D0DFC">
              <w:rPr>
                <w:b/>
              </w:rPr>
              <w:t>Issue</w:t>
            </w:r>
          </w:p>
        </w:tc>
        <w:tc>
          <w:tcPr>
            <w:tcW w:w="3872" w:type="dxa"/>
          </w:tcPr>
          <w:p w:rsidR="008616D4" w:rsidRPr="005D0DFC" w:rsidRDefault="008616D4" w:rsidP="00AE239B">
            <w:pPr>
              <w:rPr>
                <w:b/>
              </w:rPr>
            </w:pPr>
            <w:r w:rsidRPr="005D0DFC">
              <w:rPr>
                <w:b/>
              </w:rPr>
              <w:t>IP Comment</w:t>
            </w:r>
          </w:p>
        </w:tc>
      </w:tr>
      <w:tr w:rsidR="008616D4" w:rsidRPr="00E23C0E" w:rsidTr="00AE239B">
        <w:tc>
          <w:tcPr>
            <w:tcW w:w="817" w:type="dxa"/>
          </w:tcPr>
          <w:p w:rsidR="008616D4" w:rsidRPr="00E23C0E" w:rsidRDefault="008616D4" w:rsidP="00AE239B"/>
        </w:tc>
        <w:tc>
          <w:tcPr>
            <w:tcW w:w="3827" w:type="dxa"/>
          </w:tcPr>
          <w:p w:rsidR="008616D4" w:rsidRPr="00C0685B" w:rsidRDefault="0096383B" w:rsidP="00274CA9">
            <w:pPr>
              <w:rPr>
                <w:sz w:val="20"/>
                <w:szCs w:val="20"/>
              </w:rPr>
            </w:pPr>
            <w:proofErr w:type="gramStart"/>
            <w:r w:rsidRPr="00C0685B">
              <w:rPr>
                <w:sz w:val="20"/>
                <w:szCs w:val="20"/>
              </w:rPr>
              <w:t>A</w:t>
            </w:r>
            <w:r w:rsidR="00274CA9" w:rsidRPr="00C0685B">
              <w:rPr>
                <w:sz w:val="20"/>
                <w:szCs w:val="20"/>
              </w:rPr>
              <w:t>s</w:t>
            </w:r>
            <w:r w:rsidRPr="00C0685B">
              <w:rPr>
                <w:sz w:val="20"/>
                <w:szCs w:val="20"/>
              </w:rPr>
              <w:t xml:space="preserve"> yet</w:t>
            </w:r>
            <w:proofErr w:type="gramEnd"/>
            <w:r w:rsidRPr="00C0685B">
              <w:rPr>
                <w:sz w:val="20"/>
                <w:szCs w:val="20"/>
              </w:rPr>
              <w:t xml:space="preserve"> there is no test label file.</w:t>
            </w:r>
          </w:p>
        </w:tc>
        <w:tc>
          <w:tcPr>
            <w:tcW w:w="3872" w:type="dxa"/>
          </w:tcPr>
          <w:p w:rsidR="008616D4" w:rsidRPr="00E23C0E" w:rsidRDefault="0096383B" w:rsidP="00AE239B">
            <w:r>
              <w:t>Please supply.</w:t>
            </w:r>
          </w:p>
        </w:tc>
      </w:tr>
      <w:tr w:rsidR="008616D4" w:rsidRPr="00E23C0E" w:rsidTr="00AE239B">
        <w:tc>
          <w:tcPr>
            <w:tcW w:w="817" w:type="dxa"/>
          </w:tcPr>
          <w:p w:rsidR="008616D4" w:rsidRPr="00E23C0E" w:rsidRDefault="008616D4" w:rsidP="00AE239B"/>
        </w:tc>
        <w:tc>
          <w:tcPr>
            <w:tcW w:w="3827" w:type="dxa"/>
          </w:tcPr>
          <w:p w:rsidR="008616D4" w:rsidRPr="00E23C0E" w:rsidRDefault="008616D4" w:rsidP="00AE239B"/>
        </w:tc>
        <w:tc>
          <w:tcPr>
            <w:tcW w:w="3872" w:type="dxa"/>
          </w:tcPr>
          <w:p w:rsidR="008616D4" w:rsidRPr="00E23C0E" w:rsidRDefault="008616D4" w:rsidP="00AE239B"/>
        </w:tc>
      </w:tr>
    </w:tbl>
    <w:p w:rsidR="008616D4" w:rsidRPr="00E23C0E" w:rsidRDefault="008616D4" w:rsidP="008616D4"/>
    <w:p w:rsidR="008616D4" w:rsidRPr="008616D4" w:rsidRDefault="008616D4" w:rsidP="008616D4"/>
    <w:sectPr w:rsidR="008616D4" w:rsidRPr="008616D4" w:rsidSect="00D9364B">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DaunPenh">
    <w:panose1 w:val="01010101010101010101"/>
    <w:charset w:val="00"/>
    <w:family w:val="auto"/>
    <w:pitch w:val="variable"/>
    <w:sig w:usb0="00000003" w:usb1="00000000" w:usb2="00010000" w:usb3="00000000" w:csb0="00000001" w:csb1="00000000"/>
  </w:font>
  <w:font w:name="Calibri">
    <w:panose1 w:val="020F0502020204030204"/>
    <w:charset w:val="00"/>
    <w:family w:val="swiss"/>
    <w:pitch w:val="variable"/>
    <w:sig w:usb0="E00002FF" w:usb1="4000ACFF" w:usb2="00000001" w:usb3="00000000" w:csb0="0000019F" w:csb1="00000000"/>
  </w:font>
  <w:font w:name="MoolBoran">
    <w:panose1 w:val="020B0100010101010101"/>
    <w:charset w:val="00"/>
    <w:family w:val="swiss"/>
    <w:pitch w:val="variable"/>
    <w:sig w:usb0="8000000F" w:usb1="0000204A" w:usb2="00010000" w:usb3="00000000" w:csb0="00000001" w:csb1="00000000"/>
  </w:font>
  <w:font w:name="Lucida Grande">
    <w:altName w:val="Arial"/>
    <w:charset w:val="00"/>
    <w:family w:val="auto"/>
    <w:pitch w:val="variable"/>
    <w:sig w:usb0="E1000AEF" w:usb1="5000A1FF" w:usb2="00000000" w:usb3="00000000" w:csb0="000001BF" w:csb1="00000000"/>
  </w:font>
  <w:font w:name="Candara">
    <w:panose1 w:val="020E0502030303020204"/>
    <w:charset w:val="00"/>
    <w:family w:val="swiss"/>
    <w:pitch w:val="variable"/>
    <w:sig w:usb0="A00002EF" w:usb1="4000A44B" w:usb2="00000000" w:usb3="00000000" w:csb0="0000019F" w:csb1="00000000"/>
  </w:font>
  <w:font w:name="Times">
    <w:altName w:val="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744750"/>
    <w:multiLevelType w:val="multilevel"/>
    <w:tmpl w:val="09204C38"/>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
    <w:nsid w:val="664F3981"/>
    <w:multiLevelType w:val="multilevel"/>
    <w:tmpl w:val="8EDE47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7DCB1D8C"/>
    <w:multiLevelType w:val="hybridMultilevel"/>
    <w:tmpl w:val="12D8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removePersonalInformation/>
  <w:removeDateAndTime/>
  <w:embedSystemFonts/>
  <w:proofState w:spelling="clean" w:grammar="clean"/>
  <w:trackRevisions/>
  <w:doNotTrackFormatting/>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
  <w:rsids>
    <w:rsidRoot w:val="00E23C0E"/>
    <w:rsid w:val="000231B5"/>
    <w:rsid w:val="00082C30"/>
    <w:rsid w:val="00152386"/>
    <w:rsid w:val="00184BF1"/>
    <w:rsid w:val="00234F18"/>
    <w:rsid w:val="00254BCF"/>
    <w:rsid w:val="00274CA9"/>
    <w:rsid w:val="00296FA0"/>
    <w:rsid w:val="002B7ECF"/>
    <w:rsid w:val="002D72DF"/>
    <w:rsid w:val="0030305A"/>
    <w:rsid w:val="003A1061"/>
    <w:rsid w:val="003A1B74"/>
    <w:rsid w:val="00411104"/>
    <w:rsid w:val="00411FBC"/>
    <w:rsid w:val="00416328"/>
    <w:rsid w:val="0043108A"/>
    <w:rsid w:val="0045627E"/>
    <w:rsid w:val="0047508B"/>
    <w:rsid w:val="00514D9A"/>
    <w:rsid w:val="005A3B86"/>
    <w:rsid w:val="005D0DFC"/>
    <w:rsid w:val="005E5450"/>
    <w:rsid w:val="006053F3"/>
    <w:rsid w:val="00624CEC"/>
    <w:rsid w:val="00652AF3"/>
    <w:rsid w:val="00672EDE"/>
    <w:rsid w:val="00674A34"/>
    <w:rsid w:val="006B3189"/>
    <w:rsid w:val="00713DF2"/>
    <w:rsid w:val="007276B5"/>
    <w:rsid w:val="0073486D"/>
    <w:rsid w:val="00752032"/>
    <w:rsid w:val="007C02D2"/>
    <w:rsid w:val="007E1881"/>
    <w:rsid w:val="007F69FF"/>
    <w:rsid w:val="00801942"/>
    <w:rsid w:val="00814AAA"/>
    <w:rsid w:val="008203F6"/>
    <w:rsid w:val="008375F6"/>
    <w:rsid w:val="008616D4"/>
    <w:rsid w:val="0086586A"/>
    <w:rsid w:val="008A5681"/>
    <w:rsid w:val="008B7A19"/>
    <w:rsid w:val="008C7705"/>
    <w:rsid w:val="008D68D6"/>
    <w:rsid w:val="008F07C8"/>
    <w:rsid w:val="0096383B"/>
    <w:rsid w:val="00994C7B"/>
    <w:rsid w:val="009A7D5A"/>
    <w:rsid w:val="009B7C09"/>
    <w:rsid w:val="009D2594"/>
    <w:rsid w:val="00A46F43"/>
    <w:rsid w:val="00A50D51"/>
    <w:rsid w:val="00AB30A0"/>
    <w:rsid w:val="00AE239B"/>
    <w:rsid w:val="00B1339B"/>
    <w:rsid w:val="00B30B2D"/>
    <w:rsid w:val="00B469E0"/>
    <w:rsid w:val="00B76A0D"/>
    <w:rsid w:val="00BC4163"/>
    <w:rsid w:val="00C0685B"/>
    <w:rsid w:val="00C103B4"/>
    <w:rsid w:val="00C71767"/>
    <w:rsid w:val="00C77ADC"/>
    <w:rsid w:val="00CA12DA"/>
    <w:rsid w:val="00CC4A33"/>
    <w:rsid w:val="00CD5A2F"/>
    <w:rsid w:val="00CE0DB2"/>
    <w:rsid w:val="00D161D3"/>
    <w:rsid w:val="00D36148"/>
    <w:rsid w:val="00D45F82"/>
    <w:rsid w:val="00D637AD"/>
    <w:rsid w:val="00D7149B"/>
    <w:rsid w:val="00D9364B"/>
    <w:rsid w:val="00DD5822"/>
    <w:rsid w:val="00DE6C09"/>
    <w:rsid w:val="00E23C0E"/>
    <w:rsid w:val="00E33D45"/>
    <w:rsid w:val="00E366FC"/>
    <w:rsid w:val="00E3679C"/>
    <w:rsid w:val="00E36C3F"/>
    <w:rsid w:val="00E43ED5"/>
    <w:rsid w:val="00E46800"/>
    <w:rsid w:val="00E815AB"/>
    <w:rsid w:val="00E949C9"/>
    <w:rsid w:val="00ED7399"/>
    <w:rsid w:val="00EF61D3"/>
    <w:rsid w:val="00F2058E"/>
    <w:rsid w:val="00F52EEC"/>
    <w:rsid w:val="00F62046"/>
    <w:rsid w:val="00F8317D"/>
    <w:rsid w:val="00FA74B1"/>
    <w:rsid w:val="00FE7305"/>
  </w:rsids>
  <m:mathPr>
    <m:mathFont m:val="Cambria Math"/>
    <m:brkBin m:val="before"/>
    <m:brkBinSub m:val="--"/>
    <m:smallFrac m:val="off"/>
    <m:dispDef m:val="off"/>
    <m:lMargin m:val="0"/>
    <m:rMargin m:val="0"/>
    <m:defJc m:val="centerGroup"/>
    <m:wrapRight/>
    <m:intLim m:val="subSup"/>
    <m:naryLim m:val="subSup"/>
  </m:mathPr>
  <w:themeFontLang w:val="en-US"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ADC"/>
    <w:rPr>
      <w:sz w:val="24"/>
      <w:szCs w:val="24"/>
    </w:rPr>
  </w:style>
  <w:style w:type="paragraph" w:styleId="Heading1">
    <w:name w:val="heading 1"/>
    <w:basedOn w:val="Normal"/>
    <w:next w:val="Normal"/>
    <w:link w:val="Heading1Char"/>
    <w:uiPriority w:val="9"/>
    <w:qFormat/>
    <w:rsid w:val="00E23C0E"/>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2DA"/>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12DA"/>
    <w:rPr>
      <w:rFonts w:ascii="Lucida Grande" w:hAnsi="Lucida Grande" w:cs="Lucida Grande"/>
      <w:sz w:val="18"/>
      <w:szCs w:val="18"/>
    </w:rPr>
  </w:style>
  <w:style w:type="paragraph" w:styleId="Title">
    <w:name w:val="Title"/>
    <w:basedOn w:val="Normal"/>
    <w:next w:val="Normal"/>
    <w:link w:val="TitleChar"/>
    <w:uiPriority w:val="10"/>
    <w:qFormat/>
    <w:rsid w:val="00E23C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3C0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23C0E"/>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2B7EC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16328"/>
    <w:pPr>
      <w:ind w:left="720"/>
      <w:contextualSpacing/>
    </w:pPr>
  </w:style>
  <w:style w:type="character" w:styleId="CommentReference">
    <w:name w:val="annotation reference"/>
    <w:basedOn w:val="DefaultParagraphFont"/>
    <w:uiPriority w:val="99"/>
    <w:semiHidden/>
    <w:unhideWhenUsed/>
    <w:rsid w:val="00F52EEC"/>
    <w:rPr>
      <w:sz w:val="16"/>
      <w:szCs w:val="16"/>
    </w:rPr>
  </w:style>
  <w:style w:type="paragraph" w:styleId="CommentText">
    <w:name w:val="annotation text"/>
    <w:basedOn w:val="Normal"/>
    <w:link w:val="CommentTextChar"/>
    <w:uiPriority w:val="99"/>
    <w:semiHidden/>
    <w:unhideWhenUsed/>
    <w:rsid w:val="00F52EEC"/>
    <w:rPr>
      <w:sz w:val="20"/>
      <w:szCs w:val="20"/>
    </w:rPr>
  </w:style>
  <w:style w:type="character" w:customStyle="1" w:styleId="CommentTextChar">
    <w:name w:val="Comment Text Char"/>
    <w:basedOn w:val="DefaultParagraphFont"/>
    <w:link w:val="CommentText"/>
    <w:uiPriority w:val="99"/>
    <w:semiHidden/>
    <w:rsid w:val="00F52EEC"/>
  </w:style>
  <w:style w:type="paragraph" w:styleId="CommentSubject">
    <w:name w:val="annotation subject"/>
    <w:basedOn w:val="CommentText"/>
    <w:next w:val="CommentText"/>
    <w:link w:val="CommentSubjectChar"/>
    <w:uiPriority w:val="99"/>
    <w:semiHidden/>
    <w:unhideWhenUsed/>
    <w:rsid w:val="00F52EEC"/>
    <w:rPr>
      <w:b/>
      <w:bCs/>
    </w:rPr>
  </w:style>
  <w:style w:type="character" w:customStyle="1" w:styleId="CommentSubjectChar">
    <w:name w:val="Comment Subject Char"/>
    <w:basedOn w:val="CommentTextChar"/>
    <w:link w:val="CommentSubject"/>
    <w:uiPriority w:val="99"/>
    <w:semiHidden/>
    <w:rsid w:val="00F52EEC"/>
    <w:rPr>
      <w:b/>
      <w:bCs/>
    </w:rPr>
  </w:style>
  <w:style w:type="character" w:styleId="Strong">
    <w:name w:val="Strong"/>
    <w:basedOn w:val="DefaultParagraphFont"/>
    <w:uiPriority w:val="22"/>
    <w:qFormat/>
    <w:rsid w:val="00E43ED5"/>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23C0E"/>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2DA"/>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12DA"/>
    <w:rPr>
      <w:rFonts w:ascii="Lucida Grande" w:hAnsi="Lucida Grande" w:cs="Lucida Grande"/>
      <w:sz w:val="18"/>
      <w:szCs w:val="18"/>
    </w:rPr>
  </w:style>
  <w:style w:type="paragraph" w:styleId="Title">
    <w:name w:val="Title"/>
    <w:basedOn w:val="Normal"/>
    <w:next w:val="Normal"/>
    <w:link w:val="TitleChar"/>
    <w:uiPriority w:val="10"/>
    <w:qFormat/>
    <w:rsid w:val="00E23C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3C0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23C0E"/>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2B7EC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16328"/>
    <w:pPr>
      <w:ind w:left="720"/>
      <w:contextualSpacing/>
    </w:pPr>
  </w:style>
</w:styles>
</file>

<file path=word/webSettings.xml><?xml version="1.0" encoding="utf-8"?>
<w:webSettings xmlns:r="http://schemas.openxmlformats.org/officeDocument/2006/relationships" xmlns:w="http://schemas.openxmlformats.org/wordprocessingml/2006/main">
  <w:divs>
    <w:div w:id="72287575">
      <w:bodyDiv w:val="1"/>
      <w:marLeft w:val="0"/>
      <w:marRight w:val="0"/>
      <w:marTop w:val="0"/>
      <w:marBottom w:val="0"/>
      <w:divBdr>
        <w:top w:val="none" w:sz="0" w:space="0" w:color="auto"/>
        <w:left w:val="none" w:sz="0" w:space="0" w:color="auto"/>
        <w:bottom w:val="none" w:sz="0" w:space="0" w:color="auto"/>
        <w:right w:val="none" w:sz="0" w:space="0" w:color="auto"/>
      </w:divBdr>
    </w:div>
    <w:div w:id="117336358">
      <w:bodyDiv w:val="1"/>
      <w:marLeft w:val="0"/>
      <w:marRight w:val="0"/>
      <w:marTop w:val="0"/>
      <w:marBottom w:val="0"/>
      <w:divBdr>
        <w:top w:val="none" w:sz="0" w:space="0" w:color="auto"/>
        <w:left w:val="none" w:sz="0" w:space="0" w:color="auto"/>
        <w:bottom w:val="none" w:sz="0" w:space="0" w:color="auto"/>
        <w:right w:val="none" w:sz="0" w:space="0" w:color="auto"/>
      </w:divBdr>
      <w:divsChild>
        <w:div w:id="1662539104">
          <w:marLeft w:val="0"/>
          <w:marRight w:val="0"/>
          <w:marTop w:val="0"/>
          <w:marBottom w:val="0"/>
          <w:divBdr>
            <w:top w:val="none" w:sz="0" w:space="0" w:color="auto"/>
            <w:left w:val="none" w:sz="0" w:space="0" w:color="auto"/>
            <w:bottom w:val="none" w:sz="0" w:space="0" w:color="auto"/>
            <w:right w:val="none" w:sz="0" w:space="0" w:color="auto"/>
          </w:divBdr>
        </w:div>
        <w:div w:id="1443264290">
          <w:marLeft w:val="0"/>
          <w:marRight w:val="0"/>
          <w:marTop w:val="0"/>
          <w:marBottom w:val="0"/>
          <w:divBdr>
            <w:top w:val="none" w:sz="0" w:space="0" w:color="auto"/>
            <w:left w:val="none" w:sz="0" w:space="0" w:color="auto"/>
            <w:bottom w:val="none" w:sz="0" w:space="0" w:color="auto"/>
            <w:right w:val="none" w:sz="0" w:space="0" w:color="auto"/>
          </w:divBdr>
        </w:div>
      </w:divsChild>
    </w:div>
    <w:div w:id="609701291">
      <w:bodyDiv w:val="1"/>
      <w:marLeft w:val="0"/>
      <w:marRight w:val="0"/>
      <w:marTop w:val="0"/>
      <w:marBottom w:val="0"/>
      <w:divBdr>
        <w:top w:val="none" w:sz="0" w:space="0" w:color="auto"/>
        <w:left w:val="none" w:sz="0" w:space="0" w:color="auto"/>
        <w:bottom w:val="none" w:sz="0" w:space="0" w:color="auto"/>
        <w:right w:val="none" w:sz="0" w:space="0" w:color="auto"/>
      </w:divBdr>
      <w:divsChild>
        <w:div w:id="623197157">
          <w:marLeft w:val="0"/>
          <w:marRight w:val="0"/>
          <w:marTop w:val="0"/>
          <w:marBottom w:val="0"/>
          <w:divBdr>
            <w:top w:val="none" w:sz="0" w:space="0" w:color="auto"/>
            <w:left w:val="none" w:sz="0" w:space="0" w:color="auto"/>
            <w:bottom w:val="none" w:sz="0" w:space="0" w:color="auto"/>
            <w:right w:val="none" w:sz="0" w:space="0" w:color="auto"/>
          </w:divBdr>
        </w:div>
        <w:div w:id="1403916253">
          <w:marLeft w:val="0"/>
          <w:marRight w:val="0"/>
          <w:marTop w:val="0"/>
          <w:marBottom w:val="0"/>
          <w:divBdr>
            <w:top w:val="none" w:sz="0" w:space="0" w:color="auto"/>
            <w:left w:val="none" w:sz="0" w:space="0" w:color="auto"/>
            <w:bottom w:val="none" w:sz="0" w:space="0" w:color="auto"/>
            <w:right w:val="none" w:sz="0" w:space="0" w:color="auto"/>
          </w:divBdr>
        </w:div>
        <w:div w:id="585069687">
          <w:marLeft w:val="0"/>
          <w:marRight w:val="0"/>
          <w:marTop w:val="0"/>
          <w:marBottom w:val="0"/>
          <w:divBdr>
            <w:top w:val="none" w:sz="0" w:space="0" w:color="auto"/>
            <w:left w:val="none" w:sz="0" w:space="0" w:color="auto"/>
            <w:bottom w:val="none" w:sz="0" w:space="0" w:color="auto"/>
            <w:right w:val="none" w:sz="0" w:space="0" w:color="auto"/>
          </w:divBdr>
        </w:div>
        <w:div w:id="843206652">
          <w:marLeft w:val="0"/>
          <w:marRight w:val="0"/>
          <w:marTop w:val="0"/>
          <w:marBottom w:val="0"/>
          <w:divBdr>
            <w:top w:val="none" w:sz="0" w:space="0" w:color="auto"/>
            <w:left w:val="none" w:sz="0" w:space="0" w:color="auto"/>
            <w:bottom w:val="none" w:sz="0" w:space="0" w:color="auto"/>
            <w:right w:val="none" w:sz="0" w:space="0" w:color="auto"/>
          </w:divBdr>
        </w:div>
        <w:div w:id="502670864">
          <w:marLeft w:val="0"/>
          <w:marRight w:val="0"/>
          <w:marTop w:val="0"/>
          <w:marBottom w:val="0"/>
          <w:divBdr>
            <w:top w:val="none" w:sz="0" w:space="0" w:color="auto"/>
            <w:left w:val="none" w:sz="0" w:space="0" w:color="auto"/>
            <w:bottom w:val="none" w:sz="0" w:space="0" w:color="auto"/>
            <w:right w:val="none" w:sz="0" w:space="0" w:color="auto"/>
          </w:divBdr>
        </w:div>
        <w:div w:id="1364283277">
          <w:marLeft w:val="0"/>
          <w:marRight w:val="0"/>
          <w:marTop w:val="0"/>
          <w:marBottom w:val="0"/>
          <w:divBdr>
            <w:top w:val="none" w:sz="0" w:space="0" w:color="auto"/>
            <w:left w:val="none" w:sz="0" w:space="0" w:color="auto"/>
            <w:bottom w:val="none" w:sz="0" w:space="0" w:color="auto"/>
            <w:right w:val="none" w:sz="0" w:space="0" w:color="auto"/>
          </w:divBdr>
        </w:div>
        <w:div w:id="1667170724">
          <w:marLeft w:val="0"/>
          <w:marRight w:val="0"/>
          <w:marTop w:val="0"/>
          <w:marBottom w:val="0"/>
          <w:divBdr>
            <w:top w:val="none" w:sz="0" w:space="0" w:color="auto"/>
            <w:left w:val="none" w:sz="0" w:space="0" w:color="auto"/>
            <w:bottom w:val="none" w:sz="0" w:space="0" w:color="auto"/>
            <w:right w:val="none" w:sz="0" w:space="0" w:color="auto"/>
          </w:divBdr>
        </w:div>
        <w:div w:id="64839082">
          <w:marLeft w:val="0"/>
          <w:marRight w:val="0"/>
          <w:marTop w:val="0"/>
          <w:marBottom w:val="0"/>
          <w:divBdr>
            <w:top w:val="none" w:sz="0" w:space="0" w:color="auto"/>
            <w:left w:val="none" w:sz="0" w:space="0" w:color="auto"/>
            <w:bottom w:val="none" w:sz="0" w:space="0" w:color="auto"/>
            <w:right w:val="none" w:sz="0" w:space="0" w:color="auto"/>
          </w:divBdr>
        </w:div>
        <w:div w:id="1842114576">
          <w:marLeft w:val="0"/>
          <w:marRight w:val="0"/>
          <w:marTop w:val="0"/>
          <w:marBottom w:val="0"/>
          <w:divBdr>
            <w:top w:val="none" w:sz="0" w:space="0" w:color="auto"/>
            <w:left w:val="none" w:sz="0" w:space="0" w:color="auto"/>
            <w:bottom w:val="none" w:sz="0" w:space="0" w:color="auto"/>
            <w:right w:val="none" w:sz="0" w:space="0" w:color="auto"/>
          </w:divBdr>
        </w:div>
        <w:div w:id="972097681">
          <w:marLeft w:val="0"/>
          <w:marRight w:val="0"/>
          <w:marTop w:val="0"/>
          <w:marBottom w:val="0"/>
          <w:divBdr>
            <w:top w:val="none" w:sz="0" w:space="0" w:color="auto"/>
            <w:left w:val="none" w:sz="0" w:space="0" w:color="auto"/>
            <w:bottom w:val="none" w:sz="0" w:space="0" w:color="auto"/>
            <w:right w:val="none" w:sz="0" w:space="0" w:color="auto"/>
          </w:divBdr>
        </w:div>
        <w:div w:id="994921148">
          <w:marLeft w:val="0"/>
          <w:marRight w:val="0"/>
          <w:marTop w:val="0"/>
          <w:marBottom w:val="0"/>
          <w:divBdr>
            <w:top w:val="none" w:sz="0" w:space="0" w:color="auto"/>
            <w:left w:val="none" w:sz="0" w:space="0" w:color="auto"/>
            <w:bottom w:val="none" w:sz="0" w:space="0" w:color="auto"/>
            <w:right w:val="none" w:sz="0" w:space="0" w:color="auto"/>
          </w:divBdr>
        </w:div>
      </w:divsChild>
    </w:div>
    <w:div w:id="762989320">
      <w:bodyDiv w:val="1"/>
      <w:marLeft w:val="0"/>
      <w:marRight w:val="0"/>
      <w:marTop w:val="0"/>
      <w:marBottom w:val="0"/>
      <w:divBdr>
        <w:top w:val="none" w:sz="0" w:space="0" w:color="auto"/>
        <w:left w:val="none" w:sz="0" w:space="0" w:color="auto"/>
        <w:bottom w:val="none" w:sz="0" w:space="0" w:color="auto"/>
        <w:right w:val="none" w:sz="0" w:space="0" w:color="auto"/>
      </w:divBdr>
    </w:div>
    <w:div w:id="869925601">
      <w:bodyDiv w:val="1"/>
      <w:marLeft w:val="0"/>
      <w:marRight w:val="0"/>
      <w:marTop w:val="0"/>
      <w:marBottom w:val="0"/>
      <w:divBdr>
        <w:top w:val="none" w:sz="0" w:space="0" w:color="auto"/>
        <w:left w:val="none" w:sz="0" w:space="0" w:color="auto"/>
        <w:bottom w:val="none" w:sz="0" w:space="0" w:color="auto"/>
        <w:right w:val="none" w:sz="0" w:space="0" w:color="auto"/>
      </w:divBdr>
    </w:div>
    <w:div w:id="909848946">
      <w:bodyDiv w:val="1"/>
      <w:marLeft w:val="0"/>
      <w:marRight w:val="0"/>
      <w:marTop w:val="0"/>
      <w:marBottom w:val="0"/>
      <w:divBdr>
        <w:top w:val="none" w:sz="0" w:space="0" w:color="auto"/>
        <w:left w:val="none" w:sz="0" w:space="0" w:color="auto"/>
        <w:bottom w:val="none" w:sz="0" w:space="0" w:color="auto"/>
        <w:right w:val="none" w:sz="0" w:space="0" w:color="auto"/>
      </w:divBdr>
    </w:div>
    <w:div w:id="969553144">
      <w:bodyDiv w:val="1"/>
      <w:marLeft w:val="0"/>
      <w:marRight w:val="0"/>
      <w:marTop w:val="0"/>
      <w:marBottom w:val="0"/>
      <w:divBdr>
        <w:top w:val="none" w:sz="0" w:space="0" w:color="auto"/>
        <w:left w:val="none" w:sz="0" w:space="0" w:color="auto"/>
        <w:bottom w:val="none" w:sz="0" w:space="0" w:color="auto"/>
        <w:right w:val="none" w:sz="0" w:space="0" w:color="auto"/>
      </w:divBdr>
    </w:div>
    <w:div w:id="1046413401">
      <w:bodyDiv w:val="1"/>
      <w:marLeft w:val="0"/>
      <w:marRight w:val="0"/>
      <w:marTop w:val="0"/>
      <w:marBottom w:val="0"/>
      <w:divBdr>
        <w:top w:val="none" w:sz="0" w:space="0" w:color="auto"/>
        <w:left w:val="none" w:sz="0" w:space="0" w:color="auto"/>
        <w:bottom w:val="none" w:sz="0" w:space="0" w:color="auto"/>
        <w:right w:val="none" w:sz="0" w:space="0" w:color="auto"/>
      </w:divBdr>
    </w:div>
    <w:div w:id="1466238802">
      <w:bodyDiv w:val="1"/>
      <w:marLeft w:val="0"/>
      <w:marRight w:val="0"/>
      <w:marTop w:val="0"/>
      <w:marBottom w:val="0"/>
      <w:divBdr>
        <w:top w:val="none" w:sz="0" w:space="0" w:color="auto"/>
        <w:left w:val="none" w:sz="0" w:space="0" w:color="auto"/>
        <w:bottom w:val="none" w:sz="0" w:space="0" w:color="auto"/>
        <w:right w:val="none" w:sz="0" w:space="0" w:color="auto"/>
      </w:divBdr>
      <w:divsChild>
        <w:div w:id="1538152990">
          <w:marLeft w:val="0"/>
          <w:marRight w:val="0"/>
          <w:marTop w:val="0"/>
          <w:marBottom w:val="0"/>
          <w:divBdr>
            <w:top w:val="none" w:sz="0" w:space="0" w:color="auto"/>
            <w:left w:val="none" w:sz="0" w:space="0" w:color="auto"/>
            <w:bottom w:val="none" w:sz="0" w:space="0" w:color="auto"/>
            <w:right w:val="none" w:sz="0" w:space="0" w:color="auto"/>
          </w:divBdr>
        </w:div>
        <w:div w:id="1587305609">
          <w:marLeft w:val="0"/>
          <w:marRight w:val="0"/>
          <w:marTop w:val="0"/>
          <w:marBottom w:val="0"/>
          <w:divBdr>
            <w:top w:val="none" w:sz="0" w:space="0" w:color="auto"/>
            <w:left w:val="none" w:sz="0" w:space="0" w:color="auto"/>
            <w:bottom w:val="none" w:sz="0" w:space="0" w:color="auto"/>
            <w:right w:val="none" w:sz="0" w:space="0" w:color="auto"/>
          </w:divBdr>
        </w:div>
        <w:div w:id="256519876">
          <w:marLeft w:val="0"/>
          <w:marRight w:val="0"/>
          <w:marTop w:val="0"/>
          <w:marBottom w:val="0"/>
          <w:divBdr>
            <w:top w:val="none" w:sz="0" w:space="0" w:color="auto"/>
            <w:left w:val="none" w:sz="0" w:space="0" w:color="auto"/>
            <w:bottom w:val="none" w:sz="0" w:space="0" w:color="auto"/>
            <w:right w:val="none" w:sz="0" w:space="0" w:color="auto"/>
          </w:divBdr>
        </w:div>
        <w:div w:id="761990313">
          <w:marLeft w:val="0"/>
          <w:marRight w:val="0"/>
          <w:marTop w:val="0"/>
          <w:marBottom w:val="0"/>
          <w:divBdr>
            <w:top w:val="none" w:sz="0" w:space="0" w:color="auto"/>
            <w:left w:val="none" w:sz="0" w:space="0" w:color="auto"/>
            <w:bottom w:val="none" w:sz="0" w:space="0" w:color="auto"/>
            <w:right w:val="none" w:sz="0" w:space="0" w:color="auto"/>
          </w:divBdr>
        </w:div>
        <w:div w:id="993069248">
          <w:marLeft w:val="0"/>
          <w:marRight w:val="0"/>
          <w:marTop w:val="0"/>
          <w:marBottom w:val="0"/>
          <w:divBdr>
            <w:top w:val="none" w:sz="0" w:space="0" w:color="auto"/>
            <w:left w:val="none" w:sz="0" w:space="0" w:color="auto"/>
            <w:bottom w:val="none" w:sz="0" w:space="0" w:color="auto"/>
            <w:right w:val="none" w:sz="0" w:space="0" w:color="auto"/>
          </w:divBdr>
        </w:div>
        <w:div w:id="738406005">
          <w:marLeft w:val="0"/>
          <w:marRight w:val="0"/>
          <w:marTop w:val="0"/>
          <w:marBottom w:val="0"/>
          <w:divBdr>
            <w:top w:val="none" w:sz="0" w:space="0" w:color="auto"/>
            <w:left w:val="none" w:sz="0" w:space="0" w:color="auto"/>
            <w:bottom w:val="none" w:sz="0" w:space="0" w:color="auto"/>
            <w:right w:val="none" w:sz="0" w:space="0" w:color="auto"/>
          </w:divBdr>
        </w:div>
        <w:div w:id="1302611737">
          <w:marLeft w:val="0"/>
          <w:marRight w:val="0"/>
          <w:marTop w:val="0"/>
          <w:marBottom w:val="0"/>
          <w:divBdr>
            <w:top w:val="none" w:sz="0" w:space="0" w:color="auto"/>
            <w:left w:val="none" w:sz="0" w:space="0" w:color="auto"/>
            <w:bottom w:val="none" w:sz="0" w:space="0" w:color="auto"/>
            <w:right w:val="none" w:sz="0" w:space="0" w:color="auto"/>
          </w:divBdr>
        </w:div>
        <w:div w:id="853157140">
          <w:marLeft w:val="0"/>
          <w:marRight w:val="0"/>
          <w:marTop w:val="0"/>
          <w:marBottom w:val="0"/>
          <w:divBdr>
            <w:top w:val="none" w:sz="0" w:space="0" w:color="auto"/>
            <w:left w:val="none" w:sz="0" w:space="0" w:color="auto"/>
            <w:bottom w:val="none" w:sz="0" w:space="0" w:color="auto"/>
            <w:right w:val="none" w:sz="0" w:space="0" w:color="auto"/>
          </w:divBdr>
        </w:div>
        <w:div w:id="296229656">
          <w:marLeft w:val="0"/>
          <w:marRight w:val="0"/>
          <w:marTop w:val="0"/>
          <w:marBottom w:val="0"/>
          <w:divBdr>
            <w:top w:val="none" w:sz="0" w:space="0" w:color="auto"/>
            <w:left w:val="none" w:sz="0" w:space="0" w:color="auto"/>
            <w:bottom w:val="none" w:sz="0" w:space="0" w:color="auto"/>
            <w:right w:val="none" w:sz="0" w:space="0" w:color="auto"/>
          </w:divBdr>
        </w:div>
        <w:div w:id="38285672">
          <w:marLeft w:val="0"/>
          <w:marRight w:val="0"/>
          <w:marTop w:val="0"/>
          <w:marBottom w:val="0"/>
          <w:divBdr>
            <w:top w:val="none" w:sz="0" w:space="0" w:color="auto"/>
            <w:left w:val="none" w:sz="0" w:space="0" w:color="auto"/>
            <w:bottom w:val="none" w:sz="0" w:space="0" w:color="auto"/>
            <w:right w:val="none" w:sz="0" w:space="0" w:color="auto"/>
          </w:divBdr>
        </w:div>
        <w:div w:id="1897736147">
          <w:marLeft w:val="0"/>
          <w:marRight w:val="0"/>
          <w:marTop w:val="0"/>
          <w:marBottom w:val="0"/>
          <w:divBdr>
            <w:top w:val="none" w:sz="0" w:space="0" w:color="auto"/>
            <w:left w:val="none" w:sz="0" w:space="0" w:color="auto"/>
            <w:bottom w:val="none" w:sz="0" w:space="0" w:color="auto"/>
            <w:right w:val="none" w:sz="0" w:space="0" w:color="auto"/>
          </w:divBdr>
        </w:div>
      </w:divsChild>
    </w:div>
    <w:div w:id="1608463631">
      <w:bodyDiv w:val="1"/>
      <w:marLeft w:val="0"/>
      <w:marRight w:val="0"/>
      <w:marTop w:val="0"/>
      <w:marBottom w:val="0"/>
      <w:divBdr>
        <w:top w:val="none" w:sz="0" w:space="0" w:color="auto"/>
        <w:left w:val="none" w:sz="0" w:space="0" w:color="auto"/>
        <w:bottom w:val="none" w:sz="0" w:space="0" w:color="auto"/>
        <w:right w:val="none" w:sz="0" w:space="0" w:color="auto"/>
      </w:divBdr>
      <w:divsChild>
        <w:div w:id="569654622">
          <w:marLeft w:val="0"/>
          <w:marRight w:val="0"/>
          <w:marTop w:val="0"/>
          <w:marBottom w:val="0"/>
          <w:divBdr>
            <w:top w:val="none" w:sz="0" w:space="0" w:color="auto"/>
            <w:left w:val="none" w:sz="0" w:space="0" w:color="auto"/>
            <w:bottom w:val="none" w:sz="0" w:space="0" w:color="auto"/>
            <w:right w:val="none" w:sz="0" w:space="0" w:color="auto"/>
          </w:divBdr>
        </w:div>
        <w:div w:id="1751346933">
          <w:marLeft w:val="0"/>
          <w:marRight w:val="0"/>
          <w:marTop w:val="0"/>
          <w:marBottom w:val="0"/>
          <w:divBdr>
            <w:top w:val="none" w:sz="0" w:space="0" w:color="auto"/>
            <w:left w:val="none" w:sz="0" w:space="0" w:color="auto"/>
            <w:bottom w:val="none" w:sz="0" w:space="0" w:color="auto"/>
            <w:right w:val="none" w:sz="0" w:space="0" w:color="auto"/>
          </w:divBdr>
        </w:div>
      </w:divsChild>
    </w:div>
    <w:div w:id="1721246815">
      <w:bodyDiv w:val="1"/>
      <w:marLeft w:val="0"/>
      <w:marRight w:val="0"/>
      <w:marTop w:val="0"/>
      <w:marBottom w:val="0"/>
      <w:divBdr>
        <w:top w:val="none" w:sz="0" w:space="0" w:color="auto"/>
        <w:left w:val="none" w:sz="0" w:space="0" w:color="auto"/>
        <w:bottom w:val="none" w:sz="0" w:space="0" w:color="auto"/>
        <w:right w:val="none" w:sz="0" w:space="0" w:color="auto"/>
      </w:divBdr>
      <w:divsChild>
        <w:div w:id="773594076">
          <w:marLeft w:val="0"/>
          <w:marRight w:val="0"/>
          <w:marTop w:val="0"/>
          <w:marBottom w:val="0"/>
          <w:divBdr>
            <w:top w:val="none" w:sz="0" w:space="0" w:color="auto"/>
            <w:left w:val="none" w:sz="0" w:space="0" w:color="auto"/>
            <w:bottom w:val="none" w:sz="0" w:space="0" w:color="auto"/>
            <w:right w:val="none" w:sz="0" w:space="0" w:color="auto"/>
          </w:divBdr>
        </w:div>
        <w:div w:id="1541941542">
          <w:marLeft w:val="0"/>
          <w:marRight w:val="0"/>
          <w:marTop w:val="0"/>
          <w:marBottom w:val="0"/>
          <w:divBdr>
            <w:top w:val="none" w:sz="0" w:space="0" w:color="auto"/>
            <w:left w:val="none" w:sz="0" w:space="0" w:color="auto"/>
            <w:bottom w:val="none" w:sz="0" w:space="0" w:color="auto"/>
            <w:right w:val="none" w:sz="0" w:space="0" w:color="auto"/>
          </w:divBdr>
        </w:div>
        <w:div w:id="554849881">
          <w:marLeft w:val="0"/>
          <w:marRight w:val="0"/>
          <w:marTop w:val="0"/>
          <w:marBottom w:val="0"/>
          <w:divBdr>
            <w:top w:val="none" w:sz="0" w:space="0" w:color="auto"/>
            <w:left w:val="none" w:sz="0" w:space="0" w:color="auto"/>
            <w:bottom w:val="none" w:sz="0" w:space="0" w:color="auto"/>
            <w:right w:val="none" w:sz="0" w:space="0" w:color="auto"/>
          </w:divBdr>
        </w:div>
        <w:div w:id="115572971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AF9EC-69AE-419D-9F17-E63CFFDF4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2018-09-25T16:43:00Z</dcterms:created>
  <dcterms:modified xsi:type="dcterms:W3CDTF">2018-09-25T16:44:00Z</dcterms:modified>
</cp:coreProperties>
</file>