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935AC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Myanmar</w:t>
      </w:r>
      <w:r w:rsidR="00E06C6E"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Generation Panel (GP) Meeting</w:t>
      </w:r>
      <w:r w:rsidR="00E06C6E"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="00E06C6E"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 w:rsidR="00E06C6E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1E0332">
        <w:rPr>
          <w:rFonts w:ascii="Arial" w:hAnsi="Arial" w:cs="Arial"/>
          <w:b/>
          <w:bCs/>
          <w:sz w:val="22"/>
          <w:szCs w:val="22"/>
          <w:lang w:eastAsia="en-SG"/>
        </w:rPr>
        <w:t>3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1E0332">
        <w:rPr>
          <w:rFonts w:ascii="Arial" w:hAnsi="Arial" w:cs="Arial"/>
          <w:b/>
          <w:bCs/>
          <w:sz w:val="22"/>
          <w:szCs w:val="22"/>
          <w:lang w:eastAsia="en-SG"/>
        </w:rPr>
        <w:t>October</w:t>
      </w:r>
      <w:r w:rsidR="00E06C6E"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1B7AF4" w:rsidRPr="0082421F" w:rsidRDefault="001B7AF4" w:rsidP="001B7AF4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Khant</w:t>
      </w:r>
      <w:proofErr w:type="spellEnd"/>
    </w:p>
    <w:p w:rsidR="00E06C6E" w:rsidRDefault="00E935AC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Yin May </w:t>
      </w:r>
      <w:proofErr w:type="spellStart"/>
      <w:r>
        <w:rPr>
          <w:rFonts w:ascii="Arial" w:hAnsi="Arial" w:cs="Arial"/>
        </w:rPr>
        <w:t>Oo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242EF9" w:rsidRDefault="00242EF9" w:rsidP="001E0332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It was discussed that the Myanmar script LGR proposal shared on 30 September was ready for XML conversion. However there </w:t>
      </w:r>
      <w:r w:rsidR="00C1192D">
        <w:rPr>
          <w:rFonts w:ascii="Arial" w:hAnsi="Arial" w:cs="Arial"/>
          <w:lang w:eastAsia="en-SG"/>
        </w:rPr>
        <w:t>are</w:t>
      </w:r>
      <w:r>
        <w:rPr>
          <w:rFonts w:ascii="Arial" w:hAnsi="Arial" w:cs="Arial"/>
          <w:lang w:eastAsia="en-SG"/>
        </w:rPr>
        <w:t xml:space="preserve"> some minor edits to be made</w:t>
      </w:r>
      <w:r w:rsidR="00C1192D">
        <w:rPr>
          <w:rFonts w:ascii="Arial" w:hAnsi="Arial" w:cs="Arial"/>
          <w:lang w:eastAsia="en-SG"/>
        </w:rPr>
        <w:t xml:space="preserve"> undergoing. </w:t>
      </w:r>
      <w:r w:rsidR="001E0332">
        <w:rPr>
          <w:rFonts w:ascii="Arial" w:hAnsi="Arial" w:cs="Arial"/>
          <w:lang w:eastAsia="en-SG"/>
        </w:rPr>
        <w:t>The</w:t>
      </w:r>
      <w:r>
        <w:rPr>
          <w:rFonts w:ascii="Arial" w:hAnsi="Arial" w:cs="Arial"/>
          <w:lang w:eastAsia="en-SG"/>
        </w:rPr>
        <w:t xml:space="preserve"> final version of </w:t>
      </w:r>
      <w:r w:rsidR="001E0332">
        <w:rPr>
          <w:rFonts w:ascii="Arial" w:hAnsi="Arial" w:cs="Arial"/>
          <w:lang w:eastAsia="en-SG"/>
        </w:rPr>
        <w:t xml:space="preserve"> LGR proposal will be </w:t>
      </w:r>
      <w:r>
        <w:rPr>
          <w:rFonts w:ascii="Arial" w:hAnsi="Arial" w:cs="Arial"/>
          <w:lang w:eastAsia="en-SG"/>
        </w:rPr>
        <w:t xml:space="preserve">share together with the </w:t>
      </w:r>
      <w:r w:rsidR="001E0332">
        <w:rPr>
          <w:rFonts w:ascii="Arial" w:hAnsi="Arial" w:cs="Arial"/>
          <w:lang w:eastAsia="en-SG"/>
        </w:rPr>
        <w:t xml:space="preserve">ICANN66 presentation on 7 October. </w:t>
      </w:r>
    </w:p>
    <w:p w:rsidR="00661E71" w:rsidRPr="00C1192D" w:rsidRDefault="00E935AC" w:rsidP="00C1192D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</w:t>
      </w:r>
      <w:r w:rsidR="00C1192D">
        <w:rPr>
          <w:rFonts w:ascii="Arial" w:hAnsi="Arial" w:cs="Arial"/>
          <w:lang w:eastAsia="en-SG"/>
        </w:rPr>
        <w:t xml:space="preserve">he meeting time of the Myanmar GP and IP during ICANN66 was discussed. It was agreed  at 9:00-10:15AM, Montreal time. It is 8:30 PM in Myanmar and it will allow the GP members to join the meeting remotely. </w:t>
      </w:r>
    </w:p>
    <w:p w:rsidR="008D4C9A" w:rsidRPr="005B19CA" w:rsidRDefault="008D4C9A" w:rsidP="009B7358">
      <w:pPr>
        <w:spacing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7011"/>
        <w:gridCol w:w="909"/>
      </w:tblGrid>
      <w:tr w:rsidR="008D4C9A" w:rsidRPr="005B19CA" w:rsidTr="00C1192D">
        <w:tc>
          <w:tcPr>
            <w:tcW w:w="99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11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9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C1192D">
        <w:trPr>
          <w:trHeight w:val="332"/>
        </w:trPr>
        <w:tc>
          <w:tcPr>
            <w:tcW w:w="99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11" w:type="dxa"/>
          </w:tcPr>
          <w:p w:rsidR="004F2FFB" w:rsidRPr="009660F5" w:rsidRDefault="00C1192D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Develop XML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of the LGR proposal shared 30 September 2019</w:t>
            </w:r>
          </w:p>
        </w:tc>
        <w:tc>
          <w:tcPr>
            <w:tcW w:w="909" w:type="dxa"/>
          </w:tcPr>
          <w:p w:rsidR="008D4C9A" w:rsidRPr="005B19CA" w:rsidRDefault="00C1192D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  <w:tr w:rsidR="00C1192D" w:rsidRPr="005B19CA" w:rsidTr="00C1192D">
        <w:trPr>
          <w:trHeight w:val="368"/>
        </w:trPr>
        <w:tc>
          <w:tcPr>
            <w:tcW w:w="990" w:type="dxa"/>
          </w:tcPr>
          <w:p w:rsidR="00C1192D" w:rsidRDefault="00C1192D" w:rsidP="00C1192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11" w:type="dxa"/>
          </w:tcPr>
          <w:p w:rsidR="00C1192D" w:rsidRDefault="00C1192D" w:rsidP="00C1192D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Finalize the LGR proposal and share by 7 October 2019</w:t>
            </w:r>
          </w:p>
        </w:tc>
        <w:tc>
          <w:tcPr>
            <w:tcW w:w="909" w:type="dxa"/>
          </w:tcPr>
          <w:p w:rsidR="00C1192D" w:rsidRDefault="00C1192D" w:rsidP="00C1192D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YM</w:t>
            </w:r>
          </w:p>
        </w:tc>
      </w:tr>
      <w:tr w:rsidR="00C1192D" w:rsidRPr="005B19CA" w:rsidTr="00C1192D">
        <w:trPr>
          <w:trHeight w:val="359"/>
        </w:trPr>
        <w:tc>
          <w:tcPr>
            <w:tcW w:w="990" w:type="dxa"/>
          </w:tcPr>
          <w:p w:rsidR="00C1192D" w:rsidRDefault="00C1192D" w:rsidP="00C1192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011" w:type="dxa"/>
          </w:tcPr>
          <w:p w:rsidR="00C1192D" w:rsidRDefault="00C1192D" w:rsidP="00C1192D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Prepare the presentation for ICANN66 by 7 October</w:t>
            </w:r>
          </w:p>
        </w:tc>
        <w:tc>
          <w:tcPr>
            <w:tcW w:w="909" w:type="dxa"/>
          </w:tcPr>
          <w:p w:rsidR="00C1192D" w:rsidRDefault="00C1192D" w:rsidP="00C1192D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YM</w:t>
            </w:r>
          </w:p>
        </w:tc>
      </w:tr>
      <w:tr w:rsidR="00C1192D" w:rsidRPr="005B19CA" w:rsidTr="00C1192D">
        <w:trPr>
          <w:trHeight w:val="413"/>
        </w:trPr>
        <w:tc>
          <w:tcPr>
            <w:tcW w:w="990" w:type="dxa"/>
          </w:tcPr>
          <w:p w:rsidR="00C1192D" w:rsidRDefault="00C1192D" w:rsidP="00C1192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  <w:bookmarkStart w:id="0" w:name="_GoBack"/>
            <w:bookmarkEnd w:id="0"/>
          </w:p>
        </w:tc>
        <w:tc>
          <w:tcPr>
            <w:tcW w:w="7011" w:type="dxa"/>
          </w:tcPr>
          <w:p w:rsidR="00C1192D" w:rsidRDefault="00C1192D" w:rsidP="00C1192D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Set the Myanmar GP and IP meeting during ICANN66 as agreed by the GP</w:t>
            </w:r>
          </w:p>
        </w:tc>
        <w:tc>
          <w:tcPr>
            <w:tcW w:w="909" w:type="dxa"/>
          </w:tcPr>
          <w:p w:rsidR="00C1192D" w:rsidRDefault="00C1192D" w:rsidP="00C1192D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OK</w:t>
            </w:r>
          </w:p>
        </w:tc>
      </w:tr>
    </w:tbl>
    <w:p w:rsidR="009B7358" w:rsidRPr="009B7358" w:rsidRDefault="009B7358" w:rsidP="009B7358">
      <w:pPr>
        <w:rPr>
          <w:rFonts w:ascii="Arial" w:hAnsi="Arial" w:cs="Arial"/>
          <w:sz w:val="22"/>
          <w:szCs w:val="22"/>
        </w:rPr>
      </w:pPr>
    </w:p>
    <w:sectPr w:rsidR="009B7358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F6" w:rsidRDefault="003202F6" w:rsidP="009B7358">
      <w:r>
        <w:separator/>
      </w:r>
    </w:p>
  </w:endnote>
  <w:endnote w:type="continuationSeparator" w:id="0">
    <w:p w:rsidR="003202F6" w:rsidRDefault="003202F6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F6" w:rsidRDefault="003202F6" w:rsidP="009B7358">
      <w:r>
        <w:separator/>
      </w:r>
    </w:p>
  </w:footnote>
  <w:footnote w:type="continuationSeparator" w:id="0">
    <w:p w:rsidR="003202F6" w:rsidRDefault="003202F6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D112A"/>
    <w:rsid w:val="000D67D7"/>
    <w:rsid w:val="000E3AE2"/>
    <w:rsid w:val="000F5082"/>
    <w:rsid w:val="00131633"/>
    <w:rsid w:val="0014340C"/>
    <w:rsid w:val="001505B2"/>
    <w:rsid w:val="00162151"/>
    <w:rsid w:val="0016487C"/>
    <w:rsid w:val="001670A1"/>
    <w:rsid w:val="001B7AF4"/>
    <w:rsid w:val="001E0332"/>
    <w:rsid w:val="002048F3"/>
    <w:rsid w:val="00220D8E"/>
    <w:rsid w:val="00242EF9"/>
    <w:rsid w:val="002765FD"/>
    <w:rsid w:val="002A2C18"/>
    <w:rsid w:val="002B6E15"/>
    <w:rsid w:val="002B74ED"/>
    <w:rsid w:val="00314B86"/>
    <w:rsid w:val="003202F6"/>
    <w:rsid w:val="003215D9"/>
    <w:rsid w:val="00356F71"/>
    <w:rsid w:val="003B71F3"/>
    <w:rsid w:val="00415BB8"/>
    <w:rsid w:val="00460A7F"/>
    <w:rsid w:val="0048375F"/>
    <w:rsid w:val="004F1FDE"/>
    <w:rsid w:val="004F2FFB"/>
    <w:rsid w:val="004F74FD"/>
    <w:rsid w:val="00556854"/>
    <w:rsid w:val="00587E39"/>
    <w:rsid w:val="0059305E"/>
    <w:rsid w:val="005B0C0F"/>
    <w:rsid w:val="005B19CA"/>
    <w:rsid w:val="00605D88"/>
    <w:rsid w:val="0061774D"/>
    <w:rsid w:val="0063119A"/>
    <w:rsid w:val="006406EC"/>
    <w:rsid w:val="00654EAE"/>
    <w:rsid w:val="00661E71"/>
    <w:rsid w:val="006A4292"/>
    <w:rsid w:val="006C147C"/>
    <w:rsid w:val="006D003C"/>
    <w:rsid w:val="006D1B02"/>
    <w:rsid w:val="006E7EC0"/>
    <w:rsid w:val="00731D0A"/>
    <w:rsid w:val="007615B2"/>
    <w:rsid w:val="007630A2"/>
    <w:rsid w:val="007758D4"/>
    <w:rsid w:val="00797515"/>
    <w:rsid w:val="0082421F"/>
    <w:rsid w:val="00855086"/>
    <w:rsid w:val="0086064F"/>
    <w:rsid w:val="0086338F"/>
    <w:rsid w:val="008B3224"/>
    <w:rsid w:val="008D4C9A"/>
    <w:rsid w:val="009319F6"/>
    <w:rsid w:val="00955E4B"/>
    <w:rsid w:val="009660F5"/>
    <w:rsid w:val="00976403"/>
    <w:rsid w:val="009B434B"/>
    <w:rsid w:val="009B7358"/>
    <w:rsid w:val="009E1417"/>
    <w:rsid w:val="009E1D67"/>
    <w:rsid w:val="009F4B02"/>
    <w:rsid w:val="00A04CBB"/>
    <w:rsid w:val="00A22B2B"/>
    <w:rsid w:val="00A97AFF"/>
    <w:rsid w:val="00AE0DA5"/>
    <w:rsid w:val="00B16F1D"/>
    <w:rsid w:val="00B249A6"/>
    <w:rsid w:val="00B76A0D"/>
    <w:rsid w:val="00C1192D"/>
    <w:rsid w:val="00C26F6B"/>
    <w:rsid w:val="00C70BE7"/>
    <w:rsid w:val="00C737A0"/>
    <w:rsid w:val="00CB4DC7"/>
    <w:rsid w:val="00CD65EB"/>
    <w:rsid w:val="00D22760"/>
    <w:rsid w:val="00D47093"/>
    <w:rsid w:val="00D866D7"/>
    <w:rsid w:val="00DB3744"/>
    <w:rsid w:val="00E06C6E"/>
    <w:rsid w:val="00E279DF"/>
    <w:rsid w:val="00E448B7"/>
    <w:rsid w:val="00E558B7"/>
    <w:rsid w:val="00E935AC"/>
    <w:rsid w:val="00E935C4"/>
    <w:rsid w:val="00EA22D5"/>
    <w:rsid w:val="00EE43A3"/>
    <w:rsid w:val="00EF4212"/>
    <w:rsid w:val="00F304BF"/>
    <w:rsid w:val="00F65907"/>
    <w:rsid w:val="00F70D40"/>
    <w:rsid w:val="00FA3CDD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8CF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29</cp:revision>
  <dcterms:created xsi:type="dcterms:W3CDTF">2019-07-18T16:07:00Z</dcterms:created>
  <dcterms:modified xsi:type="dcterms:W3CDTF">2019-10-03T15:38:00Z</dcterms:modified>
</cp:coreProperties>
</file>