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001" w:rsidRDefault="006F6001" w:rsidP="006F6001">
      <w:pPr>
        <w:pStyle w:val="Title"/>
      </w:pPr>
      <w:r>
        <w:t xml:space="preserve">IP Feedback on the Neo-Brahmi </w:t>
      </w:r>
      <w:r w:rsidR="00D82FEB">
        <w:t>Governing</w:t>
      </w:r>
      <w:r>
        <w:t xml:space="preserve"> Principles document</w:t>
      </w:r>
    </w:p>
    <w:p w:rsidR="006F6001" w:rsidRDefault="006F6001" w:rsidP="006C5E25">
      <w:r>
        <w:t xml:space="preserve">Date: </w:t>
      </w:r>
      <w:r w:rsidR="007D0ACE">
        <w:t>01</w:t>
      </w:r>
      <w:r w:rsidR="00B03CE4">
        <w:t>.0</w:t>
      </w:r>
      <w:r w:rsidR="007D0ACE">
        <w:t>7</w:t>
      </w:r>
      <w:r w:rsidR="00B03CE4">
        <w:t>.2016</w:t>
      </w:r>
    </w:p>
    <w:p w:rsidR="00B03CE4" w:rsidRDefault="00B36576" w:rsidP="00B03CE4">
      <w:pPr>
        <w:pStyle w:val="Heading1"/>
      </w:pPr>
      <w:r>
        <w:t>General Point</w:t>
      </w:r>
      <w:r w:rsidR="009F7265">
        <w:t xml:space="preserve"> on Presentation</w:t>
      </w:r>
    </w:p>
    <w:p w:rsidR="007D0ACE" w:rsidRDefault="007D0ACE" w:rsidP="006C5E25">
      <w:r>
        <w:t xml:space="preserve">To facilitate review and the ability to provide comments in context, the Integration Panel </w:t>
      </w:r>
      <w:r w:rsidR="00847D30">
        <w:t xml:space="preserve">usually </w:t>
      </w:r>
      <w:r>
        <w:t xml:space="preserve">prefers to receive draft documents </w:t>
      </w:r>
      <w:r w:rsidR="00847D30">
        <w:t>as</w:t>
      </w:r>
      <w:r>
        <w:t xml:space="preserve"> Word </w:t>
      </w:r>
      <w:r w:rsidR="00847D30">
        <w:t xml:space="preserve">document </w:t>
      </w:r>
      <w:r>
        <w:t xml:space="preserve">or </w:t>
      </w:r>
      <w:r w:rsidR="00847D30">
        <w:t xml:space="preserve">in </w:t>
      </w:r>
      <w:r>
        <w:t>some other editable format, if practical. In some cases, where documents rely on particular fonts, a PDF version may ensure that what the reader sees is what the GP intended. However, note that the PDF/A format</w:t>
      </w:r>
      <w:r w:rsidR="00847D30">
        <w:t xml:space="preserve"> in particular</w:t>
      </w:r>
      <w:r>
        <w:t xml:space="preserve"> </w:t>
      </w:r>
      <w:proofErr w:type="gramStart"/>
      <w:r w:rsidR="00847D30">
        <w:t>appears</w:t>
      </w:r>
      <w:proofErr w:type="gramEnd"/>
      <w:r w:rsidR="00847D30">
        <w:t xml:space="preserve"> to</w:t>
      </w:r>
      <w:r>
        <w:t xml:space="preserve"> </w:t>
      </w:r>
      <w:r w:rsidR="00847D30">
        <w:t xml:space="preserve">prevent </w:t>
      </w:r>
      <w:r>
        <w:t xml:space="preserve">annotations, even using PDF editors, and should perhaps be avoided for draft documents. </w:t>
      </w:r>
    </w:p>
    <w:p w:rsidR="006F6001" w:rsidRDefault="00EE3008" w:rsidP="006C5E25">
      <w:r>
        <w:t xml:space="preserve">In </w:t>
      </w:r>
      <w:r w:rsidR="007D0ACE">
        <w:t>the document as submitted</w:t>
      </w:r>
      <w:r>
        <w:t>, the table of contents did not match the actual structure and contents of the document. Our</w:t>
      </w:r>
      <w:r w:rsidR="00B36576">
        <w:t xml:space="preserve"> comments </w:t>
      </w:r>
      <w:r w:rsidR="00F52E31">
        <w:t xml:space="preserve">here </w:t>
      </w:r>
      <w:r w:rsidR="00B36576">
        <w:t>are structured according to the sections of the document</w:t>
      </w:r>
      <w:r w:rsidR="00F52E31">
        <w:t xml:space="preserve"> as it was delivered</w:t>
      </w:r>
      <w:r>
        <w:t>.</w:t>
      </w:r>
    </w:p>
    <w:p w:rsidR="00B36576" w:rsidRDefault="00B36576" w:rsidP="00FB30E2">
      <w:pPr>
        <w:pStyle w:val="Heading2"/>
      </w:pPr>
      <w:proofErr w:type="gramStart"/>
      <w:r>
        <w:t>PRELIMINARIES .</w:t>
      </w:r>
      <w:proofErr w:type="gramEnd"/>
      <w:r>
        <w:t xml:space="preserve"> </w:t>
      </w:r>
    </w:p>
    <w:p w:rsidR="000966F0" w:rsidRDefault="000966F0" w:rsidP="000966F0">
      <w:pPr>
        <w:pStyle w:val="Heading3"/>
      </w:pPr>
      <w:proofErr w:type="gramStart"/>
      <w:r>
        <w:t xml:space="preserve">"Although Script is </w:t>
      </w:r>
      <w:proofErr w:type="spellStart"/>
      <w:r>
        <w:t>favoured</w:t>
      </w:r>
      <w:proofErr w:type="spellEnd"/>
      <w:r>
        <w:t xml:space="preserve"> over language".</w:t>
      </w:r>
      <w:proofErr w:type="gramEnd"/>
      <w:r>
        <w:t xml:space="preserve"> </w:t>
      </w:r>
    </w:p>
    <w:p w:rsidR="000966F0" w:rsidRDefault="000966F0" w:rsidP="001607A9">
      <w:r>
        <w:t>This passage is imprecise. A better way to put it would be: "While each LGR is intended to be valid for an entire script, the Generation Panel will consider the code point repertoire and other requirements based on individual languages."</w:t>
      </w:r>
    </w:p>
    <w:p w:rsidR="000966F0" w:rsidRDefault="000966F0" w:rsidP="001607A9">
      <w:r>
        <w:t>This should be followed up by a section 6 (to be added) on "</w:t>
      </w:r>
      <w:r w:rsidR="00F2649B">
        <w:t>Methodology</w:t>
      </w:r>
      <w:r>
        <w:t>".</w:t>
      </w:r>
      <w:r w:rsidR="00F17AC7">
        <w:t xml:space="preserve"> </w:t>
      </w:r>
      <w:r>
        <w:t>This (and further additional section</w:t>
      </w:r>
      <w:r w:rsidR="00F17AC7">
        <w:t>s</w:t>
      </w:r>
      <w:r>
        <w:t xml:space="preserve"> which are recommended</w:t>
      </w:r>
      <w:r w:rsidR="00F17AC7">
        <w:t xml:space="preserve"> for addition</w:t>
      </w:r>
      <w:r>
        <w:t>) will be listed in their numerical places below.</w:t>
      </w:r>
    </w:p>
    <w:p w:rsidR="00F17AC7" w:rsidRDefault="00F17AC7" w:rsidP="00F17AC7">
      <w:pPr>
        <w:pStyle w:val="Heading3"/>
      </w:pPr>
      <w:r>
        <w:t>“For clarity's sake, the chart below sums up the script-language association among the scripts…”</w:t>
      </w:r>
    </w:p>
    <w:p w:rsidR="00F17AC7" w:rsidRDefault="00F17AC7" w:rsidP="00F17AC7">
      <w:r>
        <w:t>The document, in Preliminaries, says "the GP will initially go language-wise". Yet the writers do not explain how they have reached their list of qualifying languages.</w:t>
      </w:r>
    </w:p>
    <w:p w:rsidR="00F17AC7" w:rsidRDefault="00F17AC7" w:rsidP="00F17AC7">
      <w:r>
        <w:t xml:space="preserve">By contrast, </w:t>
      </w:r>
      <w:proofErr w:type="spellStart"/>
      <w:r>
        <w:t>Scriptsource</w:t>
      </w:r>
      <w:proofErr w:type="spellEnd"/>
      <w:r w:rsidR="00B8401E">
        <w:t xml:space="preserve"> </w:t>
      </w:r>
      <w:r w:rsidR="00367605">
        <w:t>[</w:t>
      </w:r>
      <w:r w:rsidR="00B8401E">
        <w:t>201</w:t>
      </w:r>
      <w:r w:rsidR="00367605">
        <w:t>]</w:t>
      </w:r>
    </w:p>
    <w:p w:rsidR="00F17AC7" w:rsidRDefault="00F17AC7" w:rsidP="00F17AC7">
      <w:r>
        <w:t>http://scriptsource.org/cms/scripts/page.php?item_id=script_detail&amp;key=Deva</w:t>
      </w:r>
    </w:p>
    <w:p w:rsidR="00F17AC7" w:rsidRDefault="00F17AC7" w:rsidP="00F17AC7">
      <w:proofErr w:type="gramStart"/>
      <w:r>
        <w:t>lists</w:t>
      </w:r>
      <w:proofErr w:type="gramEnd"/>
      <w:r>
        <w:t xml:space="preserve"> 184 languages that use Devanagari, </w:t>
      </w:r>
      <w:r w:rsidR="00F2649B">
        <w:t>which indicates that the</w:t>
      </w:r>
      <w:r>
        <w:t xml:space="preserve"> 11 </w:t>
      </w:r>
      <w:r w:rsidR="00F2649B">
        <w:t xml:space="preserve">languages </w:t>
      </w:r>
      <w:r>
        <w:t xml:space="preserve">given here </w:t>
      </w:r>
      <w:r w:rsidR="00F2649B">
        <w:t>are a result of a certain selection process, the principles of which should perhaps be covered in the suggested “Methodology” section</w:t>
      </w:r>
      <w:r>
        <w:t>.</w:t>
      </w:r>
    </w:p>
    <w:p w:rsidR="00F17AC7" w:rsidRDefault="00F17AC7" w:rsidP="00F17AC7">
      <w:r>
        <w:t xml:space="preserve">Likewise </w:t>
      </w:r>
      <w:proofErr w:type="spellStart"/>
      <w:r>
        <w:t>Scriptsource</w:t>
      </w:r>
      <w:proofErr w:type="spellEnd"/>
    </w:p>
    <w:p w:rsidR="00F17AC7" w:rsidRDefault="00F17AC7" w:rsidP="00F17AC7">
      <w:r>
        <w:t>http://scriptsource.org/cms/scripts/page.php?item_id=script_detail&amp;key=Beng</w:t>
      </w:r>
    </w:p>
    <w:p w:rsidR="00F17AC7" w:rsidRDefault="00F17AC7" w:rsidP="00F17AC7">
      <w:proofErr w:type="gramStart"/>
      <w:r>
        <w:t>lists</w:t>
      </w:r>
      <w:proofErr w:type="gramEnd"/>
      <w:r>
        <w:t xml:space="preserve"> 39 for Bengali script, as against the 3 listed here.</w:t>
      </w:r>
    </w:p>
    <w:p w:rsidR="00F17AC7" w:rsidRDefault="00F17AC7" w:rsidP="00F17AC7">
      <w:r>
        <w:t>(These lists also overlap, showing that some languages are written with more than 1 script.)</w:t>
      </w:r>
    </w:p>
    <w:p w:rsidR="00F17AC7" w:rsidRDefault="00F17AC7" w:rsidP="00F17AC7">
      <w:r>
        <w:t xml:space="preserve">Similar </w:t>
      </w:r>
      <w:r w:rsidR="00F2649B">
        <w:t>issue</w:t>
      </w:r>
      <w:r w:rsidR="002C01D1">
        <w:t>s</w:t>
      </w:r>
      <w:r w:rsidR="00F2649B">
        <w:t xml:space="preserve"> </w:t>
      </w:r>
      <w:r>
        <w:t xml:space="preserve">are likely to </w:t>
      </w:r>
      <w:r w:rsidR="00F2649B">
        <w:t>affect</w:t>
      </w:r>
      <w:r>
        <w:t xml:space="preserve"> the 7 other scripts which are accepted.</w:t>
      </w:r>
    </w:p>
    <w:p w:rsidR="00F17AC7" w:rsidRPr="000966F0" w:rsidRDefault="00F17AC7" w:rsidP="00F2649B">
      <w:r>
        <w:t xml:space="preserve">The IP expects better accounting of languages - even those that are ruled out. Please provide a justification (positive or negative) </w:t>
      </w:r>
      <w:r w:rsidR="00EE3008">
        <w:t>for the selected</w:t>
      </w:r>
      <w:r>
        <w:t xml:space="preserve"> subset of languages the GP wants to support / feel</w:t>
      </w:r>
      <w:r w:rsidR="002C01D1">
        <w:t>s</w:t>
      </w:r>
      <w:r>
        <w:t xml:space="preserve"> must be supported. Once that task is done, the fact that a supported language needs a code point </w:t>
      </w:r>
      <w:r w:rsidR="00EE3008">
        <w:t xml:space="preserve">for everyday writing </w:t>
      </w:r>
      <w:r>
        <w:t>is all the justification that said code point will require.</w:t>
      </w:r>
    </w:p>
    <w:p w:rsidR="00B36576" w:rsidRDefault="00B36576" w:rsidP="00FB30E2">
      <w:pPr>
        <w:pStyle w:val="Heading2"/>
      </w:pPr>
      <w:r>
        <w:t xml:space="preserve">GUIDING PRINCIPLES </w:t>
      </w:r>
    </w:p>
    <w:p w:rsidR="00F52E31" w:rsidRDefault="00F52E31" w:rsidP="003F6514">
      <w:pPr>
        <w:pStyle w:val="Heading2"/>
        <w:numPr>
          <w:ilvl w:val="0"/>
          <w:numId w:val="1"/>
        </w:numPr>
      </w:pPr>
      <w:r>
        <w:t>Environment Limitations</w:t>
      </w:r>
    </w:p>
    <w:p w:rsidR="003F6514" w:rsidRDefault="003F6514" w:rsidP="003F6514"/>
    <w:p w:rsidR="001906DB" w:rsidRDefault="001906DB" w:rsidP="001906DB">
      <w:pPr>
        <w:pStyle w:val="Heading2"/>
      </w:pPr>
      <w:proofErr w:type="spellStart"/>
      <w:r>
        <w:t>i</w:t>
      </w:r>
      <w:proofErr w:type="spellEnd"/>
      <w:r>
        <w:t xml:space="preserve">. The Unicode Chart: </w:t>
      </w:r>
    </w:p>
    <w:p w:rsidR="001906DB" w:rsidRDefault="001906DB" w:rsidP="001906DB">
      <w:pPr>
        <w:pStyle w:val="Heading2"/>
      </w:pPr>
      <w:r>
        <w:t xml:space="preserve">ii. IDNA Protocol: </w:t>
      </w:r>
    </w:p>
    <w:p w:rsidR="001906DB" w:rsidRDefault="001906DB" w:rsidP="001906DB">
      <w:pPr>
        <w:pStyle w:val="Heading2"/>
      </w:pPr>
      <w:r>
        <w:t xml:space="preserve">iii. Maximal Starting Repertoire: </w:t>
      </w:r>
    </w:p>
    <w:p w:rsidR="001906DB" w:rsidRDefault="001906DB" w:rsidP="003F6514"/>
    <w:p w:rsidR="003F6514" w:rsidRDefault="003F6514" w:rsidP="003F6514">
      <w:r>
        <w:t>In general, the Guiding Principles here all seem correct and compatible with the</w:t>
      </w:r>
      <w:r w:rsidR="001906DB">
        <w:t xml:space="preserve"> ICANN Generation and </w:t>
      </w:r>
      <w:r>
        <w:t>Integrat</w:t>
      </w:r>
      <w:r w:rsidR="001906DB">
        <w:t>ion Panels’</w:t>
      </w:r>
      <w:r>
        <w:t xml:space="preserve"> Principles. In particular, the "Environment Limitations", with a key role for </w:t>
      </w:r>
      <w:r w:rsidR="001906DB">
        <w:t>the Maximal Starting Repertoire (MSR)</w:t>
      </w:r>
      <w:r>
        <w:t>, are likely to be useful in setting conceptual bounds for new members of their GP not yet oriented to our framework.</w:t>
      </w:r>
    </w:p>
    <w:p w:rsidR="003F6514" w:rsidRDefault="006C5E25" w:rsidP="003F6514">
      <w:r>
        <w:t>The governing principles should arguably refer explicitly to</w:t>
      </w:r>
      <w:r w:rsidR="00F50E65">
        <w:t xml:space="preserve"> </w:t>
      </w:r>
      <w:r w:rsidR="003F6514">
        <w:t>the most recent version of</w:t>
      </w:r>
      <w:r w:rsidR="001906DB">
        <w:t xml:space="preserve"> the MSR</w:t>
      </w:r>
      <w:r w:rsidR="003F6514">
        <w:t xml:space="preserve">, </w:t>
      </w:r>
      <w:r w:rsidR="00F50E65">
        <w:t xml:space="preserve">so as to rule out </w:t>
      </w:r>
      <w:r w:rsidR="003F6514">
        <w:t xml:space="preserve">the marginal possibility </w:t>
      </w:r>
      <w:r w:rsidR="00F50E65" w:rsidRPr="00F50E65">
        <w:t>that a newer version may introduce</w:t>
      </w:r>
      <w:r w:rsidR="00F50E65" w:rsidRPr="00F50E65" w:rsidDel="00F50E65">
        <w:t xml:space="preserve"> </w:t>
      </w:r>
      <w:r w:rsidR="003F6514">
        <w:t>changes that might affect them.</w:t>
      </w:r>
    </w:p>
    <w:p w:rsidR="001906DB" w:rsidRDefault="001906DB" w:rsidP="001906DB"/>
    <w:p w:rsidR="001906DB" w:rsidRDefault="001906DB" w:rsidP="001906DB">
      <w:r>
        <w:t>There follow some suggested additions.</w:t>
      </w:r>
    </w:p>
    <w:p w:rsidR="003F6514" w:rsidRPr="003F6514" w:rsidRDefault="003F6514" w:rsidP="003F6514"/>
    <w:p w:rsidR="00B36576" w:rsidRDefault="00B36576" w:rsidP="00FB30E2">
      <w:pPr>
        <w:pStyle w:val="Heading2"/>
      </w:pPr>
      <w:r>
        <w:t xml:space="preserve">2. Punctuation Marks: </w:t>
      </w:r>
    </w:p>
    <w:p w:rsidR="00F52E31" w:rsidRDefault="00F52E31" w:rsidP="00FB30E2">
      <w:pPr>
        <w:pStyle w:val="Heading2"/>
      </w:pPr>
      <w:r>
        <w:t xml:space="preserve">3. Symbols and Abbreviations: </w:t>
      </w:r>
    </w:p>
    <w:p w:rsidR="00F52E31" w:rsidRDefault="00F52E31" w:rsidP="00FB30E2">
      <w:pPr>
        <w:pStyle w:val="Heading2"/>
      </w:pPr>
      <w:r>
        <w:t xml:space="preserve">4. Rare and Obsolete Characters: </w:t>
      </w:r>
    </w:p>
    <w:p w:rsidR="00B36576" w:rsidRDefault="00B36576" w:rsidP="00FB30E2">
      <w:pPr>
        <w:pStyle w:val="Heading2"/>
      </w:pPr>
      <w:r>
        <w:t xml:space="preserve">5. Stress Markers </w:t>
      </w:r>
      <w:r w:rsidR="00C52796">
        <w:t xml:space="preserve">of </w:t>
      </w:r>
      <w:r>
        <w:t xml:space="preserve">Classical Sanskrit </w:t>
      </w:r>
      <w:r w:rsidR="00C52796">
        <w:t xml:space="preserve">and </w:t>
      </w:r>
      <w:r>
        <w:t xml:space="preserve">Vedic: </w:t>
      </w:r>
    </w:p>
    <w:p w:rsidR="0063543C" w:rsidRDefault="0063543C" w:rsidP="0063543C"/>
    <w:p w:rsidR="0063543C" w:rsidRDefault="0063543C" w:rsidP="006C5E25">
      <w:r>
        <w:t>The</w:t>
      </w:r>
      <w:r w:rsidR="00020ADD">
        <w:t xml:space="preserve"> content of the</w:t>
      </w:r>
      <w:r>
        <w:t xml:space="preserve">se sections </w:t>
      </w:r>
      <w:r w:rsidR="00020ADD">
        <w:t>is</w:t>
      </w:r>
      <w:r>
        <w:t xml:space="preserve"> generally </w:t>
      </w:r>
      <w:r w:rsidR="00020ADD">
        <w:t>good</w:t>
      </w:r>
      <w:r>
        <w:t xml:space="preserve">, even if the </w:t>
      </w:r>
      <w:r w:rsidR="00020ADD">
        <w:t>T</w:t>
      </w:r>
      <w:r>
        <w:t xml:space="preserve">able of </w:t>
      </w:r>
      <w:r w:rsidR="00020ADD">
        <w:t>C</w:t>
      </w:r>
      <w:r>
        <w:t xml:space="preserve">ontents seems to be </w:t>
      </w:r>
      <w:r w:rsidR="00020ADD">
        <w:t>lack</w:t>
      </w:r>
      <w:r>
        <w:t>ing some entries, and its numbering is odd.</w:t>
      </w:r>
    </w:p>
    <w:p w:rsidR="0063543C" w:rsidRDefault="0063543C" w:rsidP="006C5E25">
      <w:r>
        <w:t>More importantly, the document is incomplete, lack</w:t>
      </w:r>
      <w:r w:rsidR="002E18F2">
        <w:t>ing any consideration</w:t>
      </w:r>
      <w:r w:rsidR="00020ADD">
        <w:t xml:space="preserve"> of Variants and / or Whole Label E</w:t>
      </w:r>
      <w:r>
        <w:t>valuation rules</w:t>
      </w:r>
      <w:r w:rsidR="002E18F2">
        <w:t xml:space="preserve"> (WLE)</w:t>
      </w:r>
      <w:r>
        <w:t xml:space="preserve">, </w:t>
      </w:r>
      <w:proofErr w:type="gramStart"/>
      <w:r>
        <w:t>The</w:t>
      </w:r>
      <w:proofErr w:type="gramEnd"/>
      <w:r>
        <w:t xml:space="preserve"> following more general sections should be added:</w:t>
      </w:r>
    </w:p>
    <w:p w:rsidR="00367605" w:rsidRDefault="00367605" w:rsidP="000966F0">
      <w:pPr>
        <w:pStyle w:val="NormalWeb"/>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6. Methodology</w:t>
      </w:r>
    </w:p>
    <w:p w:rsidR="00367605" w:rsidRDefault="00367605" w:rsidP="00367605">
      <w:r>
        <w:t>&lt;TBD – contents to be created&gt;</w:t>
      </w:r>
    </w:p>
    <w:p w:rsidR="00F2649B" w:rsidRDefault="00367605" w:rsidP="00F2649B">
      <w:pPr>
        <w:rPr>
          <w:rFonts w:ascii="Candara" w:hAnsi="Candara"/>
        </w:rPr>
      </w:pPr>
      <w:r>
        <w:t>This section should describe in more detail the methodology used by the Neo Brahmi Generation Panels in constructing a repertoire by following the Inclusion Principle laid out in [101].</w:t>
      </w:r>
      <w:r w:rsidR="00F2649B" w:rsidRPr="00F2649B">
        <w:rPr>
          <w:rFonts w:ascii="Candara" w:hAnsi="Candara"/>
        </w:rPr>
        <w:t xml:space="preserve"> </w:t>
      </w:r>
    </w:p>
    <w:p w:rsidR="00F2649B" w:rsidRDefault="00F2649B" w:rsidP="00C816ED">
      <w:r>
        <w:t xml:space="preserve">The Procedure that governs the work of the Generation Panel (GP) lays down that only code points that are actively selected by the GP will be included in the LGR. For each script's LGR, the GP will investigate the languages that use this script and define what code points are used by these languages --- while adhering to the restrictions </w:t>
      </w:r>
      <w:proofErr w:type="gramStart"/>
      <w:r>
        <w:t>laid</w:t>
      </w:r>
      <w:proofErr w:type="gramEnd"/>
      <w:r>
        <w:t xml:space="preserve"> out earlier. The set of code points to be included in the LGR will then be the superset of the required code point repertoires for the languages.</w:t>
      </w:r>
    </w:p>
    <w:p w:rsidR="00F2649B" w:rsidRDefault="00F2649B" w:rsidP="00F2649B">
      <w:r>
        <w:t>The first task, therefore, will be defining which language(s) to support for a given script. This choice matters for two reasons. One is in deciding the repertoire, as certain languages may require different code points. The other is in ensuring that any variant relations or WLE rules defined work equally well for all supported languages.</w:t>
      </w:r>
    </w:p>
    <w:p w:rsidR="00F2649B" w:rsidRDefault="00F2649B" w:rsidP="00F2649B">
      <w:r>
        <w:t xml:space="preserve">For this reason, </w:t>
      </w:r>
      <w:r w:rsidR="00C816ED">
        <w:t>the GP will need</w:t>
      </w:r>
      <w:r>
        <w:t xml:space="preserve"> an explicit criterion for determining the set of supported languages. Presumably, the languages’ degree of prominence will be justified by reference to an indicator of language vitality such as EGIDS (</w:t>
      </w:r>
      <w:r w:rsidRPr="0063543C">
        <w:t>Expanded Graded Intergenerational Disruption Scale</w:t>
      </w:r>
      <w:r>
        <w:t>, defined by Joshua Fishman, and operationalized in the SIL Ethnologue</w:t>
      </w:r>
      <w:r w:rsidR="00A06C4C">
        <w:t xml:space="preserve"> [202]</w:t>
      </w:r>
      <w:r w:rsidRPr="0063543C">
        <w:t>)</w:t>
      </w:r>
      <w:r>
        <w:t>, to be linked with the langu</w:t>
      </w:r>
      <w:r w:rsidR="00A06C4C">
        <w:t>a</w:t>
      </w:r>
      <w:r>
        <w:t>ges’ actual use of a given script or scripts.</w:t>
      </w:r>
      <w:r w:rsidR="00A06C4C">
        <w:t xml:space="preserve"> </w:t>
      </w:r>
      <w:r w:rsidR="00A06C4C" w:rsidRPr="00C816ED">
        <w:t>The Generation Panel will make sure to not bias their selection of supported languages against smaller or minority languages - as long as their written use in everyday life generally matches the conditions described in the MSR</w:t>
      </w:r>
      <w:r w:rsidR="00C816ED">
        <w:t xml:space="preserve"> [203]</w:t>
      </w:r>
      <w:r w:rsidR="00A06C4C" w:rsidRPr="00C816ED">
        <w:t>.</w:t>
      </w:r>
      <w:r w:rsidR="00A06C4C">
        <w:rPr>
          <w:rFonts w:ascii="Candara" w:hAnsi="Candara"/>
        </w:rPr>
        <w:t xml:space="preserve"> </w:t>
      </w:r>
    </w:p>
    <w:p w:rsidR="00A06C4C" w:rsidRPr="00C816ED" w:rsidRDefault="00F2649B" w:rsidP="00F2649B">
      <w:r w:rsidRPr="00C816ED">
        <w:t>The Generation Panel will document, for each code point, at least one</w:t>
      </w:r>
      <w:r w:rsidR="00A06C4C" w:rsidRPr="00C816ED">
        <w:t xml:space="preserve"> supported</w:t>
      </w:r>
      <w:r w:rsidRPr="00C816ED">
        <w:t xml:space="preserve"> language that requires the code point</w:t>
      </w:r>
      <w:r w:rsidR="00A06C4C" w:rsidRPr="00C816ED">
        <w:t xml:space="preserve"> for everyday writing</w:t>
      </w:r>
      <w:r w:rsidRPr="00C816ED">
        <w:t xml:space="preserve"> (which thus represents a sufficient condition for selection). There is no need to document "all" languages’ use of the code point</w:t>
      </w:r>
      <w:r w:rsidR="00A06C4C" w:rsidRPr="00C816ED">
        <w:t>.</w:t>
      </w:r>
    </w:p>
    <w:p w:rsidR="00367605" w:rsidRDefault="00367605" w:rsidP="00367605"/>
    <w:p w:rsidR="000966F0" w:rsidRDefault="00367605" w:rsidP="000966F0">
      <w:pPr>
        <w:pStyle w:val="NormalWeb"/>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7</w:t>
      </w:r>
      <w:r w:rsidR="000966F0" w:rsidRPr="000966F0">
        <w:rPr>
          <w:rFonts w:asciiTheme="majorHAnsi" w:eastAsiaTheme="majorEastAsia" w:hAnsiTheme="majorHAnsi" w:cstheme="majorBidi"/>
          <w:b/>
          <w:bCs/>
          <w:color w:val="4F81BD" w:themeColor="accent1"/>
          <w:sz w:val="26"/>
          <w:szCs w:val="26"/>
        </w:rPr>
        <w:t>. Variants</w:t>
      </w:r>
      <w:bookmarkStart w:id="0" w:name="_GoBack"/>
      <w:bookmarkEnd w:id="0"/>
    </w:p>
    <w:p w:rsidR="000966F0" w:rsidRDefault="000966F0" w:rsidP="000966F0">
      <w:pPr>
        <w:pStyle w:val="NormalWeb"/>
      </w:pPr>
      <w:r>
        <w:rPr>
          <w:rFonts w:ascii="Candara" w:hAnsi="Candara"/>
        </w:rPr>
        <w:t>&lt;TBD – contents to be created&gt;</w:t>
      </w:r>
    </w:p>
    <w:p w:rsidR="002E18F2" w:rsidRDefault="000966F0" w:rsidP="006C5E25">
      <w:r>
        <w:t xml:space="preserve">This section should describe the </w:t>
      </w:r>
      <w:r w:rsidR="00A84E5B">
        <w:t xml:space="preserve">governing </w:t>
      </w:r>
      <w:r>
        <w:t xml:space="preserve">principles for </w:t>
      </w:r>
      <w:r w:rsidR="00A84E5B">
        <w:t xml:space="preserve">assessing the need for </w:t>
      </w:r>
      <w:r>
        <w:t xml:space="preserve">both in-script and cross-script variants. </w:t>
      </w:r>
    </w:p>
    <w:p w:rsidR="002E18F2" w:rsidRDefault="000966F0" w:rsidP="006C5E25">
      <w:r>
        <w:t xml:space="preserve">For cross-script variants, if a selection of code points in two scripts is of identical or </w:t>
      </w:r>
      <w:r w:rsidR="00A84E5B">
        <w:t xml:space="preserve">very </w:t>
      </w:r>
      <w:r>
        <w:t xml:space="preserve">close to identical appearance, it would be possible to register a label in one script and make it look like a label in another script. Assigning cross-script variants would ensure mutual exclusion of such labels. </w:t>
      </w:r>
      <w:r w:rsidR="00A84E5B">
        <w:t>This approach is preferred for cases where code points are indistinguishable in normal circumstances and may have additional, systematic or historical relations. Cases of more limited or accidental similarity would best be handled outside the LGR.</w:t>
      </w:r>
    </w:p>
    <w:p w:rsidR="000966F0" w:rsidRDefault="000966F0" w:rsidP="006C5E25">
      <w:r>
        <w:t xml:space="preserve">Sometimes, the forms </w:t>
      </w:r>
      <w:r w:rsidR="002E18F2">
        <w:t xml:space="preserve">which look alike </w:t>
      </w:r>
      <w:r>
        <w:t>are combining marks</w:t>
      </w:r>
      <w:r w:rsidR="002E18F2">
        <w:t xml:space="preserve"> only</w:t>
      </w:r>
      <w:r>
        <w:t xml:space="preserve">. As these cannot be used </w:t>
      </w:r>
      <w:r w:rsidR="002E18F2">
        <w:t>without letters to com</w:t>
      </w:r>
      <w:r w:rsidR="00A84E5B">
        <w:t>b</w:t>
      </w:r>
      <w:r w:rsidR="002E18F2">
        <w:t>ine with</w:t>
      </w:r>
      <w:r>
        <w:t>, it is not possible to create full labels using combining marks</w:t>
      </w:r>
      <w:r w:rsidR="002E18F2" w:rsidRPr="002E18F2">
        <w:t xml:space="preserve"> </w:t>
      </w:r>
      <w:r w:rsidR="002E18F2">
        <w:t>only</w:t>
      </w:r>
      <w:r w:rsidR="001A3B72">
        <w:t>. Therefore</w:t>
      </w:r>
      <w:r>
        <w:t>, no cross-script variants would be needed</w:t>
      </w:r>
      <w:r w:rsidR="001A3B72">
        <w:t xml:space="preserve"> in this situation</w:t>
      </w:r>
      <w:r>
        <w:t>.</w:t>
      </w:r>
    </w:p>
    <w:p w:rsidR="00E6272E" w:rsidRDefault="001A3B72" w:rsidP="006C5E25">
      <w:r>
        <w:t>As for in-script variants, t</w:t>
      </w:r>
      <w:r w:rsidR="000966F0">
        <w:t>he Guiding Principles should discuss, in broad terms, whether variants are expected to exist and if so, under what circumstances.</w:t>
      </w:r>
      <w:r>
        <w:t xml:space="preserve"> To this end, the discussion from the VIP study group might be a useful input to discussion</w:t>
      </w:r>
      <w:r w:rsidR="00B8401E">
        <w:t xml:space="preserve"> (200)</w:t>
      </w:r>
      <w:r>
        <w:t>.</w:t>
      </w:r>
    </w:p>
    <w:p w:rsidR="000966F0" w:rsidRDefault="000966F0" w:rsidP="006C5E25">
      <w:r>
        <w:t xml:space="preserve">Note that in the Khmer script, it was found that the appearance of certain code points was identical when they appeared in certain </w:t>
      </w:r>
      <w:r w:rsidR="001A3B72">
        <w:t xml:space="preserve">combined </w:t>
      </w:r>
      <w:r>
        <w:t>sequences, but not when standing alone. From the perspective of variants, attention mu</w:t>
      </w:r>
      <w:r w:rsidR="001A3B72">
        <w:t>st be paid to the possibility of such cases</w:t>
      </w:r>
      <w:r w:rsidR="00A84E5B">
        <w:t>.</w:t>
      </w:r>
    </w:p>
    <w:p w:rsidR="000966F0" w:rsidRPr="000966F0" w:rsidRDefault="00367605" w:rsidP="000966F0">
      <w:pPr>
        <w:pStyle w:val="NormalWeb"/>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8</w:t>
      </w:r>
      <w:r w:rsidR="002E18F2">
        <w:rPr>
          <w:rFonts w:asciiTheme="majorHAnsi" w:eastAsiaTheme="majorEastAsia" w:hAnsiTheme="majorHAnsi" w:cstheme="majorBidi"/>
          <w:b/>
          <w:bCs/>
          <w:color w:val="4F81BD" w:themeColor="accent1"/>
          <w:sz w:val="26"/>
          <w:szCs w:val="26"/>
        </w:rPr>
        <w:t>. Whole Label E</w:t>
      </w:r>
      <w:r w:rsidR="000966F0" w:rsidRPr="000966F0">
        <w:rPr>
          <w:rFonts w:asciiTheme="majorHAnsi" w:eastAsiaTheme="majorEastAsia" w:hAnsiTheme="majorHAnsi" w:cstheme="majorBidi"/>
          <w:b/>
          <w:bCs/>
          <w:color w:val="4F81BD" w:themeColor="accent1"/>
          <w:sz w:val="26"/>
          <w:szCs w:val="26"/>
        </w:rPr>
        <w:t>valuation</w:t>
      </w:r>
      <w:r w:rsidR="002E18F2">
        <w:rPr>
          <w:rFonts w:asciiTheme="majorHAnsi" w:eastAsiaTheme="majorEastAsia" w:hAnsiTheme="majorHAnsi" w:cstheme="majorBidi"/>
          <w:b/>
          <w:bCs/>
          <w:color w:val="4F81BD" w:themeColor="accent1"/>
          <w:sz w:val="26"/>
          <w:szCs w:val="26"/>
        </w:rPr>
        <w:t xml:space="preserve"> (WLE) </w:t>
      </w:r>
      <w:r w:rsidR="000966F0" w:rsidRPr="000966F0">
        <w:rPr>
          <w:rFonts w:asciiTheme="majorHAnsi" w:eastAsiaTheme="majorEastAsia" w:hAnsiTheme="majorHAnsi" w:cstheme="majorBidi"/>
          <w:b/>
          <w:bCs/>
          <w:color w:val="4F81BD" w:themeColor="accent1"/>
          <w:sz w:val="26"/>
          <w:szCs w:val="26"/>
        </w:rPr>
        <w:t>rules</w:t>
      </w:r>
    </w:p>
    <w:p w:rsidR="000966F0" w:rsidRDefault="000966F0" w:rsidP="006C5E25">
      <w:r>
        <w:t>&lt;TBD – contents to be created&gt;</w:t>
      </w:r>
    </w:p>
    <w:p w:rsidR="001A3B72" w:rsidRDefault="000966F0" w:rsidP="006C5E25">
      <w:r>
        <w:t>This section should describe the general guiding princi</w:t>
      </w:r>
      <w:r w:rsidR="001A3B72">
        <w:t>ples for devising Whole Label E</w:t>
      </w:r>
      <w:r>
        <w:t xml:space="preserve">valuation rules. </w:t>
      </w:r>
    </w:p>
    <w:p w:rsidR="001A3B72" w:rsidRDefault="000966F0" w:rsidP="006C5E25">
      <w:r>
        <w:t xml:space="preserve">The expectation from the Integration Panel is that such rules will be </w:t>
      </w:r>
      <w:r w:rsidR="00A84E5B">
        <w:t xml:space="preserve">broadly </w:t>
      </w:r>
      <w:r>
        <w:t xml:space="preserve">similar to the rules devised for Khmer (in public comment) and Lao (in preparation). </w:t>
      </w:r>
    </w:p>
    <w:p w:rsidR="001A3B72" w:rsidRDefault="000966F0" w:rsidP="006C5E25">
      <w:r>
        <w:t xml:space="preserve">Their purpose is to ensure that all elements in an akshara </w:t>
      </w:r>
      <w:r w:rsidR="001A3B72">
        <w:t xml:space="preserve">(fully specified syllable) </w:t>
      </w:r>
      <w:r>
        <w:t>occur in a standard order (and only in tha</w:t>
      </w:r>
      <w:r w:rsidR="001A3B72">
        <w:t xml:space="preserve">t standard order) so that </w:t>
      </w:r>
      <w:r>
        <w:t>no structurally malformed syllables</w:t>
      </w:r>
      <w:r w:rsidR="001A3B72">
        <w:t xml:space="preserve"> are permitted within a label</w:t>
      </w:r>
      <w:r>
        <w:t xml:space="preserve">. </w:t>
      </w:r>
    </w:p>
    <w:p w:rsidR="001A3B72" w:rsidRDefault="000966F0" w:rsidP="006C5E25">
      <w:r>
        <w:t xml:space="preserve">This is especially important in cases where rendering systems might </w:t>
      </w:r>
      <w:r w:rsidR="001A3B72">
        <w:t>fail to</w:t>
      </w:r>
      <w:r>
        <w:t xml:space="preserve"> render a mal</w:t>
      </w:r>
      <w:r w:rsidR="001A3B72">
        <w:t>-</w:t>
      </w:r>
      <w:r>
        <w:t>formed syllable in a predictable way, leading to potential user confusion. (</w:t>
      </w:r>
      <w:r w:rsidR="007D257F">
        <w:t>Note that i</w:t>
      </w:r>
      <w:r w:rsidR="001A3B72">
        <w:t xml:space="preserve">t is </w:t>
      </w:r>
      <w:r w:rsidR="007D257F">
        <w:t xml:space="preserve">never safe </w:t>
      </w:r>
      <w:r w:rsidR="001A3B72">
        <w:t>to assume</w:t>
      </w:r>
      <w:r>
        <w:t xml:space="preserve"> that all registrants will be </w:t>
      </w:r>
      <w:r w:rsidR="001A3B72">
        <w:t>competent</w:t>
      </w:r>
      <w:r>
        <w:t xml:space="preserve"> users of the scripts for which they submit applications</w:t>
      </w:r>
      <w:r w:rsidR="001A3B72">
        <w:t>.)</w:t>
      </w:r>
    </w:p>
    <w:p w:rsidR="00C14E10" w:rsidRDefault="00C14E10" w:rsidP="006C5E25">
      <w:r>
        <w:t>In addition, for some scripts, alternative orderings of the elements of an akshara exist that could lead to similar or identical presentation on some systems. To avoid ambiguities, WLE rules may be used to enforce a canonical ordering or, alternatively, blocked variants might be defined for the sequences in question. If there is no possibility of ambiguous ordering in a given script, this should be noted as a fact found by the Generation Panel.</w:t>
      </w:r>
    </w:p>
    <w:p w:rsidR="000966F0" w:rsidRDefault="00C52796" w:rsidP="006C5E25">
      <w:r>
        <w:t>Bear in mind that the language of a label is not known at the time a WLE rule is evaluated, and, in fact, labels may not necessarily be in any particular language. Therefore, WLE rules should only reflect restrictions inherent to any use of the script. Where multiple languages share a script, care must be taken to ensure that the WLE rules are not biased towards a few prominent languages.</w:t>
      </w:r>
    </w:p>
    <w:p w:rsidR="00A2443D" w:rsidRPr="00A2443D" w:rsidRDefault="00C52796" w:rsidP="000966F0">
      <w:pPr>
        <w:pStyle w:val="NormalWeb"/>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9</w:t>
      </w:r>
      <w:r w:rsidR="00502490">
        <w:rPr>
          <w:rFonts w:asciiTheme="majorHAnsi" w:eastAsiaTheme="majorEastAsia" w:hAnsiTheme="majorHAnsi" w:cstheme="majorBidi"/>
          <w:b/>
          <w:bCs/>
          <w:color w:val="4F81BD" w:themeColor="accent1"/>
          <w:sz w:val="26"/>
          <w:szCs w:val="26"/>
        </w:rPr>
        <w:t xml:space="preserve">. </w:t>
      </w:r>
      <w:r w:rsidR="00A2443D" w:rsidRPr="00A2443D">
        <w:rPr>
          <w:rFonts w:asciiTheme="majorHAnsi" w:eastAsiaTheme="majorEastAsia" w:hAnsiTheme="majorHAnsi" w:cstheme="majorBidi"/>
          <w:b/>
          <w:bCs/>
          <w:color w:val="4F81BD" w:themeColor="accent1"/>
          <w:sz w:val="26"/>
          <w:szCs w:val="26"/>
        </w:rPr>
        <w:t>References</w:t>
      </w:r>
    </w:p>
    <w:p w:rsidR="000966F0" w:rsidRPr="007D257F" w:rsidRDefault="000966F0" w:rsidP="006C5E25">
      <w:r>
        <w:t>Finally, it is always a good idea to have citations for documents referred to in the text and a references section listing them</w:t>
      </w:r>
      <w:r w:rsidR="00D45451">
        <w:t>, as in the following examples:</w:t>
      </w:r>
      <w:r w:rsidR="00B8401E">
        <w:t xml:space="preserve"> </w:t>
      </w:r>
    </w:p>
    <w:p w:rsidR="00B8401E" w:rsidRDefault="00B8401E" w:rsidP="00B8401E">
      <w:pPr>
        <w:pStyle w:val="bib"/>
      </w:pPr>
      <w:r>
        <w:t xml:space="preserve">1. </w:t>
      </w:r>
      <w:r w:rsidRPr="00D30442">
        <w:t>The Unicode Consortium. The Unicode Standard, Version 6.3.0, (Mountain View, CA: The Unicode Consortium, 2013. ISBN 978-1-936213-08-5</w:t>
      </w:r>
    </w:p>
    <w:p w:rsidR="00B8401E" w:rsidRDefault="00B8401E" w:rsidP="00B8401E">
      <w:pPr>
        <w:pStyle w:val="bib"/>
      </w:pPr>
      <w:r>
        <w:t>100. The Unicode Consortium. The Unicode Standard, Version 8.0.0, (Mountain View, CA: The Unicode Consortium, 2015. ISBN 978-1-936213-10-8), Chapter 16: Southeast Asia, section 16.4: Khmer,</w:t>
      </w:r>
      <w:r w:rsidRPr="00881148">
        <w:rPr>
          <w:rFonts w:eastAsia="Calibri" w:cstheme="minorHAnsi"/>
        </w:rPr>
        <w:t xml:space="preserve"> </w:t>
      </w:r>
      <w:r w:rsidRPr="008E7A93">
        <w:rPr>
          <w:rFonts w:eastAsia="Calibri" w:cstheme="minorHAnsi"/>
        </w:rPr>
        <w:t xml:space="preserve">pages </w:t>
      </w:r>
      <w:r>
        <w:rPr>
          <w:rFonts w:eastAsia="Calibri" w:cstheme="minorHAnsi"/>
        </w:rPr>
        <w:t>616-618</w:t>
      </w:r>
      <w:r>
        <w:t xml:space="preserve">. </w:t>
      </w:r>
      <w:hyperlink r:id="rId7" w:history="1">
        <w:r w:rsidRPr="009856BB">
          <w:rPr>
            <w:rStyle w:val="Hyperlink"/>
          </w:rPr>
          <w:t>http://www.unicode.org/versions/Unicode8.0.0/ch16.pdf</w:t>
        </w:r>
      </w:hyperlink>
      <w:r>
        <w:rPr>
          <w:rStyle w:val="Hyperlink"/>
        </w:rPr>
        <w:t xml:space="preserve"> </w:t>
      </w:r>
      <w:r>
        <w:rPr>
          <w:rFonts w:eastAsia="Calibri" w:cstheme="minorHAnsi"/>
        </w:rPr>
        <w:t xml:space="preserve"> </w:t>
      </w:r>
    </w:p>
    <w:p w:rsidR="00B8401E" w:rsidRPr="00A37222" w:rsidRDefault="00B8401E" w:rsidP="00B8401E">
      <w:pPr>
        <w:pStyle w:val="bib"/>
      </w:pPr>
      <w:r>
        <w:t xml:space="preserve">101. </w:t>
      </w:r>
      <w:r w:rsidRPr="00A37222">
        <w:t xml:space="preserve">Internet Corporation for Assigned Names and Numbers, "Procedure to Develop and Maintain the Label Generation Rules for the Root Zone in Respect of IDNA Labels." (Los Angeles, California: ICANN, March, 2013) </w:t>
      </w:r>
      <w:hyperlink r:id="rId8" w:history="1">
        <w:r w:rsidRPr="00EE113C">
          <w:rPr>
            <w:rStyle w:val="Hyperlink"/>
          </w:rPr>
          <w:t>http://www.icann.org/en/resources/idn/variant-tlds/draft-lgr-procedure-20mar13-en.pdf</w:t>
        </w:r>
      </w:hyperlink>
      <w:r>
        <w:t xml:space="preserve"> </w:t>
      </w:r>
    </w:p>
    <w:p w:rsidR="00B8401E" w:rsidRPr="00A37222" w:rsidRDefault="00B8401E" w:rsidP="00B8401E">
      <w:pPr>
        <w:pStyle w:val="bib"/>
        <w:rPr>
          <w:color w:val="1F497D" w:themeColor="text2"/>
        </w:rPr>
      </w:pPr>
      <w:r>
        <w:t xml:space="preserve">102. </w:t>
      </w:r>
      <w:r w:rsidRPr="00A37222">
        <w:t xml:space="preserve">Integration Panel “Requirements for LGR Proposals from Generation Panels” available online </w:t>
      </w:r>
      <w:r>
        <w:t xml:space="preserve">at </w:t>
      </w:r>
      <w:hyperlink r:id="rId9" w:history="1">
        <w:r w:rsidRPr="00A37222">
          <w:rPr>
            <w:rStyle w:val="Hyperlink"/>
          </w:rPr>
          <w:t>https://www.icann.org/en/system/files/files/Requirements-for-LGR-Proposals-20150424.pdf</w:t>
        </w:r>
      </w:hyperlink>
    </w:p>
    <w:p w:rsidR="000966F0" w:rsidRDefault="00B8401E" w:rsidP="00612C43">
      <w:pPr>
        <w:pStyle w:val="bib"/>
        <w:rPr>
          <w:rStyle w:val="Hyperlink"/>
        </w:rPr>
      </w:pPr>
      <w:r>
        <w:t xml:space="preserve">103. </w:t>
      </w:r>
      <w:r w:rsidRPr="00A37222">
        <w:t xml:space="preserve">The Unicode Consortium, Unicode Character Database, available online as </w:t>
      </w:r>
      <w:hyperlink r:id="rId10" w:history="1">
        <w:r w:rsidRPr="00881148">
          <w:rPr>
            <w:rStyle w:val="Hyperlink"/>
          </w:rPr>
          <w:t>http://www.unicode.org/Public/UCD/latest/</w:t>
        </w:r>
      </w:hyperlink>
    </w:p>
    <w:p w:rsidR="00B8401E" w:rsidRDefault="00B8401E" w:rsidP="00612C43">
      <w:pPr>
        <w:pStyle w:val="bib"/>
        <w:rPr>
          <w:rFonts w:ascii="Arial" w:hAnsi="Arial" w:cs="Arial"/>
          <w:color w:val="0B5519"/>
          <w:sz w:val="28"/>
          <w:szCs w:val="28"/>
        </w:rPr>
      </w:pPr>
      <w:r>
        <w:t xml:space="preserve">200. </w:t>
      </w:r>
      <w:proofErr w:type="spellStart"/>
      <w:r w:rsidRPr="00C816ED">
        <w:t>Devanāgari</w:t>
      </w:r>
      <w:proofErr w:type="spellEnd"/>
      <w:r w:rsidRPr="00C816ED">
        <w:t xml:space="preserve">̄ </w:t>
      </w:r>
      <w:proofErr w:type="spellStart"/>
      <w:proofErr w:type="gramStart"/>
      <w:r w:rsidRPr="00C816ED">
        <w:t>Vip</w:t>
      </w:r>
      <w:proofErr w:type="spellEnd"/>
      <w:proofErr w:type="gramEnd"/>
      <w:r w:rsidRPr="00C816ED">
        <w:t xml:space="preserve"> Team Issues Report</w:t>
      </w:r>
      <w:r>
        <w:rPr>
          <w:rFonts w:ascii="Candara" w:hAnsi="Candara"/>
        </w:rPr>
        <w:t xml:space="preserve">: </w:t>
      </w:r>
      <w:hyperlink r:id="rId11" w:history="1">
        <w:r w:rsidRPr="00B8401E">
          <w:rPr>
            <w:rStyle w:val="Hyperlink"/>
          </w:rPr>
          <w:t>https://archive.icann.org/en/topics/new-gtlds/devanagari-vip-issues-report-03oct11-en.pdf</w:t>
        </w:r>
      </w:hyperlink>
      <w:r>
        <w:rPr>
          <w:rFonts w:ascii="Arial" w:hAnsi="Arial" w:cs="Arial"/>
          <w:color w:val="0B5519"/>
          <w:sz w:val="28"/>
          <w:szCs w:val="28"/>
        </w:rPr>
        <w:t xml:space="preserve"> </w:t>
      </w:r>
      <w:r w:rsidRPr="00E6272E">
        <w:rPr>
          <w:rFonts w:ascii="Arial" w:hAnsi="Arial" w:cs="Arial"/>
          <w:color w:val="0B5519"/>
          <w:sz w:val="28"/>
          <w:szCs w:val="28"/>
        </w:rPr>
        <w:t xml:space="preserve"> </w:t>
      </w:r>
    </w:p>
    <w:p w:rsidR="00B8401E" w:rsidRDefault="00B8401E" w:rsidP="00612C43">
      <w:pPr>
        <w:pStyle w:val="bib"/>
        <w:rPr>
          <w:rFonts w:ascii="Candara" w:hAnsi="Candara"/>
        </w:rPr>
      </w:pPr>
      <w:r w:rsidRPr="00C816ED">
        <w:t xml:space="preserve">201. </w:t>
      </w:r>
      <w:proofErr w:type="spellStart"/>
      <w:r w:rsidRPr="00C816ED">
        <w:t>Scriptsource</w:t>
      </w:r>
      <w:proofErr w:type="spellEnd"/>
      <w:r>
        <w:rPr>
          <w:rFonts w:ascii="Candara" w:hAnsi="Candara"/>
        </w:rPr>
        <w:t>:</w:t>
      </w:r>
      <w:r w:rsidRPr="00B8401E">
        <w:rPr>
          <w:rFonts w:ascii="Candara" w:hAnsi="Candara"/>
        </w:rPr>
        <w:t xml:space="preserve"> </w:t>
      </w:r>
      <w:hyperlink r:id="rId12" w:history="1">
        <w:r w:rsidRPr="00233EE3">
          <w:rPr>
            <w:rStyle w:val="Hyperlink"/>
            <w:rFonts w:ascii="Candara" w:hAnsi="Candara"/>
          </w:rPr>
          <w:t>http://scriptsource.org/cms/scripts/</w:t>
        </w:r>
      </w:hyperlink>
      <w:r>
        <w:rPr>
          <w:rFonts w:ascii="Candara" w:hAnsi="Candara"/>
        </w:rPr>
        <w:t xml:space="preserve"> </w:t>
      </w:r>
    </w:p>
    <w:p w:rsidR="00F2649B" w:rsidRDefault="00F2649B" w:rsidP="00612C43">
      <w:pPr>
        <w:pStyle w:val="bib"/>
        <w:rPr>
          <w:sz w:val="23"/>
          <w:szCs w:val="23"/>
        </w:rPr>
      </w:pPr>
      <w:r w:rsidRPr="00C816ED">
        <w:t>202.</w:t>
      </w:r>
      <w:r>
        <w:rPr>
          <w:rFonts w:ascii="Candara" w:hAnsi="Candara"/>
        </w:rPr>
        <w:t xml:space="preserve"> </w:t>
      </w:r>
      <w:r w:rsidR="00A06C4C">
        <w:rPr>
          <w:sz w:val="23"/>
          <w:szCs w:val="23"/>
        </w:rPr>
        <w:t xml:space="preserve"> </w:t>
      </w:r>
      <w:r>
        <w:rPr>
          <w:sz w:val="23"/>
          <w:szCs w:val="23"/>
        </w:rPr>
        <w:t xml:space="preserve">Lewis, M. Paul, Gary F. Simons, and Charles D. </w:t>
      </w:r>
      <w:proofErr w:type="spellStart"/>
      <w:r>
        <w:rPr>
          <w:sz w:val="23"/>
          <w:szCs w:val="23"/>
        </w:rPr>
        <w:t>Fennig</w:t>
      </w:r>
      <w:proofErr w:type="spellEnd"/>
      <w:r>
        <w:rPr>
          <w:sz w:val="23"/>
          <w:szCs w:val="23"/>
        </w:rPr>
        <w:t xml:space="preserve"> (</w:t>
      </w:r>
      <w:proofErr w:type="gramStart"/>
      <w:r>
        <w:rPr>
          <w:sz w:val="23"/>
          <w:szCs w:val="23"/>
        </w:rPr>
        <w:t>eds</w:t>
      </w:r>
      <w:proofErr w:type="gramEnd"/>
      <w:r>
        <w:rPr>
          <w:sz w:val="23"/>
          <w:szCs w:val="23"/>
        </w:rPr>
        <w:t xml:space="preserve">.). 2014. </w:t>
      </w:r>
      <w:r>
        <w:rPr>
          <w:i/>
          <w:iCs/>
          <w:sz w:val="23"/>
          <w:szCs w:val="23"/>
        </w:rPr>
        <w:t xml:space="preserve">Ethnologue: Languages of the World, Seventeenth edition. </w:t>
      </w:r>
      <w:r>
        <w:rPr>
          <w:sz w:val="23"/>
          <w:szCs w:val="23"/>
        </w:rPr>
        <w:t xml:space="preserve">Dallas, Texas: SIL International. </w:t>
      </w:r>
      <w:proofErr w:type="gramStart"/>
      <w:r>
        <w:rPr>
          <w:sz w:val="23"/>
          <w:szCs w:val="23"/>
        </w:rPr>
        <w:t xml:space="preserve">Online version available as </w:t>
      </w:r>
      <w:hyperlink r:id="rId13" w:history="1">
        <w:r w:rsidR="00C816ED" w:rsidRPr="00A10096">
          <w:rPr>
            <w:rStyle w:val="Hyperlink"/>
            <w:sz w:val="23"/>
            <w:szCs w:val="23"/>
          </w:rPr>
          <w:t>http://www.ethnologue.com</w:t>
        </w:r>
      </w:hyperlink>
      <w:r>
        <w:rPr>
          <w:sz w:val="23"/>
          <w:szCs w:val="23"/>
        </w:rPr>
        <w:t>.</w:t>
      </w:r>
      <w:proofErr w:type="gramEnd"/>
    </w:p>
    <w:p w:rsidR="00C816ED" w:rsidRDefault="00C816ED" w:rsidP="00612C43">
      <w:pPr>
        <w:pStyle w:val="bib"/>
      </w:pPr>
      <w:r>
        <w:rPr>
          <w:sz w:val="23"/>
          <w:szCs w:val="23"/>
        </w:rPr>
        <w:t xml:space="preserve">203.  </w:t>
      </w:r>
      <w:r w:rsidRPr="00A37222">
        <w:t>Internet Corporation for Assigned Names and Numbers, "</w:t>
      </w:r>
      <w:hyperlink r:id="rId14" w:history="1">
        <w:r>
          <w:rPr>
            <w:rStyle w:val="Hyperlink"/>
          </w:rPr>
          <w:t>Maximal Starting Repertoire - MSR-2-Overview and Rationale”, (Los Angeles, California:</w:t>
        </w:r>
      </w:hyperlink>
      <w:r>
        <w:t xml:space="preserve"> April 2015</w:t>
      </w:r>
      <w:proofErr w:type="gramStart"/>
      <w:r>
        <w:t>)</w:t>
      </w:r>
      <w:proofErr w:type="gramEnd"/>
      <w:r>
        <w:br/>
      </w:r>
      <w:r w:rsidRPr="00C816ED">
        <w:t>https://www.icann.org/en/system/files/files/msr-2-overview-14apr15-en.pdf</w:t>
      </w:r>
    </w:p>
    <w:p w:rsidR="00C816ED" w:rsidRPr="00B8401E" w:rsidRDefault="00C816ED" w:rsidP="00612C43">
      <w:pPr>
        <w:pStyle w:val="bib"/>
        <w:rPr>
          <w:rFonts w:ascii="Candara" w:hAnsi="Candara"/>
        </w:rPr>
      </w:pPr>
    </w:p>
    <w:sectPr w:rsidR="00C816ED" w:rsidRPr="00B8401E" w:rsidSect="00995D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E61" w:rsidRDefault="00483E61" w:rsidP="00E6272E">
      <w:pPr>
        <w:spacing w:after="0" w:line="240" w:lineRule="auto"/>
      </w:pPr>
      <w:r>
        <w:separator/>
      </w:r>
    </w:p>
  </w:endnote>
  <w:endnote w:type="continuationSeparator" w:id="0">
    <w:p w:rsidR="00483E61" w:rsidRDefault="00483E61" w:rsidP="00E62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E61" w:rsidRDefault="00483E61" w:rsidP="00E6272E">
      <w:pPr>
        <w:spacing w:after="0" w:line="240" w:lineRule="auto"/>
      </w:pPr>
      <w:r>
        <w:separator/>
      </w:r>
    </w:p>
  </w:footnote>
  <w:footnote w:type="continuationSeparator" w:id="0">
    <w:p w:rsidR="00483E61" w:rsidRDefault="00483E61" w:rsidP="00E627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94331"/>
    <w:multiLevelType w:val="hybridMultilevel"/>
    <w:tmpl w:val="5148A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Formatting/>
  <w:defaultTabStop w:val="720"/>
  <w:characterSpacingControl w:val="doNotCompress"/>
  <w:footnotePr>
    <w:footnote w:id="-1"/>
    <w:footnote w:id="0"/>
  </w:footnotePr>
  <w:endnotePr>
    <w:endnote w:id="-1"/>
    <w:endnote w:id="0"/>
  </w:endnotePr>
  <w:compat/>
  <w:rsids>
    <w:rsidRoot w:val="006F6001"/>
    <w:rsid w:val="00020ADD"/>
    <w:rsid w:val="000966F0"/>
    <w:rsid w:val="000C4D51"/>
    <w:rsid w:val="00146AC8"/>
    <w:rsid w:val="001607A9"/>
    <w:rsid w:val="001906DB"/>
    <w:rsid w:val="001A3B72"/>
    <w:rsid w:val="00202D62"/>
    <w:rsid w:val="002C01D1"/>
    <w:rsid w:val="002E18F2"/>
    <w:rsid w:val="00364AD1"/>
    <w:rsid w:val="00367605"/>
    <w:rsid w:val="003E4CB4"/>
    <w:rsid w:val="003F6514"/>
    <w:rsid w:val="0046451F"/>
    <w:rsid w:val="00483E61"/>
    <w:rsid w:val="00502490"/>
    <w:rsid w:val="005754F9"/>
    <w:rsid w:val="00612C43"/>
    <w:rsid w:val="006239B0"/>
    <w:rsid w:val="0063543C"/>
    <w:rsid w:val="006A5E60"/>
    <w:rsid w:val="006C5E25"/>
    <w:rsid w:val="006F6001"/>
    <w:rsid w:val="007B476F"/>
    <w:rsid w:val="007D0ACE"/>
    <w:rsid w:val="007D257F"/>
    <w:rsid w:val="007F42FF"/>
    <w:rsid w:val="00847D30"/>
    <w:rsid w:val="00995D70"/>
    <w:rsid w:val="009A6A54"/>
    <w:rsid w:val="009C064C"/>
    <w:rsid w:val="009F7265"/>
    <w:rsid w:val="00A06C4C"/>
    <w:rsid w:val="00A2443D"/>
    <w:rsid w:val="00A84E5B"/>
    <w:rsid w:val="00AC638F"/>
    <w:rsid w:val="00B03CE4"/>
    <w:rsid w:val="00B36576"/>
    <w:rsid w:val="00B8401E"/>
    <w:rsid w:val="00C14E10"/>
    <w:rsid w:val="00C52796"/>
    <w:rsid w:val="00C816ED"/>
    <w:rsid w:val="00D45451"/>
    <w:rsid w:val="00D82FEB"/>
    <w:rsid w:val="00E6272E"/>
    <w:rsid w:val="00EB3911"/>
    <w:rsid w:val="00EE3008"/>
    <w:rsid w:val="00F17AC7"/>
    <w:rsid w:val="00F2649B"/>
    <w:rsid w:val="00F50E65"/>
    <w:rsid w:val="00F52E31"/>
    <w:rsid w:val="00FB30E2"/>
    <w:rsid w:val="00FE0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70"/>
  </w:style>
  <w:style w:type="paragraph" w:styleId="Heading1">
    <w:name w:val="heading 1"/>
    <w:basedOn w:val="Normal"/>
    <w:next w:val="Normal"/>
    <w:link w:val="Heading1Char"/>
    <w:uiPriority w:val="9"/>
    <w:qFormat/>
    <w:rsid w:val="00B03CE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3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6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600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F60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600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03CE4"/>
    <w:rPr>
      <w:rFonts w:asciiTheme="majorHAnsi" w:eastAsiaTheme="majorEastAsia" w:hAnsiTheme="majorHAnsi" w:cstheme="majorBidi"/>
      <w:b/>
      <w:bCs/>
      <w:color w:val="345A8A" w:themeColor="accent1" w:themeShade="B5"/>
      <w:sz w:val="32"/>
      <w:szCs w:val="32"/>
    </w:rPr>
  </w:style>
  <w:style w:type="paragraph" w:customStyle="1" w:styleId="Default">
    <w:name w:val="Default"/>
    <w:rsid w:val="00B36576"/>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FB30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66F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F6514"/>
    <w:pPr>
      <w:ind w:left="720"/>
      <w:contextualSpacing/>
    </w:pPr>
  </w:style>
  <w:style w:type="paragraph" w:styleId="FootnoteText">
    <w:name w:val="footnote text"/>
    <w:basedOn w:val="Normal"/>
    <w:link w:val="FootnoteTextChar"/>
    <w:uiPriority w:val="99"/>
    <w:unhideWhenUsed/>
    <w:rsid w:val="00E6272E"/>
    <w:pPr>
      <w:spacing w:after="0" w:line="240" w:lineRule="auto"/>
    </w:pPr>
    <w:rPr>
      <w:sz w:val="24"/>
      <w:szCs w:val="24"/>
    </w:rPr>
  </w:style>
  <w:style w:type="character" w:customStyle="1" w:styleId="FootnoteTextChar">
    <w:name w:val="Footnote Text Char"/>
    <w:basedOn w:val="DefaultParagraphFont"/>
    <w:link w:val="FootnoteText"/>
    <w:uiPriority w:val="99"/>
    <w:rsid w:val="00E6272E"/>
    <w:rPr>
      <w:sz w:val="24"/>
      <w:szCs w:val="24"/>
    </w:rPr>
  </w:style>
  <w:style w:type="character" w:styleId="FootnoteReference">
    <w:name w:val="footnote reference"/>
    <w:basedOn w:val="DefaultParagraphFont"/>
    <w:uiPriority w:val="99"/>
    <w:unhideWhenUsed/>
    <w:rsid w:val="00E6272E"/>
    <w:rPr>
      <w:vertAlign w:val="superscript"/>
    </w:rPr>
  </w:style>
  <w:style w:type="character" w:styleId="Hyperlink">
    <w:name w:val="Hyperlink"/>
    <w:basedOn w:val="DefaultParagraphFont"/>
    <w:uiPriority w:val="99"/>
    <w:unhideWhenUsed/>
    <w:rsid w:val="00B8401E"/>
    <w:rPr>
      <w:color w:val="0000FF" w:themeColor="hyperlink"/>
      <w:u w:val="single"/>
    </w:rPr>
  </w:style>
  <w:style w:type="paragraph" w:customStyle="1" w:styleId="bib">
    <w:name w:val="bib"/>
    <w:basedOn w:val="Normal"/>
    <w:qFormat/>
    <w:rsid w:val="00B8401E"/>
    <w:pPr>
      <w:keepLines/>
      <w:spacing w:before="100" w:beforeAutospacing="1" w:after="100" w:afterAutospacing="1"/>
      <w:ind w:left="720" w:hanging="720"/>
    </w:pPr>
    <w:rPr>
      <w:lang w:bidi="en-US"/>
    </w:rPr>
  </w:style>
  <w:style w:type="paragraph" w:styleId="BalloonText">
    <w:name w:val="Balloon Text"/>
    <w:basedOn w:val="Normal"/>
    <w:link w:val="BalloonTextChar"/>
    <w:uiPriority w:val="99"/>
    <w:semiHidden/>
    <w:unhideWhenUsed/>
    <w:rsid w:val="00EE3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08"/>
    <w:rPr>
      <w:rFonts w:ascii="Tahoma" w:hAnsi="Tahoma" w:cs="Tahoma"/>
      <w:sz w:val="16"/>
      <w:szCs w:val="16"/>
    </w:rPr>
  </w:style>
  <w:style w:type="character" w:styleId="CommentReference">
    <w:name w:val="annotation reference"/>
    <w:basedOn w:val="DefaultParagraphFont"/>
    <w:uiPriority w:val="99"/>
    <w:semiHidden/>
    <w:unhideWhenUsed/>
    <w:rsid w:val="00C52796"/>
    <w:rPr>
      <w:sz w:val="16"/>
      <w:szCs w:val="16"/>
    </w:rPr>
  </w:style>
  <w:style w:type="paragraph" w:styleId="CommentText">
    <w:name w:val="annotation text"/>
    <w:basedOn w:val="Normal"/>
    <w:link w:val="CommentTextChar"/>
    <w:uiPriority w:val="99"/>
    <w:semiHidden/>
    <w:unhideWhenUsed/>
    <w:rsid w:val="00C52796"/>
    <w:pPr>
      <w:spacing w:line="240" w:lineRule="auto"/>
    </w:pPr>
    <w:rPr>
      <w:sz w:val="20"/>
      <w:szCs w:val="20"/>
    </w:rPr>
  </w:style>
  <w:style w:type="character" w:customStyle="1" w:styleId="CommentTextChar">
    <w:name w:val="Comment Text Char"/>
    <w:basedOn w:val="DefaultParagraphFont"/>
    <w:link w:val="CommentText"/>
    <w:uiPriority w:val="99"/>
    <w:semiHidden/>
    <w:rsid w:val="00C52796"/>
    <w:rPr>
      <w:sz w:val="20"/>
      <w:szCs w:val="20"/>
    </w:rPr>
  </w:style>
  <w:style w:type="paragraph" w:styleId="CommentSubject">
    <w:name w:val="annotation subject"/>
    <w:basedOn w:val="CommentText"/>
    <w:next w:val="CommentText"/>
    <w:link w:val="CommentSubjectChar"/>
    <w:uiPriority w:val="99"/>
    <w:semiHidden/>
    <w:unhideWhenUsed/>
    <w:rsid w:val="00C52796"/>
    <w:rPr>
      <w:b/>
      <w:bCs/>
    </w:rPr>
  </w:style>
  <w:style w:type="character" w:customStyle="1" w:styleId="CommentSubjectChar">
    <w:name w:val="Comment Subject Char"/>
    <w:basedOn w:val="CommentTextChar"/>
    <w:link w:val="CommentSubject"/>
    <w:uiPriority w:val="99"/>
    <w:semiHidden/>
    <w:rsid w:val="00C52796"/>
    <w:rPr>
      <w:b/>
      <w:bCs/>
      <w:sz w:val="20"/>
      <w:szCs w:val="20"/>
    </w:rPr>
  </w:style>
  <w:style w:type="paragraph" w:styleId="NoSpacing">
    <w:name w:val="No Spacing"/>
    <w:uiPriority w:val="1"/>
    <w:qFormat/>
    <w:rsid w:val="00C816E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70"/>
  </w:style>
  <w:style w:type="paragraph" w:styleId="Heading1">
    <w:name w:val="heading 1"/>
    <w:basedOn w:val="Normal"/>
    <w:next w:val="Normal"/>
    <w:link w:val="Heading1Char"/>
    <w:uiPriority w:val="9"/>
    <w:qFormat/>
    <w:rsid w:val="00B03CE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3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6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600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F60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600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03CE4"/>
    <w:rPr>
      <w:rFonts w:asciiTheme="majorHAnsi" w:eastAsiaTheme="majorEastAsia" w:hAnsiTheme="majorHAnsi" w:cstheme="majorBidi"/>
      <w:b/>
      <w:bCs/>
      <w:color w:val="345A8A" w:themeColor="accent1" w:themeShade="B5"/>
      <w:sz w:val="32"/>
      <w:szCs w:val="32"/>
    </w:rPr>
  </w:style>
  <w:style w:type="paragraph" w:customStyle="1" w:styleId="Default">
    <w:name w:val="Default"/>
    <w:rsid w:val="00B36576"/>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FB30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66F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F6514"/>
    <w:pPr>
      <w:ind w:left="720"/>
      <w:contextualSpacing/>
    </w:pPr>
  </w:style>
  <w:style w:type="paragraph" w:styleId="FootnoteText">
    <w:name w:val="footnote text"/>
    <w:basedOn w:val="Normal"/>
    <w:link w:val="FootnoteTextChar"/>
    <w:uiPriority w:val="99"/>
    <w:unhideWhenUsed/>
    <w:rsid w:val="00E6272E"/>
    <w:pPr>
      <w:spacing w:after="0" w:line="240" w:lineRule="auto"/>
    </w:pPr>
    <w:rPr>
      <w:sz w:val="24"/>
      <w:szCs w:val="24"/>
    </w:rPr>
  </w:style>
  <w:style w:type="character" w:customStyle="1" w:styleId="FootnoteTextChar">
    <w:name w:val="Footnote Text Char"/>
    <w:basedOn w:val="DefaultParagraphFont"/>
    <w:link w:val="FootnoteText"/>
    <w:uiPriority w:val="99"/>
    <w:rsid w:val="00E6272E"/>
    <w:rPr>
      <w:sz w:val="24"/>
      <w:szCs w:val="24"/>
    </w:rPr>
  </w:style>
  <w:style w:type="character" w:styleId="FootnoteReference">
    <w:name w:val="footnote reference"/>
    <w:basedOn w:val="DefaultParagraphFont"/>
    <w:uiPriority w:val="99"/>
    <w:unhideWhenUsed/>
    <w:rsid w:val="00E6272E"/>
    <w:rPr>
      <w:vertAlign w:val="superscript"/>
    </w:rPr>
  </w:style>
  <w:style w:type="character" w:styleId="Hyperlink">
    <w:name w:val="Hyperlink"/>
    <w:basedOn w:val="DefaultParagraphFont"/>
    <w:uiPriority w:val="99"/>
    <w:unhideWhenUsed/>
    <w:rsid w:val="00B8401E"/>
    <w:rPr>
      <w:color w:val="0000FF" w:themeColor="hyperlink"/>
      <w:u w:val="single"/>
    </w:rPr>
  </w:style>
  <w:style w:type="paragraph" w:customStyle="1" w:styleId="bib">
    <w:name w:val="bib"/>
    <w:basedOn w:val="Normal"/>
    <w:qFormat/>
    <w:rsid w:val="00B8401E"/>
    <w:pPr>
      <w:keepLines/>
      <w:spacing w:before="100" w:beforeAutospacing="1" w:after="100" w:afterAutospacing="1"/>
      <w:ind w:left="720" w:hanging="720"/>
    </w:pPr>
    <w:rPr>
      <w:lang w:bidi="en-US"/>
    </w:rPr>
  </w:style>
</w:styles>
</file>

<file path=word/webSettings.xml><?xml version="1.0" encoding="utf-8"?>
<w:webSettings xmlns:r="http://schemas.openxmlformats.org/officeDocument/2006/relationships" xmlns:w="http://schemas.openxmlformats.org/wordprocessingml/2006/main">
  <w:divs>
    <w:div w:id="88239582">
      <w:bodyDiv w:val="1"/>
      <w:marLeft w:val="0"/>
      <w:marRight w:val="0"/>
      <w:marTop w:val="0"/>
      <w:marBottom w:val="0"/>
      <w:divBdr>
        <w:top w:val="none" w:sz="0" w:space="0" w:color="auto"/>
        <w:left w:val="none" w:sz="0" w:space="0" w:color="auto"/>
        <w:bottom w:val="none" w:sz="0" w:space="0" w:color="auto"/>
        <w:right w:val="none" w:sz="0" w:space="0" w:color="auto"/>
      </w:divBdr>
      <w:divsChild>
        <w:div w:id="469397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163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5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8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98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resources/idn/variant-tlds/draft-lgr-procedure-20mar13-en.pdf" TargetMode="External"/><Relationship Id="rId13" Type="http://schemas.openxmlformats.org/officeDocument/2006/relationships/hyperlink" Target="http://www.ethnologue.com" TargetMode="External"/><Relationship Id="rId3" Type="http://schemas.openxmlformats.org/officeDocument/2006/relationships/settings" Target="settings.xml"/><Relationship Id="rId7" Type="http://schemas.openxmlformats.org/officeDocument/2006/relationships/hyperlink" Target="http://www.unicode.org/versions/Unicode8.0.0/ch16.pdf" TargetMode="External"/><Relationship Id="rId12" Type="http://schemas.openxmlformats.org/officeDocument/2006/relationships/hyperlink" Target="http://scriptsource.org/cms/scripts/"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icann.org/en/topics/new-gtlds/devanagari-vip-issues-report-03oct11-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icode.org/Public/UCD/latest/" TargetMode="External"/><Relationship Id="rId4" Type="http://schemas.openxmlformats.org/officeDocument/2006/relationships/webSettings" Target="webSettings.xml"/><Relationship Id="rId9" Type="http://schemas.openxmlformats.org/officeDocument/2006/relationships/hyperlink" Target="https://www.icann.org/en/system/files/files/Requirements-for-LGR-Proposals-20150424.pdf" TargetMode="External"/><Relationship Id="rId14" Type="http://schemas.openxmlformats.org/officeDocument/2006/relationships/hyperlink" Target="https://www.icann.org/en/system/files/files/msr-2-overview-14apr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asmusf</cp:lastModifiedBy>
  <cp:revision>2</cp:revision>
  <dcterms:created xsi:type="dcterms:W3CDTF">2016-07-01T21:54:00Z</dcterms:created>
  <dcterms:modified xsi:type="dcterms:W3CDTF">2016-07-01T21:54:00Z</dcterms:modified>
</cp:coreProperties>
</file>