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0E82F" w14:textId="78DFAEA8" w:rsidR="00434376" w:rsidRPr="00673B75" w:rsidRDefault="00673B75" w:rsidP="00F63E83">
      <w:pPr>
        <w:ind w:left="720" w:hanging="360"/>
        <w:rPr>
          <w:b/>
          <w:bCs/>
        </w:rPr>
      </w:pPr>
      <w:r w:rsidRPr="00673B75">
        <w:rPr>
          <w:b/>
          <w:bCs/>
        </w:rPr>
        <w:t xml:space="preserve">List of expected and known </w:t>
      </w:r>
      <w:r>
        <w:rPr>
          <w:b/>
          <w:bCs/>
        </w:rPr>
        <w:t xml:space="preserve">future GNSO </w:t>
      </w:r>
      <w:r w:rsidRPr="00673B75">
        <w:rPr>
          <w:b/>
          <w:bCs/>
        </w:rPr>
        <w:t>work items</w:t>
      </w:r>
    </w:p>
    <w:p w14:paraId="52556CC2" w14:textId="77777777" w:rsidR="00434376" w:rsidRDefault="00434376" w:rsidP="00F63E83">
      <w:pPr>
        <w:ind w:left="720" w:hanging="360"/>
      </w:pPr>
    </w:p>
    <w:p w14:paraId="56C6625C" w14:textId="715708C8" w:rsidR="00F63E83" w:rsidRPr="00F63E83" w:rsidRDefault="00F63E83" w:rsidP="00F63E83">
      <w:pPr>
        <w:pStyle w:val="Default"/>
        <w:numPr>
          <w:ilvl w:val="0"/>
          <w:numId w:val="4"/>
        </w:numPr>
      </w:pPr>
      <w:r w:rsidRPr="00F63E83">
        <w:t>Expired Registration Recovery Policy – Policy Review</w:t>
      </w:r>
      <w:r>
        <w:t xml:space="preserve"> &amp; Rec 27</w:t>
      </w:r>
      <w:r w:rsidRPr="00F63E83">
        <w:t xml:space="preserve"> (ERRP-PR) - The ERRP Consensus Policy became effective 31 Aug 2013 as a result of adopted recommendations produced from the GNSO’s Post Expiration Domain Name Recovery (PEDNR) PDP WG. That WG deliberated on issues related to the expiration of domain names and to what extent a Registrant should be able to recover domain names after they expire.</w:t>
      </w:r>
    </w:p>
    <w:p w14:paraId="13B840DD" w14:textId="54C7DE75" w:rsidR="00F63E83" w:rsidRPr="00F63E83" w:rsidRDefault="00F63E83" w:rsidP="00F63E83">
      <w:pPr>
        <w:pStyle w:val="Default"/>
        <w:numPr>
          <w:ilvl w:val="0"/>
          <w:numId w:val="4"/>
        </w:numPr>
      </w:pPr>
      <w:r w:rsidRPr="00F63E83">
        <w:t>Policy &amp; Implementation Recommendations Review</w:t>
      </w:r>
      <w:r>
        <w:t xml:space="preserve"> - </w:t>
      </w:r>
      <w:r w:rsidRPr="00F63E83">
        <w:t>The GNS</w:t>
      </w:r>
      <w:r>
        <w:t xml:space="preserve">O Council resolved in June 2015 that a “review of these recommendations is carried out at the latest five years following their </w:t>
      </w:r>
      <w:r w:rsidRPr="00F63E83">
        <w:t>implementation to assess whether the recommendations have achieved what they set out to do and/or whether any further enhancemen</w:t>
      </w:r>
      <w:r>
        <w:t xml:space="preserve">ts or changes are needed”. </w:t>
      </w:r>
    </w:p>
    <w:p w14:paraId="09F320B3" w14:textId="0A371F5D" w:rsidR="00F63E83" w:rsidRPr="00F63E83" w:rsidRDefault="00F63E83" w:rsidP="00F63E83">
      <w:pPr>
        <w:numPr>
          <w:ilvl w:val="0"/>
          <w:numId w:val="4"/>
        </w:numPr>
      </w:pPr>
      <w:r w:rsidRPr="00F63E83">
        <w:t>EPDP on the Temporary Specification on gTLD Registration Data (Phase 3)</w:t>
      </w:r>
      <w:r w:rsidR="005736AD">
        <w:t xml:space="preserve"> – addressing items that are addressed in phase 2 such as priority 2 items that are dependent on external factors. </w:t>
      </w:r>
    </w:p>
    <w:p w14:paraId="4F3A17BE" w14:textId="5FB0341E" w:rsidR="00F63E83" w:rsidRPr="00F63E83" w:rsidRDefault="00F63E83" w:rsidP="00F63E83">
      <w:pPr>
        <w:numPr>
          <w:ilvl w:val="0"/>
          <w:numId w:val="4"/>
        </w:numPr>
      </w:pPr>
      <w:r w:rsidRPr="00F63E83">
        <w:t>Review of All Rights Protection Mechanisms in All gTLDs PDP</w:t>
      </w:r>
      <w:r>
        <w:t xml:space="preserve"> – Phase 2 Review of UDRP</w:t>
      </w:r>
      <w:r w:rsidRPr="00F63E83">
        <w:t xml:space="preserve"> (RPM)</w:t>
      </w:r>
    </w:p>
    <w:p w14:paraId="4F8CDBAB" w14:textId="73518B80" w:rsidR="00EF106A" w:rsidRDefault="00F63E83" w:rsidP="00DA133E">
      <w:pPr>
        <w:numPr>
          <w:ilvl w:val="0"/>
          <w:numId w:val="4"/>
        </w:numPr>
      </w:pPr>
      <w:r w:rsidRPr="00F63E83">
        <w:t>Transfer Policy – Policy Review Scoping Team</w:t>
      </w:r>
      <w:r w:rsidR="00EF106A">
        <w:t xml:space="preserve"> - </w:t>
      </w:r>
      <w:r w:rsidR="00EF106A" w:rsidRPr="00EF106A">
        <w:t xml:space="preserve">ICANN Org delivered the most recent version of the Transfer Policy Status Report (TPSR) to the GNSO Council on 22 April 2019. The TPSR provides details on the noted purposes of the Transfer Policy (formerly known as the Inter-Registrar Transfer Policy (IRTP)), an overview of the domain name transfer process, the impact of the Temporary Specification and the Registration Data Access Protocol (RDAP) on the Transfer Policy, metrics related to the Transfer Policy, and a summary of the public comments and survey responses to the published TPSR. </w:t>
      </w:r>
      <w:r w:rsidR="00DA133E" w:rsidRPr="00DA133E">
        <w:t xml:space="preserve">The GNSO Council </w:t>
      </w:r>
      <w:r w:rsidR="00DA133E">
        <w:t>formed a</w:t>
      </w:r>
      <w:r w:rsidR="00DA133E" w:rsidRPr="00DA133E">
        <w:t xml:space="preserve"> Transfer Policy Review Scoping Team </w:t>
      </w:r>
      <w:r w:rsidR="00DA133E">
        <w:t>to scope the work and advise the Council on next steps.</w:t>
      </w:r>
    </w:p>
    <w:p w14:paraId="1C20AE91" w14:textId="2CD5BAB5" w:rsidR="00DA133E" w:rsidRPr="00DA133E" w:rsidRDefault="00F63E83" w:rsidP="00DA133E">
      <w:pPr>
        <w:numPr>
          <w:ilvl w:val="0"/>
          <w:numId w:val="4"/>
        </w:numPr>
      </w:pPr>
      <w:r w:rsidRPr="00F63E83">
        <w:t xml:space="preserve">Internationalized Domain Names </w:t>
      </w:r>
      <w:r w:rsidR="00EF106A">
        <w:t xml:space="preserve">- </w:t>
      </w:r>
      <w:r w:rsidR="00DA133E" w:rsidRPr="00DA133E">
        <w:t xml:space="preserve">The GNSO Council established a scoping team to study the full extent of the impacts from both the IDN Variant TLD Recommendations and the IDN Guidelines upon existing registry agreements and future applicants, to determine the range of issues and appropriate mechanisms needed to address them (e.g., policy development, direct engagement with ICANN Org, other). This scoping team is limited to the tasks of identifying the scope of the issues and making a recommendation to the GNSO Council on the best mechanism(s) for resolution. Once in receipt of the recommendations from the scoping team, the GNSO Council will determine the appropriate next steps. </w:t>
      </w:r>
    </w:p>
    <w:p w14:paraId="2D990F72" w14:textId="77777777" w:rsidR="00EF106A" w:rsidRDefault="00F63E83" w:rsidP="00DA133E">
      <w:pPr>
        <w:numPr>
          <w:ilvl w:val="0"/>
          <w:numId w:val="4"/>
        </w:numPr>
      </w:pPr>
      <w:r w:rsidRPr="00F63E83">
        <w:t>WHOIS Procedure Implementation Advisory Group – (WPIAG)</w:t>
      </w:r>
      <w:r w:rsidR="005736AD">
        <w:t xml:space="preserve"> – group tasked to review </w:t>
      </w:r>
      <w:r w:rsidR="005736AD" w:rsidRPr="00DA133E">
        <w:rPr>
          <w:rFonts w:ascii="Arial" w:eastAsia="Times New Roman" w:hAnsi="Arial" w:cs="Arial"/>
          <w:color w:val="000000"/>
          <w:sz w:val="22"/>
          <w:szCs w:val="22"/>
        </w:rPr>
        <w:t xml:space="preserve">ICANN Procedure for Handling </w:t>
      </w:r>
      <w:proofErr w:type="spellStart"/>
      <w:r w:rsidR="005736AD" w:rsidRPr="00DA133E">
        <w:rPr>
          <w:rFonts w:ascii="Arial" w:eastAsia="Times New Roman" w:hAnsi="Arial" w:cs="Arial"/>
          <w:color w:val="000000"/>
          <w:sz w:val="22"/>
          <w:szCs w:val="22"/>
        </w:rPr>
        <w:t>Whois</w:t>
      </w:r>
      <w:proofErr w:type="spellEnd"/>
      <w:r w:rsidR="005736AD" w:rsidRPr="00DA133E">
        <w:rPr>
          <w:rFonts w:ascii="Arial" w:eastAsia="Times New Roman" w:hAnsi="Arial" w:cs="Arial"/>
          <w:color w:val="000000"/>
          <w:sz w:val="22"/>
          <w:szCs w:val="22"/>
        </w:rPr>
        <w:t xml:space="preserve"> Conflicts with Privacy Laws</w:t>
      </w:r>
    </w:p>
    <w:p w14:paraId="7666A5D6" w14:textId="0D8DD9ED" w:rsidR="00EF106A" w:rsidRDefault="00F63E83" w:rsidP="00EF106A">
      <w:pPr>
        <w:numPr>
          <w:ilvl w:val="0"/>
          <w:numId w:val="4"/>
        </w:numPr>
      </w:pPr>
      <w:r w:rsidRPr="00F63E83">
        <w:t>DNS Abuse</w:t>
      </w:r>
      <w:r w:rsidR="005736AD">
        <w:t xml:space="preserve"> – potential work addressing DNS Abuse</w:t>
      </w:r>
      <w:r w:rsidR="00DA133E">
        <w:t xml:space="preserve"> following community wide discussions on this topic</w:t>
      </w:r>
    </w:p>
    <w:p w14:paraId="23E75229" w14:textId="237BFBB8" w:rsidR="00F63E83" w:rsidRDefault="00F63E83" w:rsidP="00EF106A">
      <w:pPr>
        <w:numPr>
          <w:ilvl w:val="0"/>
          <w:numId w:val="4"/>
        </w:numPr>
      </w:pPr>
      <w:r w:rsidRPr="00F63E83">
        <w:t>M</w:t>
      </w:r>
      <w:r w:rsidR="005736AD">
        <w:t xml:space="preserve">ultistakeholder </w:t>
      </w:r>
      <w:r w:rsidRPr="00F63E83">
        <w:t>M</w:t>
      </w:r>
      <w:r w:rsidR="005736AD">
        <w:t>odel</w:t>
      </w:r>
      <w:r w:rsidRPr="00F63E83">
        <w:t xml:space="preserve"> Evo</w:t>
      </w:r>
      <w:r>
        <w:t>lution</w:t>
      </w:r>
      <w:r w:rsidR="00FB1F9D">
        <w:t xml:space="preserve"> / PDP improvements</w:t>
      </w:r>
      <w:r w:rsidR="005736AD">
        <w:t xml:space="preserve"> – work items coming out community wide discussions concerning the MS </w:t>
      </w:r>
      <w:r w:rsidR="00EF106A">
        <w:t>Evolution</w:t>
      </w:r>
      <w:r w:rsidR="00FB1F9D">
        <w:t xml:space="preserve"> and/or PDP 3.0 follow up items.</w:t>
      </w:r>
    </w:p>
    <w:p w14:paraId="55B5B3F5" w14:textId="6FFBC9A7" w:rsidR="00673B75" w:rsidRDefault="00673B75" w:rsidP="00673B75">
      <w:pPr>
        <w:numPr>
          <w:ilvl w:val="0"/>
          <w:numId w:val="4"/>
        </w:numPr>
      </w:pPr>
      <w:bookmarkStart w:id="0" w:name="_GoBack"/>
      <w:r>
        <w:lastRenderedPageBreak/>
        <w:t>Rec 27</w:t>
      </w:r>
      <w:r>
        <w:rPr>
          <w:rStyle w:val="FootnoteReference"/>
        </w:rPr>
        <w:footnoteReference w:id="1"/>
      </w:r>
      <w:r>
        <w:t xml:space="preserve">: Review of </w:t>
      </w:r>
      <w:r w:rsidR="00F63E83" w:rsidRPr="00F63E83">
        <w:t>Thick RDDS (</w:t>
      </w:r>
      <w:proofErr w:type="spellStart"/>
      <w:r w:rsidR="00F63E83" w:rsidRPr="00F63E83">
        <w:t>Whois</w:t>
      </w:r>
      <w:proofErr w:type="spellEnd"/>
      <w:r w:rsidR="00F63E83" w:rsidRPr="00F63E83">
        <w:t>) Transition Policy for .COM, .NET, and .JOBS</w:t>
      </w:r>
      <w:r w:rsidR="00F63E83">
        <w:t xml:space="preserve"> </w:t>
      </w:r>
      <w:r>
        <w:t xml:space="preserve">&amp; </w:t>
      </w:r>
      <w:bookmarkEnd w:id="0"/>
      <w:r w:rsidR="00F63E83" w:rsidRPr="00F63E83">
        <w:t>Registry Registration Data Directory Services Consistent Labeling and Display</w:t>
      </w:r>
    </w:p>
    <w:p w14:paraId="1623731B" w14:textId="225385AB" w:rsidR="00F63E83" w:rsidRDefault="00673B75" w:rsidP="00673B75">
      <w:pPr>
        <w:numPr>
          <w:ilvl w:val="0"/>
          <w:numId w:val="4"/>
        </w:numPr>
      </w:pPr>
      <w:r>
        <w:t xml:space="preserve">Rec 27: Review of </w:t>
      </w:r>
      <w:r w:rsidR="00F63E83" w:rsidRPr="00F63E83">
        <w:t>Proxy and Privacy Services Accreditation</w:t>
      </w:r>
      <w:r w:rsidR="00434376">
        <w:t xml:space="preserve"> </w:t>
      </w:r>
      <w:r>
        <w:t xml:space="preserve">&amp; </w:t>
      </w:r>
      <w:r w:rsidR="00F63E83" w:rsidRPr="00F63E83">
        <w:t>Translation &amp; Transliteration of Contact Information</w:t>
      </w:r>
    </w:p>
    <w:p w14:paraId="341A1752" w14:textId="5677FFBD" w:rsidR="00F53035" w:rsidRDefault="00673B75" w:rsidP="00673B75">
      <w:pPr>
        <w:numPr>
          <w:ilvl w:val="0"/>
          <w:numId w:val="4"/>
        </w:numPr>
      </w:pPr>
      <w:r>
        <w:t xml:space="preserve">Rec 27: Review of </w:t>
      </w:r>
      <w:proofErr w:type="spellStart"/>
      <w:r w:rsidR="00F63E83" w:rsidRPr="00F63E83">
        <w:t>Whois</w:t>
      </w:r>
      <w:proofErr w:type="spellEnd"/>
      <w:r w:rsidR="00F63E83" w:rsidRPr="00F63E83">
        <w:t xml:space="preserve"> Data Reminder Policy</w:t>
      </w:r>
      <w:r>
        <w:t xml:space="preserve">, </w:t>
      </w:r>
      <w:r w:rsidR="00F63E83" w:rsidRPr="00F63E83">
        <w:t>Restored Names Accuracy Policy</w:t>
      </w:r>
      <w:r>
        <w:t xml:space="preserve">; </w:t>
      </w:r>
      <w:r w:rsidR="00F63E83" w:rsidRPr="00F63E83">
        <w:t xml:space="preserve">Additional </w:t>
      </w:r>
      <w:proofErr w:type="spellStart"/>
      <w:r w:rsidR="00F63E83" w:rsidRPr="00F63E83">
        <w:t>Whois</w:t>
      </w:r>
      <w:proofErr w:type="spellEnd"/>
      <w:r w:rsidR="00F63E83" w:rsidRPr="00F63E83">
        <w:t xml:space="preserve"> Information Policy</w:t>
      </w:r>
      <w:r>
        <w:t xml:space="preserve">; </w:t>
      </w:r>
      <w:proofErr w:type="spellStart"/>
      <w:r w:rsidR="00F63E83" w:rsidRPr="00F63E83">
        <w:t>Whois</w:t>
      </w:r>
      <w:proofErr w:type="spellEnd"/>
      <w:r w:rsidR="00F63E83" w:rsidRPr="00F63E83">
        <w:t xml:space="preserve"> Marketing Restriction Policy</w:t>
      </w:r>
      <w:r>
        <w:t xml:space="preserve">; </w:t>
      </w:r>
      <w:r w:rsidR="00F63E83" w:rsidRPr="00F63E83">
        <w:t>Registry Services Evaluation Policy</w:t>
      </w:r>
      <w:r>
        <w:t xml:space="preserve">; </w:t>
      </w:r>
      <w:r w:rsidR="00F63E83" w:rsidRPr="00F63E83">
        <w:t>Expired Domain Deletion Policy</w:t>
      </w:r>
      <w:r>
        <w:t xml:space="preserve">; </w:t>
      </w:r>
      <w:r w:rsidR="00F63E83" w:rsidRPr="00F63E83">
        <w:t>AGP Limits Policy</w:t>
      </w:r>
      <w:r>
        <w:t xml:space="preserve">. </w:t>
      </w:r>
    </w:p>
    <w:sectPr w:rsidR="00F53035" w:rsidSect="007F1F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B1256" w14:textId="77777777" w:rsidR="002F0316" w:rsidRDefault="002F0316" w:rsidP="00673B75">
      <w:r>
        <w:separator/>
      </w:r>
    </w:p>
  </w:endnote>
  <w:endnote w:type="continuationSeparator" w:id="0">
    <w:p w14:paraId="5CA86B56" w14:textId="77777777" w:rsidR="002F0316" w:rsidRDefault="002F0316" w:rsidP="0067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E9D83" w14:textId="77777777" w:rsidR="002F0316" w:rsidRDefault="002F0316" w:rsidP="00673B75">
      <w:r>
        <w:separator/>
      </w:r>
    </w:p>
  </w:footnote>
  <w:footnote w:type="continuationSeparator" w:id="0">
    <w:p w14:paraId="04C65CA8" w14:textId="77777777" w:rsidR="002F0316" w:rsidRDefault="002F0316" w:rsidP="00673B75">
      <w:r>
        <w:continuationSeparator/>
      </w:r>
    </w:p>
  </w:footnote>
  <w:footnote w:id="1">
    <w:p w14:paraId="29740581" w14:textId="7518E9C1" w:rsidR="00673B75" w:rsidRDefault="00673B75">
      <w:pPr>
        <w:pStyle w:val="FootnoteText"/>
      </w:pPr>
      <w:r>
        <w:rPr>
          <w:rStyle w:val="FootnoteReference"/>
        </w:rPr>
        <w:footnoteRef/>
      </w:r>
      <w:r>
        <w:t xml:space="preserve"> Recommendation 27 from EPDP Phase 1: </w:t>
      </w:r>
      <w:r w:rsidRPr="00673B75">
        <w:t>The EPDP Team recommends that as part of the implementation of these policy recommendations, updates are made to the following existing policies / procedures, and any others that may have been omitted, to ensure consistency with these policy recommendations as, for example, a number of these refer to administrative and/or technical contact which will no longer be required data elements</w:t>
      </w:r>
      <w:r>
        <w:t>.</w:t>
      </w:r>
      <w:r w:rsidR="000B78F1">
        <w:t xml:space="preserve"> For the purposes of this survey, items have been clustered based on initial assessment of effort required to resolve and possible linkage. However, the Council may decide to deal with these items in a different cluster or individually.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F4831"/>
    <w:multiLevelType w:val="hybridMultilevel"/>
    <w:tmpl w:val="A934A444"/>
    <w:lvl w:ilvl="0" w:tplc="04090017">
      <w:start w:val="1"/>
      <w:numFmt w:val="lowerLetter"/>
      <w:lvlText w:val="%1)"/>
      <w:lvlJc w:val="left"/>
      <w:pPr>
        <w:ind w:left="720" w:hanging="360"/>
      </w:pPr>
      <w:rPr>
        <w:rFonts w:hint="default"/>
      </w:rPr>
    </w:lvl>
    <w:lvl w:ilvl="1" w:tplc="9A02E222" w:tentative="1">
      <w:start w:val="1"/>
      <w:numFmt w:val="bullet"/>
      <w:lvlText w:val="◉"/>
      <w:lvlJc w:val="left"/>
      <w:pPr>
        <w:tabs>
          <w:tab w:val="num" w:pos="1440"/>
        </w:tabs>
        <w:ind w:left="1440" w:hanging="360"/>
      </w:pPr>
      <w:rPr>
        <w:rFonts w:ascii="Segoe UI Symbol" w:hAnsi="Segoe UI Symbol" w:hint="default"/>
      </w:rPr>
    </w:lvl>
    <w:lvl w:ilvl="2" w:tplc="C3DAF43A" w:tentative="1">
      <w:start w:val="1"/>
      <w:numFmt w:val="bullet"/>
      <w:lvlText w:val="◉"/>
      <w:lvlJc w:val="left"/>
      <w:pPr>
        <w:tabs>
          <w:tab w:val="num" w:pos="2160"/>
        </w:tabs>
        <w:ind w:left="2160" w:hanging="360"/>
      </w:pPr>
      <w:rPr>
        <w:rFonts w:ascii="Segoe UI Symbol" w:hAnsi="Segoe UI Symbol" w:hint="default"/>
      </w:rPr>
    </w:lvl>
    <w:lvl w:ilvl="3" w:tplc="0596CE3A" w:tentative="1">
      <w:start w:val="1"/>
      <w:numFmt w:val="bullet"/>
      <w:lvlText w:val="◉"/>
      <w:lvlJc w:val="left"/>
      <w:pPr>
        <w:tabs>
          <w:tab w:val="num" w:pos="2880"/>
        </w:tabs>
        <w:ind w:left="2880" w:hanging="360"/>
      </w:pPr>
      <w:rPr>
        <w:rFonts w:ascii="Segoe UI Symbol" w:hAnsi="Segoe UI Symbol" w:hint="default"/>
      </w:rPr>
    </w:lvl>
    <w:lvl w:ilvl="4" w:tplc="14E2732E" w:tentative="1">
      <w:start w:val="1"/>
      <w:numFmt w:val="bullet"/>
      <w:lvlText w:val="◉"/>
      <w:lvlJc w:val="left"/>
      <w:pPr>
        <w:tabs>
          <w:tab w:val="num" w:pos="3600"/>
        </w:tabs>
        <w:ind w:left="3600" w:hanging="360"/>
      </w:pPr>
      <w:rPr>
        <w:rFonts w:ascii="Segoe UI Symbol" w:hAnsi="Segoe UI Symbol" w:hint="default"/>
      </w:rPr>
    </w:lvl>
    <w:lvl w:ilvl="5" w:tplc="2C5637D4" w:tentative="1">
      <w:start w:val="1"/>
      <w:numFmt w:val="bullet"/>
      <w:lvlText w:val="◉"/>
      <w:lvlJc w:val="left"/>
      <w:pPr>
        <w:tabs>
          <w:tab w:val="num" w:pos="4320"/>
        </w:tabs>
        <w:ind w:left="4320" w:hanging="360"/>
      </w:pPr>
      <w:rPr>
        <w:rFonts w:ascii="Segoe UI Symbol" w:hAnsi="Segoe UI Symbol" w:hint="default"/>
      </w:rPr>
    </w:lvl>
    <w:lvl w:ilvl="6" w:tplc="4808ABFE" w:tentative="1">
      <w:start w:val="1"/>
      <w:numFmt w:val="bullet"/>
      <w:lvlText w:val="◉"/>
      <w:lvlJc w:val="left"/>
      <w:pPr>
        <w:tabs>
          <w:tab w:val="num" w:pos="5040"/>
        </w:tabs>
        <w:ind w:left="5040" w:hanging="360"/>
      </w:pPr>
      <w:rPr>
        <w:rFonts w:ascii="Segoe UI Symbol" w:hAnsi="Segoe UI Symbol" w:hint="default"/>
      </w:rPr>
    </w:lvl>
    <w:lvl w:ilvl="7" w:tplc="C10A1304" w:tentative="1">
      <w:start w:val="1"/>
      <w:numFmt w:val="bullet"/>
      <w:lvlText w:val="◉"/>
      <w:lvlJc w:val="left"/>
      <w:pPr>
        <w:tabs>
          <w:tab w:val="num" w:pos="5760"/>
        </w:tabs>
        <w:ind w:left="5760" w:hanging="360"/>
      </w:pPr>
      <w:rPr>
        <w:rFonts w:ascii="Segoe UI Symbol" w:hAnsi="Segoe UI Symbol" w:hint="default"/>
      </w:rPr>
    </w:lvl>
    <w:lvl w:ilvl="8" w:tplc="082862A6" w:tentative="1">
      <w:start w:val="1"/>
      <w:numFmt w:val="bullet"/>
      <w:lvlText w:val="◉"/>
      <w:lvlJc w:val="left"/>
      <w:pPr>
        <w:tabs>
          <w:tab w:val="num" w:pos="6480"/>
        </w:tabs>
        <w:ind w:left="6480" w:hanging="360"/>
      </w:pPr>
      <w:rPr>
        <w:rFonts w:ascii="Segoe UI Symbol" w:hAnsi="Segoe UI Symbol" w:hint="default"/>
      </w:rPr>
    </w:lvl>
  </w:abstractNum>
  <w:abstractNum w:abstractNumId="1" w15:restartNumberingAfterBreak="0">
    <w:nsid w:val="3962129D"/>
    <w:multiLevelType w:val="hybridMultilevel"/>
    <w:tmpl w:val="6A525FBC"/>
    <w:lvl w:ilvl="0" w:tplc="16785DF8">
      <w:start w:val="1"/>
      <w:numFmt w:val="bullet"/>
      <w:lvlText w:val="◉"/>
      <w:lvlJc w:val="left"/>
      <w:pPr>
        <w:tabs>
          <w:tab w:val="num" w:pos="720"/>
        </w:tabs>
        <w:ind w:left="720" w:hanging="360"/>
      </w:pPr>
      <w:rPr>
        <w:rFonts w:ascii="Segoe UI Symbol" w:hAnsi="Segoe UI Symbol" w:hint="default"/>
      </w:rPr>
    </w:lvl>
    <w:lvl w:ilvl="1" w:tplc="73A06030" w:tentative="1">
      <w:start w:val="1"/>
      <w:numFmt w:val="bullet"/>
      <w:lvlText w:val="◉"/>
      <w:lvlJc w:val="left"/>
      <w:pPr>
        <w:tabs>
          <w:tab w:val="num" w:pos="1440"/>
        </w:tabs>
        <w:ind w:left="1440" w:hanging="360"/>
      </w:pPr>
      <w:rPr>
        <w:rFonts w:ascii="Segoe UI Symbol" w:hAnsi="Segoe UI Symbol" w:hint="default"/>
      </w:rPr>
    </w:lvl>
    <w:lvl w:ilvl="2" w:tplc="86641646" w:tentative="1">
      <w:start w:val="1"/>
      <w:numFmt w:val="bullet"/>
      <w:lvlText w:val="◉"/>
      <w:lvlJc w:val="left"/>
      <w:pPr>
        <w:tabs>
          <w:tab w:val="num" w:pos="2160"/>
        </w:tabs>
        <w:ind w:left="2160" w:hanging="360"/>
      </w:pPr>
      <w:rPr>
        <w:rFonts w:ascii="Segoe UI Symbol" w:hAnsi="Segoe UI Symbol" w:hint="default"/>
      </w:rPr>
    </w:lvl>
    <w:lvl w:ilvl="3" w:tplc="E2F428F4" w:tentative="1">
      <w:start w:val="1"/>
      <w:numFmt w:val="bullet"/>
      <w:lvlText w:val="◉"/>
      <w:lvlJc w:val="left"/>
      <w:pPr>
        <w:tabs>
          <w:tab w:val="num" w:pos="2880"/>
        </w:tabs>
        <w:ind w:left="2880" w:hanging="360"/>
      </w:pPr>
      <w:rPr>
        <w:rFonts w:ascii="Segoe UI Symbol" w:hAnsi="Segoe UI Symbol" w:hint="default"/>
      </w:rPr>
    </w:lvl>
    <w:lvl w:ilvl="4" w:tplc="98EC3114" w:tentative="1">
      <w:start w:val="1"/>
      <w:numFmt w:val="bullet"/>
      <w:lvlText w:val="◉"/>
      <w:lvlJc w:val="left"/>
      <w:pPr>
        <w:tabs>
          <w:tab w:val="num" w:pos="3600"/>
        </w:tabs>
        <w:ind w:left="3600" w:hanging="360"/>
      </w:pPr>
      <w:rPr>
        <w:rFonts w:ascii="Segoe UI Symbol" w:hAnsi="Segoe UI Symbol" w:hint="default"/>
      </w:rPr>
    </w:lvl>
    <w:lvl w:ilvl="5" w:tplc="164CDA28" w:tentative="1">
      <w:start w:val="1"/>
      <w:numFmt w:val="bullet"/>
      <w:lvlText w:val="◉"/>
      <w:lvlJc w:val="left"/>
      <w:pPr>
        <w:tabs>
          <w:tab w:val="num" w:pos="4320"/>
        </w:tabs>
        <w:ind w:left="4320" w:hanging="360"/>
      </w:pPr>
      <w:rPr>
        <w:rFonts w:ascii="Segoe UI Symbol" w:hAnsi="Segoe UI Symbol" w:hint="default"/>
      </w:rPr>
    </w:lvl>
    <w:lvl w:ilvl="6" w:tplc="BB54F490" w:tentative="1">
      <w:start w:val="1"/>
      <w:numFmt w:val="bullet"/>
      <w:lvlText w:val="◉"/>
      <w:lvlJc w:val="left"/>
      <w:pPr>
        <w:tabs>
          <w:tab w:val="num" w:pos="5040"/>
        </w:tabs>
        <w:ind w:left="5040" w:hanging="360"/>
      </w:pPr>
      <w:rPr>
        <w:rFonts w:ascii="Segoe UI Symbol" w:hAnsi="Segoe UI Symbol" w:hint="default"/>
      </w:rPr>
    </w:lvl>
    <w:lvl w:ilvl="7" w:tplc="E69C8E92" w:tentative="1">
      <w:start w:val="1"/>
      <w:numFmt w:val="bullet"/>
      <w:lvlText w:val="◉"/>
      <w:lvlJc w:val="left"/>
      <w:pPr>
        <w:tabs>
          <w:tab w:val="num" w:pos="5760"/>
        </w:tabs>
        <w:ind w:left="5760" w:hanging="360"/>
      </w:pPr>
      <w:rPr>
        <w:rFonts w:ascii="Segoe UI Symbol" w:hAnsi="Segoe UI Symbol" w:hint="default"/>
      </w:rPr>
    </w:lvl>
    <w:lvl w:ilvl="8" w:tplc="E0884668" w:tentative="1">
      <w:start w:val="1"/>
      <w:numFmt w:val="bullet"/>
      <w:lvlText w:val="◉"/>
      <w:lvlJc w:val="left"/>
      <w:pPr>
        <w:tabs>
          <w:tab w:val="num" w:pos="6480"/>
        </w:tabs>
        <w:ind w:left="6480" w:hanging="360"/>
      </w:pPr>
      <w:rPr>
        <w:rFonts w:ascii="Segoe UI Symbol" w:hAnsi="Segoe UI Symbol" w:hint="default"/>
      </w:rPr>
    </w:lvl>
  </w:abstractNum>
  <w:abstractNum w:abstractNumId="2" w15:restartNumberingAfterBreak="0">
    <w:nsid w:val="4B861BD8"/>
    <w:multiLevelType w:val="hybridMultilevel"/>
    <w:tmpl w:val="DE38A5B0"/>
    <w:lvl w:ilvl="0" w:tplc="0409000F">
      <w:start w:val="1"/>
      <w:numFmt w:val="decimal"/>
      <w:lvlText w:val="%1."/>
      <w:lvlJc w:val="left"/>
      <w:pPr>
        <w:ind w:left="720" w:hanging="360"/>
      </w:pPr>
      <w:rPr>
        <w:rFonts w:hint="default"/>
      </w:rPr>
    </w:lvl>
    <w:lvl w:ilvl="1" w:tplc="9A02E222" w:tentative="1">
      <w:start w:val="1"/>
      <w:numFmt w:val="bullet"/>
      <w:lvlText w:val="◉"/>
      <w:lvlJc w:val="left"/>
      <w:pPr>
        <w:tabs>
          <w:tab w:val="num" w:pos="1440"/>
        </w:tabs>
        <w:ind w:left="1440" w:hanging="360"/>
      </w:pPr>
      <w:rPr>
        <w:rFonts w:ascii="Segoe UI Symbol" w:hAnsi="Segoe UI Symbol" w:hint="default"/>
      </w:rPr>
    </w:lvl>
    <w:lvl w:ilvl="2" w:tplc="C3DAF43A" w:tentative="1">
      <w:start w:val="1"/>
      <w:numFmt w:val="bullet"/>
      <w:lvlText w:val="◉"/>
      <w:lvlJc w:val="left"/>
      <w:pPr>
        <w:tabs>
          <w:tab w:val="num" w:pos="2160"/>
        </w:tabs>
        <w:ind w:left="2160" w:hanging="360"/>
      </w:pPr>
      <w:rPr>
        <w:rFonts w:ascii="Segoe UI Symbol" w:hAnsi="Segoe UI Symbol" w:hint="default"/>
      </w:rPr>
    </w:lvl>
    <w:lvl w:ilvl="3" w:tplc="0596CE3A" w:tentative="1">
      <w:start w:val="1"/>
      <w:numFmt w:val="bullet"/>
      <w:lvlText w:val="◉"/>
      <w:lvlJc w:val="left"/>
      <w:pPr>
        <w:tabs>
          <w:tab w:val="num" w:pos="2880"/>
        </w:tabs>
        <w:ind w:left="2880" w:hanging="360"/>
      </w:pPr>
      <w:rPr>
        <w:rFonts w:ascii="Segoe UI Symbol" w:hAnsi="Segoe UI Symbol" w:hint="default"/>
      </w:rPr>
    </w:lvl>
    <w:lvl w:ilvl="4" w:tplc="14E2732E" w:tentative="1">
      <w:start w:val="1"/>
      <w:numFmt w:val="bullet"/>
      <w:lvlText w:val="◉"/>
      <w:lvlJc w:val="left"/>
      <w:pPr>
        <w:tabs>
          <w:tab w:val="num" w:pos="3600"/>
        </w:tabs>
        <w:ind w:left="3600" w:hanging="360"/>
      </w:pPr>
      <w:rPr>
        <w:rFonts w:ascii="Segoe UI Symbol" w:hAnsi="Segoe UI Symbol" w:hint="default"/>
      </w:rPr>
    </w:lvl>
    <w:lvl w:ilvl="5" w:tplc="2C5637D4" w:tentative="1">
      <w:start w:val="1"/>
      <w:numFmt w:val="bullet"/>
      <w:lvlText w:val="◉"/>
      <w:lvlJc w:val="left"/>
      <w:pPr>
        <w:tabs>
          <w:tab w:val="num" w:pos="4320"/>
        </w:tabs>
        <w:ind w:left="4320" w:hanging="360"/>
      </w:pPr>
      <w:rPr>
        <w:rFonts w:ascii="Segoe UI Symbol" w:hAnsi="Segoe UI Symbol" w:hint="default"/>
      </w:rPr>
    </w:lvl>
    <w:lvl w:ilvl="6" w:tplc="4808ABFE" w:tentative="1">
      <w:start w:val="1"/>
      <w:numFmt w:val="bullet"/>
      <w:lvlText w:val="◉"/>
      <w:lvlJc w:val="left"/>
      <w:pPr>
        <w:tabs>
          <w:tab w:val="num" w:pos="5040"/>
        </w:tabs>
        <w:ind w:left="5040" w:hanging="360"/>
      </w:pPr>
      <w:rPr>
        <w:rFonts w:ascii="Segoe UI Symbol" w:hAnsi="Segoe UI Symbol" w:hint="default"/>
      </w:rPr>
    </w:lvl>
    <w:lvl w:ilvl="7" w:tplc="C10A1304" w:tentative="1">
      <w:start w:val="1"/>
      <w:numFmt w:val="bullet"/>
      <w:lvlText w:val="◉"/>
      <w:lvlJc w:val="left"/>
      <w:pPr>
        <w:tabs>
          <w:tab w:val="num" w:pos="5760"/>
        </w:tabs>
        <w:ind w:left="5760" w:hanging="360"/>
      </w:pPr>
      <w:rPr>
        <w:rFonts w:ascii="Segoe UI Symbol" w:hAnsi="Segoe UI Symbol" w:hint="default"/>
      </w:rPr>
    </w:lvl>
    <w:lvl w:ilvl="8" w:tplc="082862A6" w:tentative="1">
      <w:start w:val="1"/>
      <w:numFmt w:val="bullet"/>
      <w:lvlText w:val="◉"/>
      <w:lvlJc w:val="left"/>
      <w:pPr>
        <w:tabs>
          <w:tab w:val="num" w:pos="6480"/>
        </w:tabs>
        <w:ind w:left="6480" w:hanging="360"/>
      </w:pPr>
      <w:rPr>
        <w:rFonts w:ascii="Segoe UI Symbol" w:hAnsi="Segoe UI Symbol" w:hint="default"/>
      </w:rPr>
    </w:lvl>
  </w:abstractNum>
  <w:abstractNum w:abstractNumId="3" w15:restartNumberingAfterBreak="0">
    <w:nsid w:val="4D6E46AB"/>
    <w:multiLevelType w:val="hybridMultilevel"/>
    <w:tmpl w:val="C3B0D1A8"/>
    <w:lvl w:ilvl="0" w:tplc="A53C5CE0">
      <w:start w:val="1"/>
      <w:numFmt w:val="bullet"/>
      <w:lvlText w:val="◉"/>
      <w:lvlJc w:val="left"/>
      <w:pPr>
        <w:tabs>
          <w:tab w:val="num" w:pos="720"/>
        </w:tabs>
        <w:ind w:left="720" w:hanging="360"/>
      </w:pPr>
      <w:rPr>
        <w:rFonts w:ascii="Segoe UI Symbol" w:hAnsi="Segoe UI Symbol" w:hint="default"/>
      </w:rPr>
    </w:lvl>
    <w:lvl w:ilvl="1" w:tplc="9A02E222" w:tentative="1">
      <w:start w:val="1"/>
      <w:numFmt w:val="bullet"/>
      <w:lvlText w:val="◉"/>
      <w:lvlJc w:val="left"/>
      <w:pPr>
        <w:tabs>
          <w:tab w:val="num" w:pos="1440"/>
        </w:tabs>
        <w:ind w:left="1440" w:hanging="360"/>
      </w:pPr>
      <w:rPr>
        <w:rFonts w:ascii="Segoe UI Symbol" w:hAnsi="Segoe UI Symbol" w:hint="default"/>
      </w:rPr>
    </w:lvl>
    <w:lvl w:ilvl="2" w:tplc="C3DAF43A" w:tentative="1">
      <w:start w:val="1"/>
      <w:numFmt w:val="bullet"/>
      <w:lvlText w:val="◉"/>
      <w:lvlJc w:val="left"/>
      <w:pPr>
        <w:tabs>
          <w:tab w:val="num" w:pos="2160"/>
        </w:tabs>
        <w:ind w:left="2160" w:hanging="360"/>
      </w:pPr>
      <w:rPr>
        <w:rFonts w:ascii="Segoe UI Symbol" w:hAnsi="Segoe UI Symbol" w:hint="default"/>
      </w:rPr>
    </w:lvl>
    <w:lvl w:ilvl="3" w:tplc="0596CE3A" w:tentative="1">
      <w:start w:val="1"/>
      <w:numFmt w:val="bullet"/>
      <w:lvlText w:val="◉"/>
      <w:lvlJc w:val="left"/>
      <w:pPr>
        <w:tabs>
          <w:tab w:val="num" w:pos="2880"/>
        </w:tabs>
        <w:ind w:left="2880" w:hanging="360"/>
      </w:pPr>
      <w:rPr>
        <w:rFonts w:ascii="Segoe UI Symbol" w:hAnsi="Segoe UI Symbol" w:hint="default"/>
      </w:rPr>
    </w:lvl>
    <w:lvl w:ilvl="4" w:tplc="14E2732E" w:tentative="1">
      <w:start w:val="1"/>
      <w:numFmt w:val="bullet"/>
      <w:lvlText w:val="◉"/>
      <w:lvlJc w:val="left"/>
      <w:pPr>
        <w:tabs>
          <w:tab w:val="num" w:pos="3600"/>
        </w:tabs>
        <w:ind w:left="3600" w:hanging="360"/>
      </w:pPr>
      <w:rPr>
        <w:rFonts w:ascii="Segoe UI Symbol" w:hAnsi="Segoe UI Symbol" w:hint="default"/>
      </w:rPr>
    </w:lvl>
    <w:lvl w:ilvl="5" w:tplc="2C5637D4" w:tentative="1">
      <w:start w:val="1"/>
      <w:numFmt w:val="bullet"/>
      <w:lvlText w:val="◉"/>
      <w:lvlJc w:val="left"/>
      <w:pPr>
        <w:tabs>
          <w:tab w:val="num" w:pos="4320"/>
        </w:tabs>
        <w:ind w:left="4320" w:hanging="360"/>
      </w:pPr>
      <w:rPr>
        <w:rFonts w:ascii="Segoe UI Symbol" w:hAnsi="Segoe UI Symbol" w:hint="default"/>
      </w:rPr>
    </w:lvl>
    <w:lvl w:ilvl="6" w:tplc="4808ABFE" w:tentative="1">
      <w:start w:val="1"/>
      <w:numFmt w:val="bullet"/>
      <w:lvlText w:val="◉"/>
      <w:lvlJc w:val="left"/>
      <w:pPr>
        <w:tabs>
          <w:tab w:val="num" w:pos="5040"/>
        </w:tabs>
        <w:ind w:left="5040" w:hanging="360"/>
      </w:pPr>
      <w:rPr>
        <w:rFonts w:ascii="Segoe UI Symbol" w:hAnsi="Segoe UI Symbol" w:hint="default"/>
      </w:rPr>
    </w:lvl>
    <w:lvl w:ilvl="7" w:tplc="C10A1304" w:tentative="1">
      <w:start w:val="1"/>
      <w:numFmt w:val="bullet"/>
      <w:lvlText w:val="◉"/>
      <w:lvlJc w:val="left"/>
      <w:pPr>
        <w:tabs>
          <w:tab w:val="num" w:pos="5760"/>
        </w:tabs>
        <w:ind w:left="5760" w:hanging="360"/>
      </w:pPr>
      <w:rPr>
        <w:rFonts w:ascii="Segoe UI Symbol" w:hAnsi="Segoe UI Symbol" w:hint="default"/>
      </w:rPr>
    </w:lvl>
    <w:lvl w:ilvl="8" w:tplc="082862A6" w:tentative="1">
      <w:start w:val="1"/>
      <w:numFmt w:val="bullet"/>
      <w:lvlText w:val="◉"/>
      <w:lvlJc w:val="left"/>
      <w:pPr>
        <w:tabs>
          <w:tab w:val="num" w:pos="6480"/>
        </w:tabs>
        <w:ind w:left="6480" w:hanging="360"/>
      </w:pPr>
      <w:rPr>
        <w:rFonts w:ascii="Segoe UI Symbol" w:hAnsi="Segoe UI Symbol" w:hint="default"/>
      </w:rPr>
    </w:lvl>
  </w:abstractNum>
  <w:abstractNum w:abstractNumId="4" w15:restartNumberingAfterBreak="0">
    <w:nsid w:val="69DA22F1"/>
    <w:multiLevelType w:val="hybridMultilevel"/>
    <w:tmpl w:val="58262ABE"/>
    <w:lvl w:ilvl="0" w:tplc="44A85E10">
      <w:start w:val="1"/>
      <w:numFmt w:val="bullet"/>
      <w:lvlText w:val="◉"/>
      <w:lvlJc w:val="left"/>
      <w:pPr>
        <w:tabs>
          <w:tab w:val="num" w:pos="720"/>
        </w:tabs>
        <w:ind w:left="720" w:hanging="360"/>
      </w:pPr>
      <w:rPr>
        <w:rFonts w:ascii="Segoe UI Symbol" w:hAnsi="Segoe UI Symbol" w:hint="default"/>
      </w:rPr>
    </w:lvl>
    <w:lvl w:ilvl="1" w:tplc="FF4EE336" w:tentative="1">
      <w:start w:val="1"/>
      <w:numFmt w:val="bullet"/>
      <w:lvlText w:val="◉"/>
      <w:lvlJc w:val="left"/>
      <w:pPr>
        <w:tabs>
          <w:tab w:val="num" w:pos="1440"/>
        </w:tabs>
        <w:ind w:left="1440" w:hanging="360"/>
      </w:pPr>
      <w:rPr>
        <w:rFonts w:ascii="Segoe UI Symbol" w:hAnsi="Segoe UI Symbol" w:hint="default"/>
      </w:rPr>
    </w:lvl>
    <w:lvl w:ilvl="2" w:tplc="3F3E85BE" w:tentative="1">
      <w:start w:val="1"/>
      <w:numFmt w:val="bullet"/>
      <w:lvlText w:val="◉"/>
      <w:lvlJc w:val="left"/>
      <w:pPr>
        <w:tabs>
          <w:tab w:val="num" w:pos="2160"/>
        </w:tabs>
        <w:ind w:left="2160" w:hanging="360"/>
      </w:pPr>
      <w:rPr>
        <w:rFonts w:ascii="Segoe UI Symbol" w:hAnsi="Segoe UI Symbol" w:hint="default"/>
      </w:rPr>
    </w:lvl>
    <w:lvl w:ilvl="3" w:tplc="2B2C7E30" w:tentative="1">
      <w:start w:val="1"/>
      <w:numFmt w:val="bullet"/>
      <w:lvlText w:val="◉"/>
      <w:lvlJc w:val="left"/>
      <w:pPr>
        <w:tabs>
          <w:tab w:val="num" w:pos="2880"/>
        </w:tabs>
        <w:ind w:left="2880" w:hanging="360"/>
      </w:pPr>
      <w:rPr>
        <w:rFonts w:ascii="Segoe UI Symbol" w:hAnsi="Segoe UI Symbol" w:hint="default"/>
      </w:rPr>
    </w:lvl>
    <w:lvl w:ilvl="4" w:tplc="5D04EC40" w:tentative="1">
      <w:start w:val="1"/>
      <w:numFmt w:val="bullet"/>
      <w:lvlText w:val="◉"/>
      <w:lvlJc w:val="left"/>
      <w:pPr>
        <w:tabs>
          <w:tab w:val="num" w:pos="3600"/>
        </w:tabs>
        <w:ind w:left="3600" w:hanging="360"/>
      </w:pPr>
      <w:rPr>
        <w:rFonts w:ascii="Segoe UI Symbol" w:hAnsi="Segoe UI Symbol" w:hint="default"/>
      </w:rPr>
    </w:lvl>
    <w:lvl w:ilvl="5" w:tplc="E7D204C8" w:tentative="1">
      <w:start w:val="1"/>
      <w:numFmt w:val="bullet"/>
      <w:lvlText w:val="◉"/>
      <w:lvlJc w:val="left"/>
      <w:pPr>
        <w:tabs>
          <w:tab w:val="num" w:pos="4320"/>
        </w:tabs>
        <w:ind w:left="4320" w:hanging="360"/>
      </w:pPr>
      <w:rPr>
        <w:rFonts w:ascii="Segoe UI Symbol" w:hAnsi="Segoe UI Symbol" w:hint="default"/>
      </w:rPr>
    </w:lvl>
    <w:lvl w:ilvl="6" w:tplc="CFCE99E0" w:tentative="1">
      <w:start w:val="1"/>
      <w:numFmt w:val="bullet"/>
      <w:lvlText w:val="◉"/>
      <w:lvlJc w:val="left"/>
      <w:pPr>
        <w:tabs>
          <w:tab w:val="num" w:pos="5040"/>
        </w:tabs>
        <w:ind w:left="5040" w:hanging="360"/>
      </w:pPr>
      <w:rPr>
        <w:rFonts w:ascii="Segoe UI Symbol" w:hAnsi="Segoe UI Symbol" w:hint="default"/>
      </w:rPr>
    </w:lvl>
    <w:lvl w:ilvl="7" w:tplc="B70AA7C2" w:tentative="1">
      <w:start w:val="1"/>
      <w:numFmt w:val="bullet"/>
      <w:lvlText w:val="◉"/>
      <w:lvlJc w:val="left"/>
      <w:pPr>
        <w:tabs>
          <w:tab w:val="num" w:pos="5760"/>
        </w:tabs>
        <w:ind w:left="5760" w:hanging="360"/>
      </w:pPr>
      <w:rPr>
        <w:rFonts w:ascii="Segoe UI Symbol" w:hAnsi="Segoe UI Symbol" w:hint="default"/>
      </w:rPr>
    </w:lvl>
    <w:lvl w:ilvl="8" w:tplc="45DC9CDC" w:tentative="1">
      <w:start w:val="1"/>
      <w:numFmt w:val="bullet"/>
      <w:lvlText w:val="◉"/>
      <w:lvlJc w:val="left"/>
      <w:pPr>
        <w:tabs>
          <w:tab w:val="num" w:pos="6480"/>
        </w:tabs>
        <w:ind w:left="6480" w:hanging="360"/>
      </w:pPr>
      <w:rPr>
        <w:rFonts w:ascii="Segoe UI Symbol" w:hAnsi="Segoe UI Symbol"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83"/>
    <w:rsid w:val="00051423"/>
    <w:rsid w:val="000B78F1"/>
    <w:rsid w:val="000B7A30"/>
    <w:rsid w:val="00246C3B"/>
    <w:rsid w:val="002F0316"/>
    <w:rsid w:val="00385D74"/>
    <w:rsid w:val="00434376"/>
    <w:rsid w:val="005736AD"/>
    <w:rsid w:val="005E720C"/>
    <w:rsid w:val="005F102F"/>
    <w:rsid w:val="00673B75"/>
    <w:rsid w:val="007F1FED"/>
    <w:rsid w:val="008363A6"/>
    <w:rsid w:val="008E153A"/>
    <w:rsid w:val="00902E85"/>
    <w:rsid w:val="00A12D70"/>
    <w:rsid w:val="00B02DDA"/>
    <w:rsid w:val="00B34569"/>
    <w:rsid w:val="00BE5129"/>
    <w:rsid w:val="00DA133E"/>
    <w:rsid w:val="00E53B3D"/>
    <w:rsid w:val="00EF106A"/>
    <w:rsid w:val="00EF35AF"/>
    <w:rsid w:val="00F10689"/>
    <w:rsid w:val="00F36F07"/>
    <w:rsid w:val="00F53035"/>
    <w:rsid w:val="00F63E83"/>
    <w:rsid w:val="00F76A69"/>
    <w:rsid w:val="00FB1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FC75"/>
  <w15:chartTrackingRefBased/>
  <w15:docId w15:val="{19A280F1-A828-F74C-A78C-83B11931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3E83"/>
    <w:pPr>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4343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4376"/>
    <w:rPr>
      <w:rFonts w:ascii="Times New Roman" w:hAnsi="Times New Roman" w:cs="Times New Roman"/>
      <w:sz w:val="18"/>
      <w:szCs w:val="18"/>
    </w:rPr>
  </w:style>
  <w:style w:type="paragraph" w:styleId="ListParagraph">
    <w:name w:val="List Paragraph"/>
    <w:basedOn w:val="Normal"/>
    <w:uiPriority w:val="34"/>
    <w:qFormat/>
    <w:rsid w:val="00434376"/>
    <w:pPr>
      <w:ind w:left="720"/>
      <w:contextualSpacing/>
    </w:pPr>
  </w:style>
  <w:style w:type="paragraph" w:styleId="FootnoteText">
    <w:name w:val="footnote text"/>
    <w:basedOn w:val="Normal"/>
    <w:link w:val="FootnoteTextChar"/>
    <w:uiPriority w:val="99"/>
    <w:semiHidden/>
    <w:unhideWhenUsed/>
    <w:rsid w:val="00673B75"/>
    <w:rPr>
      <w:sz w:val="20"/>
      <w:szCs w:val="20"/>
    </w:rPr>
  </w:style>
  <w:style w:type="character" w:customStyle="1" w:styleId="FootnoteTextChar">
    <w:name w:val="Footnote Text Char"/>
    <w:basedOn w:val="DefaultParagraphFont"/>
    <w:link w:val="FootnoteText"/>
    <w:uiPriority w:val="99"/>
    <w:semiHidden/>
    <w:rsid w:val="00673B75"/>
    <w:rPr>
      <w:sz w:val="20"/>
      <w:szCs w:val="20"/>
    </w:rPr>
  </w:style>
  <w:style w:type="character" w:styleId="FootnoteReference">
    <w:name w:val="footnote reference"/>
    <w:basedOn w:val="DefaultParagraphFont"/>
    <w:uiPriority w:val="99"/>
    <w:semiHidden/>
    <w:unhideWhenUsed/>
    <w:rsid w:val="00673B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579751">
      <w:bodyDiv w:val="1"/>
      <w:marLeft w:val="0"/>
      <w:marRight w:val="0"/>
      <w:marTop w:val="0"/>
      <w:marBottom w:val="0"/>
      <w:divBdr>
        <w:top w:val="none" w:sz="0" w:space="0" w:color="auto"/>
        <w:left w:val="none" w:sz="0" w:space="0" w:color="auto"/>
        <w:bottom w:val="none" w:sz="0" w:space="0" w:color="auto"/>
        <w:right w:val="none" w:sz="0" w:space="0" w:color="auto"/>
      </w:divBdr>
      <w:divsChild>
        <w:div w:id="1990792787">
          <w:marLeft w:val="720"/>
          <w:marRight w:val="0"/>
          <w:marTop w:val="0"/>
          <w:marBottom w:val="0"/>
          <w:divBdr>
            <w:top w:val="none" w:sz="0" w:space="0" w:color="auto"/>
            <w:left w:val="none" w:sz="0" w:space="0" w:color="auto"/>
            <w:bottom w:val="none" w:sz="0" w:space="0" w:color="auto"/>
            <w:right w:val="none" w:sz="0" w:space="0" w:color="auto"/>
          </w:divBdr>
        </w:div>
        <w:div w:id="187645816">
          <w:marLeft w:val="720"/>
          <w:marRight w:val="0"/>
          <w:marTop w:val="0"/>
          <w:marBottom w:val="0"/>
          <w:divBdr>
            <w:top w:val="none" w:sz="0" w:space="0" w:color="auto"/>
            <w:left w:val="none" w:sz="0" w:space="0" w:color="auto"/>
            <w:bottom w:val="none" w:sz="0" w:space="0" w:color="auto"/>
            <w:right w:val="none" w:sz="0" w:space="0" w:color="auto"/>
          </w:divBdr>
        </w:div>
        <w:div w:id="2128574240">
          <w:marLeft w:val="720"/>
          <w:marRight w:val="0"/>
          <w:marTop w:val="0"/>
          <w:marBottom w:val="0"/>
          <w:divBdr>
            <w:top w:val="none" w:sz="0" w:space="0" w:color="auto"/>
            <w:left w:val="none" w:sz="0" w:space="0" w:color="auto"/>
            <w:bottom w:val="none" w:sz="0" w:space="0" w:color="auto"/>
            <w:right w:val="none" w:sz="0" w:space="0" w:color="auto"/>
          </w:divBdr>
        </w:div>
        <w:div w:id="2131048613">
          <w:marLeft w:val="720"/>
          <w:marRight w:val="0"/>
          <w:marTop w:val="0"/>
          <w:marBottom w:val="0"/>
          <w:divBdr>
            <w:top w:val="none" w:sz="0" w:space="0" w:color="auto"/>
            <w:left w:val="none" w:sz="0" w:space="0" w:color="auto"/>
            <w:bottom w:val="none" w:sz="0" w:space="0" w:color="auto"/>
            <w:right w:val="none" w:sz="0" w:space="0" w:color="auto"/>
          </w:divBdr>
        </w:div>
        <w:div w:id="2080908146">
          <w:marLeft w:val="720"/>
          <w:marRight w:val="0"/>
          <w:marTop w:val="0"/>
          <w:marBottom w:val="0"/>
          <w:divBdr>
            <w:top w:val="none" w:sz="0" w:space="0" w:color="auto"/>
            <w:left w:val="none" w:sz="0" w:space="0" w:color="auto"/>
            <w:bottom w:val="none" w:sz="0" w:space="0" w:color="auto"/>
            <w:right w:val="none" w:sz="0" w:space="0" w:color="auto"/>
          </w:divBdr>
        </w:div>
        <w:div w:id="127289558">
          <w:marLeft w:val="720"/>
          <w:marRight w:val="0"/>
          <w:marTop w:val="0"/>
          <w:marBottom w:val="0"/>
          <w:divBdr>
            <w:top w:val="none" w:sz="0" w:space="0" w:color="auto"/>
            <w:left w:val="none" w:sz="0" w:space="0" w:color="auto"/>
            <w:bottom w:val="none" w:sz="0" w:space="0" w:color="auto"/>
            <w:right w:val="none" w:sz="0" w:space="0" w:color="auto"/>
          </w:divBdr>
        </w:div>
        <w:div w:id="1865904040">
          <w:marLeft w:val="720"/>
          <w:marRight w:val="0"/>
          <w:marTop w:val="0"/>
          <w:marBottom w:val="0"/>
          <w:divBdr>
            <w:top w:val="none" w:sz="0" w:space="0" w:color="auto"/>
            <w:left w:val="none" w:sz="0" w:space="0" w:color="auto"/>
            <w:bottom w:val="none" w:sz="0" w:space="0" w:color="auto"/>
            <w:right w:val="none" w:sz="0" w:space="0" w:color="auto"/>
          </w:divBdr>
        </w:div>
      </w:divsChild>
    </w:div>
    <w:div w:id="1339501214">
      <w:bodyDiv w:val="1"/>
      <w:marLeft w:val="0"/>
      <w:marRight w:val="0"/>
      <w:marTop w:val="0"/>
      <w:marBottom w:val="0"/>
      <w:divBdr>
        <w:top w:val="none" w:sz="0" w:space="0" w:color="auto"/>
        <w:left w:val="none" w:sz="0" w:space="0" w:color="auto"/>
        <w:bottom w:val="none" w:sz="0" w:space="0" w:color="auto"/>
        <w:right w:val="none" w:sz="0" w:space="0" w:color="auto"/>
      </w:divBdr>
      <w:divsChild>
        <w:div w:id="1565332440">
          <w:marLeft w:val="720"/>
          <w:marRight w:val="0"/>
          <w:marTop w:val="0"/>
          <w:marBottom w:val="0"/>
          <w:divBdr>
            <w:top w:val="none" w:sz="0" w:space="0" w:color="auto"/>
            <w:left w:val="none" w:sz="0" w:space="0" w:color="auto"/>
            <w:bottom w:val="none" w:sz="0" w:space="0" w:color="auto"/>
            <w:right w:val="none" w:sz="0" w:space="0" w:color="auto"/>
          </w:divBdr>
        </w:div>
        <w:div w:id="313946604">
          <w:marLeft w:val="720"/>
          <w:marRight w:val="0"/>
          <w:marTop w:val="0"/>
          <w:marBottom w:val="0"/>
          <w:divBdr>
            <w:top w:val="none" w:sz="0" w:space="0" w:color="auto"/>
            <w:left w:val="none" w:sz="0" w:space="0" w:color="auto"/>
            <w:bottom w:val="none" w:sz="0" w:space="0" w:color="auto"/>
            <w:right w:val="none" w:sz="0" w:space="0" w:color="auto"/>
          </w:divBdr>
        </w:div>
        <w:div w:id="1498882943">
          <w:marLeft w:val="720"/>
          <w:marRight w:val="0"/>
          <w:marTop w:val="0"/>
          <w:marBottom w:val="0"/>
          <w:divBdr>
            <w:top w:val="none" w:sz="0" w:space="0" w:color="auto"/>
            <w:left w:val="none" w:sz="0" w:space="0" w:color="auto"/>
            <w:bottom w:val="none" w:sz="0" w:space="0" w:color="auto"/>
            <w:right w:val="none" w:sz="0" w:space="0" w:color="auto"/>
          </w:divBdr>
        </w:div>
      </w:divsChild>
    </w:div>
    <w:div w:id="1475565359">
      <w:bodyDiv w:val="1"/>
      <w:marLeft w:val="0"/>
      <w:marRight w:val="0"/>
      <w:marTop w:val="0"/>
      <w:marBottom w:val="0"/>
      <w:divBdr>
        <w:top w:val="none" w:sz="0" w:space="0" w:color="auto"/>
        <w:left w:val="none" w:sz="0" w:space="0" w:color="auto"/>
        <w:bottom w:val="none" w:sz="0" w:space="0" w:color="auto"/>
        <w:right w:val="none" w:sz="0" w:space="0" w:color="auto"/>
      </w:divBdr>
      <w:divsChild>
        <w:div w:id="1123572060">
          <w:marLeft w:val="720"/>
          <w:marRight w:val="0"/>
          <w:marTop w:val="400"/>
          <w:marBottom w:val="0"/>
          <w:divBdr>
            <w:top w:val="none" w:sz="0" w:space="0" w:color="auto"/>
            <w:left w:val="none" w:sz="0" w:space="0" w:color="auto"/>
            <w:bottom w:val="none" w:sz="0" w:space="0" w:color="auto"/>
            <w:right w:val="none" w:sz="0" w:space="0" w:color="auto"/>
          </w:divBdr>
        </w:div>
        <w:div w:id="2056925716">
          <w:marLeft w:val="720"/>
          <w:marRight w:val="0"/>
          <w:marTop w:val="400"/>
          <w:marBottom w:val="0"/>
          <w:divBdr>
            <w:top w:val="none" w:sz="0" w:space="0" w:color="auto"/>
            <w:left w:val="none" w:sz="0" w:space="0" w:color="auto"/>
            <w:bottom w:val="none" w:sz="0" w:space="0" w:color="auto"/>
            <w:right w:val="none" w:sz="0" w:space="0" w:color="auto"/>
          </w:divBdr>
        </w:div>
        <w:div w:id="1483739091">
          <w:marLeft w:val="720"/>
          <w:marRight w:val="0"/>
          <w:marTop w:val="400"/>
          <w:marBottom w:val="0"/>
          <w:divBdr>
            <w:top w:val="none" w:sz="0" w:space="0" w:color="auto"/>
            <w:left w:val="none" w:sz="0" w:space="0" w:color="auto"/>
            <w:bottom w:val="none" w:sz="0" w:space="0" w:color="auto"/>
            <w:right w:val="none" w:sz="0" w:space="0" w:color="auto"/>
          </w:divBdr>
        </w:div>
        <w:div w:id="1105078944">
          <w:marLeft w:val="720"/>
          <w:marRight w:val="0"/>
          <w:marTop w:val="400"/>
          <w:marBottom w:val="0"/>
          <w:divBdr>
            <w:top w:val="none" w:sz="0" w:space="0" w:color="auto"/>
            <w:left w:val="none" w:sz="0" w:space="0" w:color="auto"/>
            <w:bottom w:val="none" w:sz="0" w:space="0" w:color="auto"/>
            <w:right w:val="none" w:sz="0" w:space="0" w:color="auto"/>
          </w:divBdr>
        </w:div>
        <w:div w:id="424762930">
          <w:marLeft w:val="720"/>
          <w:marRight w:val="0"/>
          <w:marTop w:val="400"/>
          <w:marBottom w:val="0"/>
          <w:divBdr>
            <w:top w:val="none" w:sz="0" w:space="0" w:color="auto"/>
            <w:left w:val="none" w:sz="0" w:space="0" w:color="auto"/>
            <w:bottom w:val="none" w:sz="0" w:space="0" w:color="auto"/>
            <w:right w:val="none" w:sz="0" w:space="0" w:color="auto"/>
          </w:divBdr>
        </w:div>
        <w:div w:id="282002919">
          <w:marLeft w:val="720"/>
          <w:marRight w:val="0"/>
          <w:marTop w:val="400"/>
          <w:marBottom w:val="0"/>
          <w:divBdr>
            <w:top w:val="none" w:sz="0" w:space="0" w:color="auto"/>
            <w:left w:val="none" w:sz="0" w:space="0" w:color="auto"/>
            <w:bottom w:val="none" w:sz="0" w:space="0" w:color="auto"/>
            <w:right w:val="none" w:sz="0" w:space="0" w:color="auto"/>
          </w:divBdr>
        </w:div>
        <w:div w:id="746344923">
          <w:marLeft w:val="720"/>
          <w:marRight w:val="0"/>
          <w:marTop w:val="400"/>
          <w:marBottom w:val="0"/>
          <w:divBdr>
            <w:top w:val="none" w:sz="0" w:space="0" w:color="auto"/>
            <w:left w:val="none" w:sz="0" w:space="0" w:color="auto"/>
            <w:bottom w:val="none" w:sz="0" w:space="0" w:color="auto"/>
            <w:right w:val="none" w:sz="0" w:space="0" w:color="auto"/>
          </w:divBdr>
        </w:div>
        <w:div w:id="1994678759">
          <w:marLeft w:val="720"/>
          <w:marRight w:val="0"/>
          <w:marTop w:val="400"/>
          <w:marBottom w:val="0"/>
          <w:divBdr>
            <w:top w:val="none" w:sz="0" w:space="0" w:color="auto"/>
            <w:left w:val="none" w:sz="0" w:space="0" w:color="auto"/>
            <w:bottom w:val="none" w:sz="0" w:space="0" w:color="auto"/>
            <w:right w:val="none" w:sz="0" w:space="0" w:color="auto"/>
          </w:divBdr>
        </w:div>
        <w:div w:id="337316723">
          <w:marLeft w:val="720"/>
          <w:marRight w:val="0"/>
          <w:marTop w:val="400"/>
          <w:marBottom w:val="0"/>
          <w:divBdr>
            <w:top w:val="none" w:sz="0" w:space="0" w:color="auto"/>
            <w:left w:val="none" w:sz="0" w:space="0" w:color="auto"/>
            <w:bottom w:val="none" w:sz="0" w:space="0" w:color="auto"/>
            <w:right w:val="none" w:sz="0" w:space="0" w:color="auto"/>
          </w:divBdr>
        </w:div>
        <w:div w:id="1152327975">
          <w:marLeft w:val="720"/>
          <w:marRight w:val="0"/>
          <w:marTop w:val="400"/>
          <w:marBottom w:val="0"/>
          <w:divBdr>
            <w:top w:val="none" w:sz="0" w:space="0" w:color="auto"/>
            <w:left w:val="none" w:sz="0" w:space="0" w:color="auto"/>
            <w:bottom w:val="none" w:sz="0" w:space="0" w:color="auto"/>
            <w:right w:val="none" w:sz="0" w:space="0" w:color="auto"/>
          </w:divBdr>
        </w:div>
      </w:divsChild>
    </w:div>
    <w:div w:id="162688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Drazek, Keith</cp:lastModifiedBy>
  <cp:revision>2</cp:revision>
  <dcterms:created xsi:type="dcterms:W3CDTF">2020-02-06T15:37:00Z</dcterms:created>
  <dcterms:modified xsi:type="dcterms:W3CDTF">2020-02-06T15:37:00Z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-711565781</vt:i4>
  </property>
  <property fmtid="{D5CDD505-2E9C-101B-9397-08002B2CF9AE}" pid="3" name="_NewReviewCycle">
    <vt:lpwstr/>
  </property>
  <property fmtid="{D5CDD505-2E9C-101B-9397-08002B2CF9AE}" pid="4" name="_EmailSubject">
    <vt:lpwstr>List of Future GNSO Work -- Please share with your SGs and Cs</vt:lpwstr>
  </property>
  <property fmtid="{D5CDD505-2E9C-101B-9397-08002B2CF9AE}" pid="5" name="_AuthorEmail">
    <vt:lpwstr>kdrazek@verisign.com</vt:lpwstr>
  </property>
  <property fmtid="{D5CDD505-2E9C-101B-9397-08002B2CF9AE}" pid="6" name="_AuthorEmailDisplayName">
    <vt:lpwstr>Drazek, Keith</vt:lpwstr>
  </property>
</Properties>
</file>