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9A17A1" w14:textId="77777777" w:rsidR="00754668" w:rsidRDefault="00754668" w:rsidP="00B35C31">
      <w:pPr>
        <w:pStyle w:val="Title"/>
        <w:jc w:val="center"/>
        <w:rPr>
          <w:rFonts w:asciiTheme="minorHAnsi" w:hAnsiTheme="minorHAnsi"/>
        </w:rPr>
      </w:pPr>
      <w:bookmarkStart w:id="0" w:name="_GoBack"/>
      <w:bookmarkEnd w:id="0"/>
    </w:p>
    <w:p w14:paraId="208963DE" w14:textId="77777777" w:rsidR="00B35C31" w:rsidRPr="00A13B1A" w:rsidRDefault="00B35C31" w:rsidP="00B35C31">
      <w:pPr>
        <w:pStyle w:val="Title"/>
        <w:jc w:val="center"/>
        <w:rPr>
          <w:rFonts w:asciiTheme="minorHAnsi" w:hAnsiTheme="minorHAnsi"/>
        </w:rPr>
      </w:pPr>
      <w:r w:rsidRPr="00A13B1A">
        <w:rPr>
          <w:rFonts w:asciiTheme="minorHAnsi" w:hAnsiTheme="minorHAnsi"/>
        </w:rPr>
        <w:t>CCWG Accountability</w:t>
      </w:r>
    </w:p>
    <w:p w14:paraId="51C8F019" w14:textId="77777777" w:rsidR="00B35C31" w:rsidRPr="00A13B1A" w:rsidRDefault="00B35C31" w:rsidP="00B35C31">
      <w:pPr>
        <w:pStyle w:val="Title"/>
        <w:jc w:val="center"/>
        <w:rPr>
          <w:rFonts w:asciiTheme="minorHAnsi" w:hAnsiTheme="minorHAnsi"/>
        </w:rPr>
      </w:pPr>
      <w:r w:rsidRPr="00A13B1A">
        <w:rPr>
          <w:rFonts w:asciiTheme="minorHAnsi" w:hAnsiTheme="minorHAnsi"/>
        </w:rPr>
        <w:t>Mailing List Discussions</w:t>
      </w:r>
    </w:p>
    <w:p w14:paraId="24AFCE9E" w14:textId="77777777" w:rsidR="00B35C31" w:rsidRPr="00A13B1A" w:rsidRDefault="00B35C31" w:rsidP="00B35C31">
      <w:pPr>
        <w:pStyle w:val="Title"/>
        <w:jc w:val="center"/>
        <w:rPr>
          <w:rFonts w:asciiTheme="minorHAnsi" w:hAnsiTheme="minorHAnsi"/>
        </w:rPr>
      </w:pPr>
      <w:r w:rsidRPr="00A13B1A">
        <w:rPr>
          <w:rFonts w:asciiTheme="minorHAnsi" w:hAnsiTheme="minorHAnsi"/>
        </w:rPr>
        <w:t>Week: 8 January - 15 January 2015</w:t>
      </w:r>
    </w:p>
    <w:p w14:paraId="07964D95" w14:textId="77777777" w:rsidR="00B35C31" w:rsidRPr="00A13B1A" w:rsidRDefault="00B35C31" w:rsidP="00B35C31">
      <w:pPr>
        <w:pStyle w:val="Heading2"/>
        <w:rPr>
          <w:rFonts w:asciiTheme="minorHAnsi" w:hAnsiTheme="minorHAnsi"/>
        </w:rPr>
      </w:pPr>
      <w:r w:rsidRPr="00A13B1A">
        <w:rPr>
          <w:rFonts w:asciiTheme="minorHAnsi" w:hAnsiTheme="minorHAnsi"/>
        </w:rPr>
        <w:t>CCWG accountability (</w:t>
      </w:r>
      <w:hyperlink r:id="rId6" w:anchor="start" w:history="1">
        <w:r w:rsidRPr="00A13B1A">
          <w:rPr>
            <w:rStyle w:val="Hyperlink"/>
            <w:rFonts w:asciiTheme="minorHAnsi" w:hAnsiTheme="minorHAnsi" w:cs="Helvetica"/>
          </w:rPr>
          <w:t>archives</w:t>
        </w:r>
      </w:hyperlink>
      <w:r w:rsidRPr="00A13B1A">
        <w:rPr>
          <w:rFonts w:asciiTheme="minorHAnsi" w:hAnsiTheme="minorHAnsi"/>
        </w:rPr>
        <w:t>)</w:t>
      </w:r>
    </w:p>
    <w:p w14:paraId="2C2AF9DD" w14:textId="77777777" w:rsidR="00B35C31" w:rsidRPr="00A13B1A" w:rsidRDefault="00B35C31" w:rsidP="00B35C31">
      <w:pPr>
        <w:widowControl w:val="0"/>
        <w:autoSpaceDE w:val="0"/>
        <w:autoSpaceDN w:val="0"/>
        <w:adjustRightInd w:val="0"/>
        <w:rPr>
          <w:rFonts w:cs="Helvetica"/>
        </w:rPr>
      </w:pPr>
    </w:p>
    <w:p w14:paraId="07C057A0" w14:textId="77777777" w:rsidR="00B35C31" w:rsidRPr="00A13B1A" w:rsidRDefault="00B35C31" w:rsidP="00416BA8">
      <w:pPr>
        <w:pStyle w:val="ListParagraph"/>
        <w:widowControl w:val="0"/>
        <w:numPr>
          <w:ilvl w:val="0"/>
          <w:numId w:val="2"/>
        </w:numPr>
        <w:autoSpaceDE w:val="0"/>
        <w:autoSpaceDN w:val="0"/>
        <w:adjustRightInd w:val="0"/>
        <w:rPr>
          <w:rFonts w:cs="Helvetica"/>
          <w:b/>
        </w:rPr>
      </w:pPr>
      <w:r w:rsidRPr="00A13B1A">
        <w:rPr>
          <w:rFonts w:cs="Helvetica"/>
          <w:b/>
        </w:rPr>
        <w:t xml:space="preserve">Non-Profit &amp; Public-Benefit Legal Structure </w:t>
      </w:r>
    </w:p>
    <w:p w14:paraId="78EE3B69" w14:textId="4552A9C1" w:rsidR="00882294" w:rsidRPr="00A13B1A" w:rsidRDefault="00CC65A7" w:rsidP="00416BA8">
      <w:pPr>
        <w:pStyle w:val="ListParagraph"/>
        <w:widowControl w:val="0"/>
        <w:numPr>
          <w:ilvl w:val="1"/>
          <w:numId w:val="2"/>
        </w:numPr>
        <w:autoSpaceDE w:val="0"/>
        <w:autoSpaceDN w:val="0"/>
        <w:adjustRightInd w:val="0"/>
        <w:rPr>
          <w:rFonts w:cs="Helvetica"/>
        </w:rPr>
      </w:pPr>
      <w:r>
        <w:rPr>
          <w:rFonts w:cs="Helvetica"/>
        </w:rPr>
        <w:t>The</w:t>
      </w:r>
      <w:r w:rsidR="00EE42D3" w:rsidRPr="00A13B1A">
        <w:rPr>
          <w:rFonts w:cs="Helvetica"/>
        </w:rPr>
        <w:t xml:space="preserve"> </w:t>
      </w:r>
      <w:r w:rsidR="00C314FC" w:rsidRPr="00A13B1A">
        <w:rPr>
          <w:rFonts w:cs="Helvetica"/>
        </w:rPr>
        <w:t xml:space="preserve">CCWG considered </w:t>
      </w:r>
      <w:r w:rsidR="003E67E2" w:rsidRPr="00A13B1A">
        <w:rPr>
          <w:rFonts w:cs="Helvetica"/>
        </w:rPr>
        <w:t>membership-based</w:t>
      </w:r>
      <w:r w:rsidR="00416BA8" w:rsidRPr="00A13B1A">
        <w:rPr>
          <w:rFonts w:cs="Helvetica"/>
        </w:rPr>
        <w:t xml:space="preserve"> organization</w:t>
      </w:r>
      <w:r w:rsidR="00476A55" w:rsidRPr="00A13B1A">
        <w:rPr>
          <w:rFonts w:cs="Helvetica"/>
        </w:rPr>
        <w:t>s</w:t>
      </w:r>
      <w:r w:rsidR="00A17D72" w:rsidRPr="00A13B1A">
        <w:rPr>
          <w:rFonts w:cs="Helvetica"/>
        </w:rPr>
        <w:t xml:space="preserve"> and</w:t>
      </w:r>
      <w:r w:rsidR="00416BA8" w:rsidRPr="00A13B1A">
        <w:rPr>
          <w:rFonts w:cs="Helvetica"/>
        </w:rPr>
        <w:t xml:space="preserve"> </w:t>
      </w:r>
      <w:r w:rsidR="00C314FC" w:rsidRPr="00A13B1A">
        <w:rPr>
          <w:rFonts w:cs="Helvetica"/>
        </w:rPr>
        <w:t>raised issues of</w:t>
      </w:r>
      <w:r w:rsidR="00416BA8" w:rsidRPr="00A13B1A">
        <w:rPr>
          <w:rFonts w:cs="Helvetica"/>
        </w:rPr>
        <w:t xml:space="preserve"> membership layers and </w:t>
      </w:r>
      <w:r w:rsidR="00EC12B0" w:rsidRPr="00A13B1A">
        <w:rPr>
          <w:rFonts w:cs="Helvetica"/>
        </w:rPr>
        <w:t>powers</w:t>
      </w:r>
      <w:r>
        <w:rPr>
          <w:rFonts w:cs="Helvetica"/>
        </w:rPr>
        <w:t xml:space="preserve"> these</w:t>
      </w:r>
      <w:r w:rsidR="00C314FC" w:rsidRPr="00A13B1A">
        <w:rPr>
          <w:rFonts w:cs="Helvetica"/>
        </w:rPr>
        <w:t xml:space="preserve"> might generate</w:t>
      </w:r>
      <w:r w:rsidR="00416BA8" w:rsidRPr="00A13B1A">
        <w:rPr>
          <w:rFonts w:cs="Helvetica"/>
        </w:rPr>
        <w:t>.  S</w:t>
      </w:r>
      <w:r w:rsidR="00EC12B0" w:rsidRPr="00A13B1A">
        <w:rPr>
          <w:rFonts w:cs="Helvetica"/>
        </w:rPr>
        <w:t>tatutory provisions of California public benefits corporation with members</w:t>
      </w:r>
      <w:r w:rsidR="003E67E2" w:rsidRPr="00A13B1A">
        <w:rPr>
          <w:rFonts w:cs="Helvetica"/>
        </w:rPr>
        <w:t>,</w:t>
      </w:r>
      <w:r w:rsidR="00EC12B0" w:rsidRPr="00A13B1A">
        <w:rPr>
          <w:rFonts w:cs="Helvetica"/>
        </w:rPr>
        <w:t xml:space="preserve"> </w:t>
      </w:r>
      <w:r w:rsidR="00DF33CC">
        <w:rPr>
          <w:rFonts w:cs="Helvetica"/>
        </w:rPr>
        <w:t xml:space="preserve">and </w:t>
      </w:r>
      <w:r w:rsidR="00EC12B0" w:rsidRPr="00A13B1A">
        <w:rPr>
          <w:rFonts w:cs="Helvetica"/>
        </w:rPr>
        <w:t xml:space="preserve">designed </w:t>
      </w:r>
      <w:r w:rsidR="00416BA8" w:rsidRPr="00A13B1A">
        <w:rPr>
          <w:rFonts w:cs="Helvetica"/>
        </w:rPr>
        <w:t>to</w:t>
      </w:r>
      <w:r w:rsidR="00EC12B0" w:rsidRPr="00A13B1A">
        <w:rPr>
          <w:rFonts w:cs="Helvetica"/>
        </w:rPr>
        <w:t xml:space="preserve"> make </w:t>
      </w:r>
      <w:r w:rsidR="003E67E2" w:rsidRPr="00A13B1A">
        <w:rPr>
          <w:rFonts w:cs="Helvetica"/>
        </w:rPr>
        <w:t xml:space="preserve">the </w:t>
      </w:r>
      <w:r w:rsidR="00EC12B0" w:rsidRPr="00A13B1A">
        <w:rPr>
          <w:rFonts w:cs="Helvetica"/>
        </w:rPr>
        <w:t>Board accountable</w:t>
      </w:r>
      <w:r w:rsidR="003E67E2" w:rsidRPr="00A13B1A">
        <w:rPr>
          <w:rFonts w:cs="Helvetica"/>
        </w:rPr>
        <w:t>,</w:t>
      </w:r>
      <w:r w:rsidR="00416BA8" w:rsidRPr="00A13B1A">
        <w:rPr>
          <w:rFonts w:cs="Helvetica"/>
        </w:rPr>
        <w:t xml:space="preserve"> were flagged</w:t>
      </w:r>
      <w:r w:rsidR="00E11C99" w:rsidRPr="00A13B1A">
        <w:rPr>
          <w:rFonts w:cs="Helvetica"/>
        </w:rPr>
        <w:t xml:space="preserve"> for consideration</w:t>
      </w:r>
      <w:r w:rsidR="00EC12B0" w:rsidRPr="00A13B1A">
        <w:rPr>
          <w:rFonts w:cs="Helvetica"/>
        </w:rPr>
        <w:t xml:space="preserve">. </w:t>
      </w:r>
    </w:p>
    <w:p w14:paraId="666A2460" w14:textId="7FE03735" w:rsidR="00B35C31" w:rsidRPr="00A13B1A" w:rsidRDefault="00E11C99" w:rsidP="00416BA8">
      <w:pPr>
        <w:pStyle w:val="ListParagraph"/>
        <w:widowControl w:val="0"/>
        <w:numPr>
          <w:ilvl w:val="1"/>
          <w:numId w:val="2"/>
        </w:numPr>
        <w:autoSpaceDE w:val="0"/>
        <w:autoSpaceDN w:val="0"/>
        <w:adjustRightInd w:val="0"/>
        <w:rPr>
          <w:rFonts w:cs="Helvetica"/>
        </w:rPr>
      </w:pPr>
      <w:r w:rsidRPr="00A13B1A">
        <w:rPr>
          <w:rFonts w:cs="Helvetica"/>
        </w:rPr>
        <w:t xml:space="preserve">A contributor encouraged the group </w:t>
      </w:r>
      <w:r w:rsidR="00C314FC" w:rsidRPr="00A13B1A">
        <w:rPr>
          <w:rFonts w:cs="Helvetica"/>
        </w:rPr>
        <w:t>to consider expanding</w:t>
      </w:r>
      <w:r w:rsidR="00DF33CC">
        <w:rPr>
          <w:rFonts w:cs="Helvetica"/>
        </w:rPr>
        <w:t xml:space="preserve"> discussion</w:t>
      </w:r>
      <w:r w:rsidR="00C314FC" w:rsidRPr="00A13B1A">
        <w:rPr>
          <w:rFonts w:cs="Helvetica"/>
        </w:rPr>
        <w:t xml:space="preserve"> to </w:t>
      </w:r>
      <w:r w:rsidR="00DF33CC">
        <w:rPr>
          <w:rFonts w:cs="Helvetica"/>
        </w:rPr>
        <w:t xml:space="preserve">the benefits of </w:t>
      </w:r>
      <w:r w:rsidR="00C314FC" w:rsidRPr="00A13B1A">
        <w:rPr>
          <w:rFonts w:cs="Helvetica"/>
        </w:rPr>
        <w:t xml:space="preserve">other </w:t>
      </w:r>
      <w:r w:rsidR="00F14EB6">
        <w:rPr>
          <w:rFonts w:cs="Helvetica"/>
        </w:rPr>
        <w:t>jurisdictions</w:t>
      </w:r>
      <w:r w:rsidR="00C314FC" w:rsidRPr="00A13B1A">
        <w:rPr>
          <w:rFonts w:cs="Helvetica"/>
        </w:rPr>
        <w:t xml:space="preserve">. </w:t>
      </w:r>
      <w:r w:rsidR="002672A4" w:rsidRPr="00A13B1A">
        <w:rPr>
          <w:rFonts w:cs="Helvetica"/>
        </w:rPr>
        <w:t>It was reiterated that no current</w:t>
      </w:r>
      <w:r w:rsidR="003E67E2" w:rsidRPr="00A13B1A">
        <w:rPr>
          <w:rFonts w:cs="Helvetica"/>
        </w:rPr>
        <w:t xml:space="preserve"> plan exists to change </w:t>
      </w:r>
      <w:r w:rsidR="00C314FC" w:rsidRPr="00A13B1A">
        <w:rPr>
          <w:rFonts w:cs="Helvetica"/>
        </w:rPr>
        <w:t xml:space="preserve">the </w:t>
      </w:r>
      <w:r w:rsidR="003E67E2" w:rsidRPr="00A13B1A">
        <w:rPr>
          <w:rFonts w:cs="Helvetica"/>
        </w:rPr>
        <w:t>status of the</w:t>
      </w:r>
      <w:r w:rsidR="002672A4" w:rsidRPr="00A13B1A">
        <w:rPr>
          <w:rFonts w:cs="Helvetica"/>
        </w:rPr>
        <w:t xml:space="preserve"> organization. </w:t>
      </w:r>
    </w:p>
    <w:p w14:paraId="260992AA" w14:textId="77777777" w:rsidR="00416BA8" w:rsidRPr="00A13B1A" w:rsidRDefault="00416BA8" w:rsidP="00416BA8">
      <w:pPr>
        <w:widowControl w:val="0"/>
        <w:autoSpaceDE w:val="0"/>
        <w:autoSpaceDN w:val="0"/>
        <w:adjustRightInd w:val="0"/>
        <w:rPr>
          <w:rFonts w:cs="Helvetica"/>
        </w:rPr>
      </w:pPr>
    </w:p>
    <w:p w14:paraId="584C4D43" w14:textId="77777777" w:rsidR="00416BA8" w:rsidRPr="00A13B1A" w:rsidRDefault="00416BA8" w:rsidP="00416BA8">
      <w:pPr>
        <w:pStyle w:val="ListParagraph"/>
        <w:widowControl w:val="0"/>
        <w:numPr>
          <w:ilvl w:val="0"/>
          <w:numId w:val="2"/>
        </w:numPr>
        <w:autoSpaceDE w:val="0"/>
        <w:autoSpaceDN w:val="0"/>
        <w:adjustRightInd w:val="0"/>
        <w:rPr>
          <w:rFonts w:cs="Helvetica"/>
          <w:b/>
        </w:rPr>
      </w:pPr>
      <w:r w:rsidRPr="00A13B1A">
        <w:rPr>
          <w:rFonts w:cs="Helvetica"/>
          <w:b/>
        </w:rPr>
        <w:t>High Leve</w:t>
      </w:r>
      <w:r w:rsidR="00416DFC" w:rsidRPr="00A13B1A">
        <w:rPr>
          <w:rFonts w:cs="Helvetica"/>
          <w:b/>
        </w:rPr>
        <w:t>l Statement for CWG Stewardship</w:t>
      </w:r>
    </w:p>
    <w:p w14:paraId="023CE473" w14:textId="011B7A67" w:rsidR="00882294" w:rsidRPr="00A13B1A" w:rsidRDefault="00F14EB6" w:rsidP="009A049C">
      <w:pPr>
        <w:pStyle w:val="ListParagraph"/>
        <w:widowControl w:val="0"/>
        <w:numPr>
          <w:ilvl w:val="1"/>
          <w:numId w:val="2"/>
        </w:numPr>
        <w:autoSpaceDE w:val="0"/>
        <w:autoSpaceDN w:val="0"/>
        <w:adjustRightInd w:val="0"/>
        <w:rPr>
          <w:rFonts w:cs="Helvetica"/>
        </w:rPr>
      </w:pPr>
      <w:r>
        <w:rPr>
          <w:rFonts w:cs="Helvetica"/>
        </w:rPr>
        <w:t>High Level Statement for the CWG Stewardship group</w:t>
      </w:r>
      <w:r w:rsidR="008F6BB1" w:rsidRPr="00A13B1A">
        <w:rPr>
          <w:rFonts w:cs="Helvetica"/>
        </w:rPr>
        <w:t xml:space="preserve"> shared</w:t>
      </w:r>
      <w:r w:rsidR="00416DFC" w:rsidRPr="00A13B1A">
        <w:rPr>
          <w:rFonts w:cs="Helvetica"/>
        </w:rPr>
        <w:t xml:space="preserve"> </w:t>
      </w:r>
      <w:r w:rsidR="009A049C" w:rsidRPr="00A13B1A">
        <w:rPr>
          <w:rFonts w:cs="Helvetica"/>
        </w:rPr>
        <w:t>on the mailing list</w:t>
      </w:r>
      <w:r>
        <w:rPr>
          <w:rFonts w:cs="Helvetica"/>
        </w:rPr>
        <w:t>, comments taken</w:t>
      </w:r>
      <w:r w:rsidR="009A049C" w:rsidRPr="00A13B1A">
        <w:rPr>
          <w:rFonts w:cs="Helvetica"/>
        </w:rPr>
        <w:t xml:space="preserve">. </w:t>
      </w:r>
      <w:r w:rsidR="00416DFC" w:rsidRPr="00A13B1A">
        <w:rPr>
          <w:rFonts w:cs="Helvetica"/>
        </w:rPr>
        <w:t>The statement was sent to CWG on 8 January</w:t>
      </w:r>
      <w:r>
        <w:rPr>
          <w:rFonts w:cs="Helvetica"/>
        </w:rPr>
        <w:t xml:space="preserve"> as public document</w:t>
      </w:r>
      <w:r w:rsidR="00416DFC" w:rsidRPr="00A13B1A">
        <w:rPr>
          <w:rFonts w:cs="Helvetica"/>
        </w:rPr>
        <w:t xml:space="preserve"> - see </w:t>
      </w:r>
      <w:hyperlink r:id="rId7" w:history="1">
        <w:r w:rsidR="00416DFC" w:rsidRPr="00A13B1A">
          <w:rPr>
            <w:rStyle w:val="Hyperlink"/>
            <w:rFonts w:cs="Helvetica"/>
          </w:rPr>
          <w:t>here</w:t>
        </w:r>
      </w:hyperlink>
      <w:r w:rsidR="007021B3" w:rsidRPr="00A13B1A">
        <w:rPr>
          <w:rFonts w:cs="Helvetica"/>
        </w:rPr>
        <w:t xml:space="preserve">. </w:t>
      </w:r>
    </w:p>
    <w:p w14:paraId="7514D2D6" w14:textId="77777777" w:rsidR="00882294" w:rsidRPr="00A13B1A" w:rsidRDefault="00E11C99" w:rsidP="009A049C">
      <w:pPr>
        <w:pStyle w:val="ListParagraph"/>
        <w:widowControl w:val="0"/>
        <w:numPr>
          <w:ilvl w:val="1"/>
          <w:numId w:val="2"/>
        </w:numPr>
        <w:autoSpaceDE w:val="0"/>
        <w:autoSpaceDN w:val="0"/>
        <w:adjustRightInd w:val="0"/>
        <w:rPr>
          <w:rFonts w:cs="Helvetica"/>
        </w:rPr>
      </w:pPr>
      <w:r w:rsidRPr="00A13B1A">
        <w:rPr>
          <w:rFonts w:cs="Helvetica"/>
        </w:rPr>
        <w:t xml:space="preserve">The CCWG calls the CWG Stewardship’s attention to: 1) Independent Review of board actions; 2) Independent certification for delegation and </w:t>
      </w:r>
      <w:proofErr w:type="spellStart"/>
      <w:r w:rsidRPr="00A13B1A">
        <w:rPr>
          <w:rFonts w:cs="Helvetica"/>
        </w:rPr>
        <w:t>redelegation</w:t>
      </w:r>
      <w:proofErr w:type="spellEnd"/>
      <w:r w:rsidRPr="00A13B1A">
        <w:rPr>
          <w:rFonts w:cs="Helvetica"/>
        </w:rPr>
        <w:t xml:space="preserve"> requests; 3) Independent Appeals Panel.  </w:t>
      </w:r>
    </w:p>
    <w:p w14:paraId="22FDF83F" w14:textId="77777777" w:rsidR="00416DFC" w:rsidRPr="00A13B1A" w:rsidRDefault="00416DFC" w:rsidP="00416DFC">
      <w:pPr>
        <w:pStyle w:val="ListParagraph"/>
        <w:widowControl w:val="0"/>
        <w:autoSpaceDE w:val="0"/>
        <w:autoSpaceDN w:val="0"/>
        <w:adjustRightInd w:val="0"/>
        <w:ind w:left="1080"/>
        <w:rPr>
          <w:rFonts w:cs="Helvetica"/>
        </w:rPr>
      </w:pPr>
    </w:p>
    <w:p w14:paraId="04295637" w14:textId="77777777" w:rsidR="00416DFC" w:rsidRPr="00A13B1A" w:rsidRDefault="00416DFC" w:rsidP="00416DFC">
      <w:pPr>
        <w:pStyle w:val="ListParagraph"/>
        <w:widowControl w:val="0"/>
        <w:numPr>
          <w:ilvl w:val="0"/>
          <w:numId w:val="2"/>
        </w:numPr>
        <w:autoSpaceDE w:val="0"/>
        <w:autoSpaceDN w:val="0"/>
        <w:adjustRightInd w:val="0"/>
        <w:rPr>
          <w:rFonts w:cs="Helvetica"/>
          <w:b/>
        </w:rPr>
      </w:pPr>
      <w:r w:rsidRPr="00A13B1A">
        <w:rPr>
          <w:rFonts w:cs="Helvetica"/>
          <w:b/>
        </w:rPr>
        <w:t>Judicial/Arbitral function</w:t>
      </w:r>
      <w:r w:rsidR="00B63BFC">
        <w:rPr>
          <w:rFonts w:cs="Helvetica"/>
          <w:b/>
        </w:rPr>
        <w:t xml:space="preserve"> (see also WA</w:t>
      </w:r>
      <w:r w:rsidR="00EF5945" w:rsidRPr="00A13B1A">
        <w:rPr>
          <w:rFonts w:cs="Helvetica"/>
          <w:b/>
        </w:rPr>
        <w:t>1 below)</w:t>
      </w:r>
    </w:p>
    <w:p w14:paraId="40DD40D7" w14:textId="6B2312BC" w:rsidR="002E7539" w:rsidRPr="00A13B1A" w:rsidRDefault="00A17D72" w:rsidP="00D42DCF">
      <w:pPr>
        <w:pStyle w:val="ListParagraph"/>
        <w:widowControl w:val="0"/>
        <w:numPr>
          <w:ilvl w:val="1"/>
          <w:numId w:val="2"/>
        </w:numPr>
        <w:autoSpaceDE w:val="0"/>
        <w:autoSpaceDN w:val="0"/>
        <w:adjustRightInd w:val="0"/>
        <w:rPr>
          <w:rFonts w:cs="Helvetica"/>
        </w:rPr>
      </w:pPr>
      <w:r w:rsidRPr="00A13B1A">
        <w:rPr>
          <w:rFonts w:cs="Helvetica"/>
        </w:rPr>
        <w:t xml:space="preserve">The </w:t>
      </w:r>
      <w:r w:rsidR="00160EEC" w:rsidRPr="00A13B1A">
        <w:rPr>
          <w:rFonts w:cs="Helvetica"/>
        </w:rPr>
        <w:t>CCWG discussed</w:t>
      </w:r>
      <w:r w:rsidR="00D42DCF" w:rsidRPr="00A13B1A">
        <w:rPr>
          <w:rFonts w:cs="Helvetica"/>
        </w:rPr>
        <w:t xml:space="preserve"> the</w:t>
      </w:r>
      <w:r w:rsidR="00160EEC" w:rsidRPr="00A13B1A">
        <w:rPr>
          <w:rFonts w:cs="Helvetica"/>
        </w:rPr>
        <w:t xml:space="preserve"> suggestion that the Board’s scope of authority be defined to allow for a standard against which to measure </w:t>
      </w:r>
      <w:r w:rsidR="00DF33CC">
        <w:rPr>
          <w:rFonts w:cs="Helvetica"/>
        </w:rPr>
        <w:t xml:space="preserve">a </w:t>
      </w:r>
      <w:r w:rsidR="00160EEC" w:rsidRPr="00A13B1A">
        <w:rPr>
          <w:rFonts w:cs="Helvetica"/>
        </w:rPr>
        <w:t>dispute</w:t>
      </w:r>
      <w:r w:rsidR="00D42DCF" w:rsidRPr="00A13B1A">
        <w:rPr>
          <w:rFonts w:cs="Helvetica"/>
        </w:rPr>
        <w:t>. A</w:t>
      </w:r>
      <w:r w:rsidR="00160EEC" w:rsidRPr="00A13B1A">
        <w:rPr>
          <w:rFonts w:cs="Helvetica"/>
        </w:rPr>
        <w:t xml:space="preserve">rticles of </w:t>
      </w:r>
      <w:r w:rsidR="00295459" w:rsidRPr="00A13B1A">
        <w:rPr>
          <w:rFonts w:cs="Helvetica"/>
        </w:rPr>
        <w:t>Incorporation</w:t>
      </w:r>
      <w:r w:rsidR="00160EEC" w:rsidRPr="00A13B1A">
        <w:rPr>
          <w:rFonts w:cs="Helvetica"/>
        </w:rPr>
        <w:t xml:space="preserve"> and Bylaws </w:t>
      </w:r>
      <w:r w:rsidR="00D42DCF" w:rsidRPr="00A13B1A">
        <w:rPr>
          <w:rFonts w:cs="Helvetica"/>
        </w:rPr>
        <w:t xml:space="preserve">are </w:t>
      </w:r>
      <w:r w:rsidR="00295459" w:rsidRPr="00A13B1A">
        <w:rPr>
          <w:rFonts w:cs="Helvetica"/>
        </w:rPr>
        <w:t>currently the primary documents</w:t>
      </w:r>
      <w:r w:rsidR="002E7539" w:rsidRPr="00A13B1A">
        <w:rPr>
          <w:rFonts w:cs="Helvetica"/>
        </w:rPr>
        <w:t xml:space="preserve"> that guide dispute resolution. Although t</w:t>
      </w:r>
      <w:r w:rsidR="00C665A6" w:rsidRPr="00A13B1A">
        <w:rPr>
          <w:rFonts w:cs="Helvetica"/>
        </w:rPr>
        <w:t xml:space="preserve">he process </w:t>
      </w:r>
      <w:r w:rsidR="0093415D" w:rsidRPr="00A13B1A">
        <w:rPr>
          <w:rFonts w:cs="Helvetica"/>
        </w:rPr>
        <w:t>in place c</w:t>
      </w:r>
      <w:r w:rsidR="00C665A6" w:rsidRPr="00A13B1A">
        <w:rPr>
          <w:rFonts w:cs="Helvetica"/>
        </w:rPr>
        <w:t>alls for</w:t>
      </w:r>
      <w:r w:rsidR="00B12A39" w:rsidRPr="00A13B1A">
        <w:rPr>
          <w:rFonts w:cs="Helvetica"/>
        </w:rPr>
        <w:t xml:space="preserve"> IRP panels </w:t>
      </w:r>
      <w:r w:rsidR="00C665A6" w:rsidRPr="00A13B1A">
        <w:rPr>
          <w:rFonts w:cs="Helvetica"/>
        </w:rPr>
        <w:t>to</w:t>
      </w:r>
      <w:r w:rsidR="00B12A39" w:rsidRPr="00A13B1A">
        <w:rPr>
          <w:rFonts w:cs="Helvetica"/>
        </w:rPr>
        <w:t xml:space="preserve"> apply a defined stan</w:t>
      </w:r>
      <w:r w:rsidR="002B0854" w:rsidRPr="00A13B1A">
        <w:rPr>
          <w:rFonts w:cs="Helvetica"/>
        </w:rPr>
        <w:t>dard of review to IRP requests</w:t>
      </w:r>
      <w:r w:rsidR="002E7539" w:rsidRPr="00A13B1A">
        <w:rPr>
          <w:rFonts w:cs="Helvetica"/>
        </w:rPr>
        <w:t xml:space="preserve">, </w:t>
      </w:r>
      <w:r w:rsidR="00F14EB6">
        <w:rPr>
          <w:rFonts w:cs="Helvetica"/>
        </w:rPr>
        <w:t xml:space="preserve">list discussion suggests </w:t>
      </w:r>
      <w:r w:rsidR="002E7539" w:rsidRPr="00A13B1A">
        <w:rPr>
          <w:rFonts w:cs="Helvetica"/>
        </w:rPr>
        <w:t>the</w:t>
      </w:r>
      <w:r w:rsidR="00D42DCF" w:rsidRPr="00A13B1A">
        <w:rPr>
          <w:rFonts w:cs="Helvetica"/>
        </w:rPr>
        <w:t xml:space="preserve"> standard</w:t>
      </w:r>
      <w:r w:rsidR="002E7539" w:rsidRPr="00A13B1A">
        <w:rPr>
          <w:rFonts w:cs="Helvetica"/>
        </w:rPr>
        <w:t xml:space="preserve"> </w:t>
      </w:r>
      <w:r w:rsidR="002E2E68">
        <w:rPr>
          <w:rFonts w:cs="Helvetica"/>
        </w:rPr>
        <w:t>may be</w:t>
      </w:r>
      <w:r w:rsidR="00D42DCF" w:rsidRPr="00A13B1A">
        <w:rPr>
          <w:rFonts w:cs="Helvetica"/>
        </w:rPr>
        <w:t xml:space="preserve"> insufficient as it based on good faith and permits no real </w:t>
      </w:r>
      <w:r w:rsidR="00F14EB6">
        <w:rPr>
          <w:rFonts w:cs="Helvetica"/>
        </w:rPr>
        <w:t>redress</w:t>
      </w:r>
      <w:r w:rsidR="00D42DCF" w:rsidRPr="00A13B1A">
        <w:rPr>
          <w:rFonts w:cs="Helvetica"/>
        </w:rPr>
        <w:t xml:space="preserve">. </w:t>
      </w:r>
    </w:p>
    <w:p w14:paraId="030D4F2D" w14:textId="57B2D60D" w:rsidR="002E7539" w:rsidRPr="00A13B1A" w:rsidRDefault="0093415D" w:rsidP="00D42DCF">
      <w:pPr>
        <w:pStyle w:val="ListParagraph"/>
        <w:widowControl w:val="0"/>
        <w:numPr>
          <w:ilvl w:val="1"/>
          <w:numId w:val="2"/>
        </w:numPr>
        <w:autoSpaceDE w:val="0"/>
        <w:autoSpaceDN w:val="0"/>
        <w:adjustRightInd w:val="0"/>
        <w:rPr>
          <w:rFonts w:cs="Helvetica"/>
        </w:rPr>
      </w:pPr>
      <w:r w:rsidRPr="00A13B1A">
        <w:rPr>
          <w:rFonts w:cs="Helvetica"/>
        </w:rPr>
        <w:t>The non-binding nature of the current independent review and cost</w:t>
      </w:r>
      <w:r w:rsidR="00F14EB6">
        <w:rPr>
          <w:rFonts w:cs="Helvetica"/>
        </w:rPr>
        <w:t xml:space="preserve"> of bringing an</w:t>
      </w:r>
      <w:r w:rsidRPr="00A13B1A">
        <w:rPr>
          <w:rFonts w:cs="Helvetica"/>
        </w:rPr>
        <w:t xml:space="preserve"> IRP also described as problematic. </w:t>
      </w:r>
    </w:p>
    <w:p w14:paraId="30A3275F" w14:textId="7835AD64" w:rsidR="002E7539" w:rsidRPr="00A13B1A" w:rsidRDefault="002E7539" w:rsidP="00D42DCF">
      <w:pPr>
        <w:pStyle w:val="ListParagraph"/>
        <w:widowControl w:val="0"/>
        <w:numPr>
          <w:ilvl w:val="1"/>
          <w:numId w:val="2"/>
        </w:numPr>
        <w:autoSpaceDE w:val="0"/>
        <w:autoSpaceDN w:val="0"/>
        <w:adjustRightInd w:val="0"/>
        <w:rPr>
          <w:rFonts w:cs="Helvetica"/>
        </w:rPr>
      </w:pPr>
      <w:r w:rsidRPr="00A13B1A">
        <w:rPr>
          <w:rFonts w:cs="Helvetica"/>
        </w:rPr>
        <w:t>C</w:t>
      </w:r>
      <w:r w:rsidR="00574936" w:rsidRPr="00A13B1A">
        <w:rPr>
          <w:rFonts w:cs="Helvetica"/>
        </w:rPr>
        <w:t xml:space="preserve">ontributors </w:t>
      </w:r>
      <w:r w:rsidR="00B62D61" w:rsidRPr="00A13B1A">
        <w:rPr>
          <w:rFonts w:cs="Helvetica"/>
        </w:rPr>
        <w:t xml:space="preserve">referred to </w:t>
      </w:r>
      <w:r w:rsidR="00574936" w:rsidRPr="00A13B1A">
        <w:rPr>
          <w:rFonts w:cs="Helvetica"/>
        </w:rPr>
        <w:t xml:space="preserve">an April 2013 </w:t>
      </w:r>
      <w:r w:rsidR="00F14EB6">
        <w:rPr>
          <w:rFonts w:cs="Helvetica"/>
        </w:rPr>
        <w:t>bylaws</w:t>
      </w:r>
      <w:r w:rsidR="00F14EB6" w:rsidRPr="00A13B1A">
        <w:rPr>
          <w:rFonts w:cs="Helvetica"/>
        </w:rPr>
        <w:t xml:space="preserve"> </w:t>
      </w:r>
      <w:r w:rsidR="00B62D61" w:rsidRPr="00A13B1A">
        <w:rPr>
          <w:rFonts w:cs="Helvetica"/>
        </w:rPr>
        <w:t xml:space="preserve">change that </w:t>
      </w:r>
      <w:r w:rsidR="002E2E68">
        <w:rPr>
          <w:rFonts w:cs="Helvetica"/>
        </w:rPr>
        <w:t xml:space="preserve">weakened the standard of review, </w:t>
      </w:r>
      <w:r w:rsidR="00C144B3" w:rsidRPr="00A13B1A">
        <w:rPr>
          <w:rFonts w:cs="Helvetica"/>
        </w:rPr>
        <w:t>although</w:t>
      </w:r>
      <w:r w:rsidR="002E2E68">
        <w:rPr>
          <w:rFonts w:cs="Helvetica"/>
        </w:rPr>
        <w:t xml:space="preserve"> the change was</w:t>
      </w:r>
      <w:r w:rsidR="00B62D61" w:rsidRPr="00A13B1A">
        <w:rPr>
          <w:rFonts w:cs="Helvetica"/>
        </w:rPr>
        <w:t xml:space="preserve"> </w:t>
      </w:r>
      <w:r w:rsidR="00C144B3" w:rsidRPr="00A13B1A">
        <w:rPr>
          <w:rFonts w:cs="Helvetica"/>
        </w:rPr>
        <w:t xml:space="preserve">implemented </w:t>
      </w:r>
      <w:r w:rsidR="002E2E68">
        <w:rPr>
          <w:rFonts w:cs="Helvetica"/>
        </w:rPr>
        <w:t>afte</w:t>
      </w:r>
      <w:r w:rsidR="00B62D61" w:rsidRPr="00A13B1A">
        <w:rPr>
          <w:rFonts w:cs="Helvetica"/>
        </w:rPr>
        <w:t>r</w:t>
      </w:r>
      <w:r w:rsidR="00574936" w:rsidRPr="00A13B1A">
        <w:rPr>
          <w:rFonts w:cs="Helvetica"/>
        </w:rPr>
        <w:t xml:space="preserve"> </w:t>
      </w:r>
      <w:hyperlink r:id="rId8" w:history="1">
        <w:r w:rsidR="00574936" w:rsidRPr="00A13B1A">
          <w:rPr>
            <w:rStyle w:val="Hyperlink"/>
            <w:rFonts w:cs="Helvetica"/>
          </w:rPr>
          <w:t>public comment</w:t>
        </w:r>
      </w:hyperlink>
      <w:r w:rsidR="00C144B3" w:rsidRPr="00A13B1A">
        <w:rPr>
          <w:rFonts w:cs="Helvetica"/>
        </w:rPr>
        <w:t xml:space="preserve">. </w:t>
      </w:r>
    </w:p>
    <w:p w14:paraId="7E2A3FED" w14:textId="10A8B729" w:rsidR="002E7539" w:rsidRPr="00A13B1A" w:rsidRDefault="0095747C" w:rsidP="00D42DCF">
      <w:pPr>
        <w:pStyle w:val="ListParagraph"/>
        <w:widowControl w:val="0"/>
        <w:numPr>
          <w:ilvl w:val="1"/>
          <w:numId w:val="2"/>
        </w:numPr>
        <w:autoSpaceDE w:val="0"/>
        <w:autoSpaceDN w:val="0"/>
        <w:adjustRightInd w:val="0"/>
        <w:rPr>
          <w:rFonts w:cs="Helvetica"/>
        </w:rPr>
      </w:pPr>
      <w:r w:rsidRPr="00A13B1A">
        <w:rPr>
          <w:rFonts w:cs="Helvetica"/>
        </w:rPr>
        <w:t>The g</w:t>
      </w:r>
      <w:r w:rsidR="00A17D72" w:rsidRPr="00A13B1A">
        <w:rPr>
          <w:rFonts w:cs="Helvetica"/>
        </w:rPr>
        <w:t>roup reached</w:t>
      </w:r>
      <w:r w:rsidR="004E0129" w:rsidRPr="00A13B1A">
        <w:rPr>
          <w:rFonts w:cs="Helvetica"/>
        </w:rPr>
        <w:t xml:space="preserve"> </w:t>
      </w:r>
      <w:r w:rsidRPr="00A13B1A">
        <w:rPr>
          <w:rFonts w:cs="Helvetica"/>
        </w:rPr>
        <w:t xml:space="preserve">the </w:t>
      </w:r>
      <w:r w:rsidR="00A17D72" w:rsidRPr="00A13B1A">
        <w:rPr>
          <w:rFonts w:cs="Helvetica"/>
        </w:rPr>
        <w:t xml:space="preserve">agreement </w:t>
      </w:r>
      <w:r w:rsidRPr="00A13B1A">
        <w:rPr>
          <w:rFonts w:cs="Helvetica"/>
        </w:rPr>
        <w:t>that there is</w:t>
      </w:r>
      <w:r w:rsidR="00A17D72" w:rsidRPr="00A13B1A">
        <w:rPr>
          <w:rFonts w:cs="Helvetica"/>
        </w:rPr>
        <w:t xml:space="preserve"> a need</w:t>
      </w:r>
      <w:r w:rsidR="003F0C19" w:rsidRPr="00A13B1A">
        <w:rPr>
          <w:rFonts w:cs="Helvetica"/>
        </w:rPr>
        <w:t xml:space="preserve"> for better tools and i</w:t>
      </w:r>
      <w:r w:rsidR="00D42DCF" w:rsidRPr="00A13B1A">
        <w:rPr>
          <w:rFonts w:cs="Helvetica"/>
        </w:rPr>
        <w:t>m</w:t>
      </w:r>
      <w:r w:rsidR="004E0129" w:rsidRPr="00A13B1A">
        <w:rPr>
          <w:rFonts w:cs="Helvetica"/>
        </w:rPr>
        <w:t>provements in</w:t>
      </w:r>
      <w:r w:rsidR="00A02F60">
        <w:rPr>
          <w:rFonts w:cs="Helvetica"/>
        </w:rPr>
        <w:t xml:space="preserve"> </w:t>
      </w:r>
      <w:r w:rsidR="00A02F60" w:rsidRPr="00A13B1A">
        <w:rPr>
          <w:rFonts w:cs="Helvetica"/>
        </w:rPr>
        <w:t xml:space="preserve">defining </w:t>
      </w:r>
      <w:r w:rsidR="00A02F60">
        <w:rPr>
          <w:rFonts w:cs="Helvetica"/>
        </w:rPr>
        <w:t>the appropriate</w:t>
      </w:r>
      <w:r w:rsidR="004E0129" w:rsidRPr="00A13B1A">
        <w:rPr>
          <w:rFonts w:cs="Helvetica"/>
        </w:rPr>
        <w:t xml:space="preserve"> standard</w:t>
      </w:r>
      <w:r w:rsidR="00A02F60">
        <w:rPr>
          <w:rFonts w:cs="Helvetica"/>
        </w:rPr>
        <w:t xml:space="preserve"> of review</w:t>
      </w:r>
      <w:r w:rsidR="000579EB" w:rsidRPr="00A13B1A">
        <w:rPr>
          <w:rFonts w:cs="Helvetica"/>
        </w:rPr>
        <w:t xml:space="preserve"> (</w:t>
      </w:r>
      <w:r w:rsidR="00A02F60">
        <w:rPr>
          <w:rFonts w:cs="Helvetica"/>
        </w:rPr>
        <w:t>a</w:t>
      </w:r>
      <w:r w:rsidR="00C25D50">
        <w:rPr>
          <w:rFonts w:cs="Helvetica"/>
        </w:rPr>
        <w:t xml:space="preserve"> suggestion for a</w:t>
      </w:r>
      <w:r w:rsidR="000579EB" w:rsidRPr="00A13B1A">
        <w:rPr>
          <w:rFonts w:cs="Helvetica"/>
        </w:rPr>
        <w:t xml:space="preserve"> dedicated group of jurists). </w:t>
      </w:r>
    </w:p>
    <w:p w14:paraId="35E364D4" w14:textId="4539DBE5" w:rsidR="00160EEC" w:rsidRPr="00A13B1A" w:rsidRDefault="00B62D61" w:rsidP="00D42DCF">
      <w:pPr>
        <w:pStyle w:val="ListParagraph"/>
        <w:widowControl w:val="0"/>
        <w:numPr>
          <w:ilvl w:val="1"/>
          <w:numId w:val="2"/>
        </w:numPr>
        <w:autoSpaceDE w:val="0"/>
        <w:autoSpaceDN w:val="0"/>
        <w:adjustRightInd w:val="0"/>
        <w:rPr>
          <w:rFonts w:cs="Helvetica"/>
        </w:rPr>
      </w:pPr>
      <w:r w:rsidRPr="00A13B1A">
        <w:rPr>
          <w:rFonts w:cs="Helvetica"/>
        </w:rPr>
        <w:t xml:space="preserve">It was noted that this </w:t>
      </w:r>
      <w:r w:rsidR="00A17D72" w:rsidRPr="00A13B1A">
        <w:rPr>
          <w:rFonts w:cs="Helvetica"/>
        </w:rPr>
        <w:t>discussion</w:t>
      </w:r>
      <w:r w:rsidRPr="00A13B1A">
        <w:rPr>
          <w:rFonts w:cs="Helvetica"/>
        </w:rPr>
        <w:t xml:space="preserve"> </w:t>
      </w:r>
      <w:r w:rsidR="00A02F60">
        <w:rPr>
          <w:rFonts w:cs="Helvetica"/>
        </w:rPr>
        <w:t>wa</w:t>
      </w:r>
      <w:r w:rsidRPr="00A13B1A">
        <w:rPr>
          <w:rFonts w:cs="Helvetica"/>
        </w:rPr>
        <w:t>s in line with ATRT2 rec. 9.2</w:t>
      </w:r>
      <w:r w:rsidR="00A02F60">
        <w:rPr>
          <w:rFonts w:cs="Helvetica"/>
        </w:rPr>
        <w:t>,</w:t>
      </w:r>
      <w:r w:rsidRPr="00A13B1A">
        <w:rPr>
          <w:rFonts w:cs="Helvetica"/>
        </w:rPr>
        <w:t xml:space="preserve"> </w:t>
      </w:r>
      <w:r w:rsidR="00A02F60">
        <w:rPr>
          <w:rFonts w:cs="Helvetica"/>
        </w:rPr>
        <w:t xml:space="preserve">and </w:t>
      </w:r>
      <w:r w:rsidRPr="00A13B1A">
        <w:rPr>
          <w:rFonts w:cs="Helvetica"/>
        </w:rPr>
        <w:t xml:space="preserve">that analysis of the ASEP and One World Trust reports might also be useful in this context. </w:t>
      </w:r>
      <w:r w:rsidR="00200CFA" w:rsidRPr="00A13B1A">
        <w:rPr>
          <w:rFonts w:cs="Helvetica"/>
        </w:rPr>
        <w:t xml:space="preserve">There </w:t>
      </w:r>
      <w:r w:rsidR="00A02F60">
        <w:rPr>
          <w:rFonts w:cs="Helvetica"/>
        </w:rPr>
        <w:t>was</w:t>
      </w:r>
      <w:r w:rsidR="00200CFA" w:rsidRPr="00A13B1A">
        <w:rPr>
          <w:rFonts w:cs="Helvetica"/>
        </w:rPr>
        <w:t xml:space="preserve"> also </w:t>
      </w:r>
      <w:r w:rsidR="00A02F60">
        <w:rPr>
          <w:rFonts w:cs="Helvetica"/>
        </w:rPr>
        <w:t>discussion about</w:t>
      </w:r>
      <w:r w:rsidR="00A02F60" w:rsidRPr="00A13B1A">
        <w:rPr>
          <w:rFonts w:cs="Helvetica"/>
        </w:rPr>
        <w:t xml:space="preserve"> </w:t>
      </w:r>
      <w:r w:rsidR="00200CFA" w:rsidRPr="00A13B1A">
        <w:rPr>
          <w:rFonts w:cs="Helvetica"/>
        </w:rPr>
        <w:t xml:space="preserve">redress and </w:t>
      </w:r>
      <w:r w:rsidR="00200CFA" w:rsidRPr="00A13B1A">
        <w:rPr>
          <w:rFonts w:cs="Helvetica"/>
        </w:rPr>
        <w:lastRenderedPageBreak/>
        <w:t>review mechanisms</w:t>
      </w:r>
      <w:r w:rsidR="00A02F60">
        <w:rPr>
          <w:rFonts w:cs="Helvetica"/>
        </w:rPr>
        <w:t>, and the meaning of these terms</w:t>
      </w:r>
      <w:r w:rsidR="00200CFA" w:rsidRPr="00A13B1A">
        <w:rPr>
          <w:rFonts w:cs="Helvetica"/>
        </w:rPr>
        <w:t xml:space="preserve">. </w:t>
      </w:r>
    </w:p>
    <w:p w14:paraId="6F9FEB0F" w14:textId="77777777" w:rsidR="00A82DC9" w:rsidRPr="00A13B1A" w:rsidRDefault="00A82DC9" w:rsidP="00D42DCF">
      <w:pPr>
        <w:pStyle w:val="ListParagraph"/>
        <w:widowControl w:val="0"/>
        <w:numPr>
          <w:ilvl w:val="1"/>
          <w:numId w:val="2"/>
        </w:numPr>
        <w:autoSpaceDE w:val="0"/>
        <w:autoSpaceDN w:val="0"/>
        <w:adjustRightInd w:val="0"/>
        <w:rPr>
          <w:rFonts w:cs="Helvetica"/>
        </w:rPr>
      </w:pPr>
      <w:r w:rsidRPr="00A13B1A">
        <w:rPr>
          <w:rFonts w:cs="Helvetica"/>
        </w:rPr>
        <w:t xml:space="preserve">Attention was called on the difference between redress and review. </w:t>
      </w:r>
    </w:p>
    <w:p w14:paraId="65099AAE" w14:textId="77777777" w:rsidR="00574936" w:rsidRPr="00A13B1A" w:rsidRDefault="00574936" w:rsidP="00574936">
      <w:pPr>
        <w:pStyle w:val="ListParagraph"/>
        <w:widowControl w:val="0"/>
        <w:autoSpaceDE w:val="0"/>
        <w:autoSpaceDN w:val="0"/>
        <w:adjustRightInd w:val="0"/>
        <w:ind w:left="1080"/>
        <w:rPr>
          <w:rFonts w:cs="Helvetica"/>
        </w:rPr>
      </w:pPr>
    </w:p>
    <w:p w14:paraId="3C7FE558" w14:textId="198F08AF" w:rsidR="00574936" w:rsidRPr="00A13B1A" w:rsidRDefault="00B63BFC" w:rsidP="00574936">
      <w:pPr>
        <w:pStyle w:val="ListParagraph"/>
        <w:widowControl w:val="0"/>
        <w:numPr>
          <w:ilvl w:val="0"/>
          <w:numId w:val="2"/>
        </w:numPr>
        <w:autoSpaceDE w:val="0"/>
        <w:autoSpaceDN w:val="0"/>
        <w:adjustRightInd w:val="0"/>
        <w:rPr>
          <w:rFonts w:cs="Helvetica"/>
          <w:b/>
        </w:rPr>
      </w:pPr>
      <w:r>
        <w:rPr>
          <w:rFonts w:cs="Helvetica"/>
          <w:b/>
        </w:rPr>
        <w:t>WA</w:t>
      </w:r>
      <w:r w:rsidR="00574936" w:rsidRPr="00A13B1A">
        <w:rPr>
          <w:rFonts w:cs="Helvetica"/>
          <w:b/>
        </w:rPr>
        <w:t>4 Initial</w:t>
      </w:r>
      <w:r w:rsidR="002E2E68">
        <w:rPr>
          <w:rFonts w:cs="Helvetica"/>
          <w:b/>
        </w:rPr>
        <w:t xml:space="preserve"> accountability</w:t>
      </w:r>
      <w:r w:rsidR="00574936" w:rsidRPr="00A13B1A">
        <w:rPr>
          <w:rFonts w:cs="Helvetica"/>
          <w:b/>
        </w:rPr>
        <w:t xml:space="preserve"> Scenarios</w:t>
      </w:r>
    </w:p>
    <w:p w14:paraId="118E3C89" w14:textId="4AD72E3B" w:rsidR="00574936" w:rsidRPr="00A13B1A" w:rsidRDefault="00BC1C33" w:rsidP="00574936">
      <w:pPr>
        <w:pStyle w:val="ListParagraph"/>
        <w:widowControl w:val="0"/>
        <w:numPr>
          <w:ilvl w:val="1"/>
          <w:numId w:val="2"/>
        </w:numPr>
        <w:autoSpaceDE w:val="0"/>
        <w:autoSpaceDN w:val="0"/>
        <w:adjustRightInd w:val="0"/>
        <w:rPr>
          <w:rFonts w:cs="Helvetica"/>
        </w:rPr>
      </w:pPr>
      <w:r w:rsidRPr="00A13B1A">
        <w:rPr>
          <w:rFonts w:cs="Helvetica"/>
        </w:rPr>
        <w:t xml:space="preserve">A </w:t>
      </w:r>
      <w:hyperlink r:id="rId9" w:history="1">
        <w:r w:rsidRPr="00A13B1A">
          <w:rPr>
            <w:rStyle w:val="Hyperlink"/>
            <w:rFonts w:cs="Helvetica"/>
          </w:rPr>
          <w:t>draft</w:t>
        </w:r>
      </w:hyperlink>
      <w:r w:rsidR="002B3E8C" w:rsidRPr="00A13B1A">
        <w:rPr>
          <w:rFonts w:cs="Helvetica"/>
        </w:rPr>
        <w:t xml:space="preserve">, which compiles 21 scenarios, </w:t>
      </w:r>
      <w:r w:rsidRPr="00A13B1A">
        <w:rPr>
          <w:rFonts w:cs="Helvetica"/>
        </w:rPr>
        <w:t xml:space="preserve">was shared on the list for </w:t>
      </w:r>
      <w:r w:rsidR="002E2E68">
        <w:rPr>
          <w:rFonts w:cs="Helvetica"/>
        </w:rPr>
        <w:t>comment</w:t>
      </w:r>
      <w:r w:rsidRPr="00A13B1A">
        <w:rPr>
          <w:rFonts w:cs="Helvetica"/>
        </w:rPr>
        <w:t xml:space="preserve">. </w:t>
      </w:r>
    </w:p>
    <w:p w14:paraId="18B505E6" w14:textId="77777777" w:rsidR="00A17D72" w:rsidRPr="00A13B1A" w:rsidRDefault="00A17D72" w:rsidP="0095747C">
      <w:pPr>
        <w:pStyle w:val="ListParagraph"/>
        <w:widowControl w:val="0"/>
        <w:autoSpaceDE w:val="0"/>
        <w:autoSpaceDN w:val="0"/>
        <w:adjustRightInd w:val="0"/>
        <w:ind w:left="1080"/>
        <w:rPr>
          <w:rFonts w:cs="Helvetica"/>
        </w:rPr>
      </w:pPr>
    </w:p>
    <w:p w14:paraId="73B00FE2" w14:textId="77777777" w:rsidR="0095747C" w:rsidRPr="00A13B1A" w:rsidRDefault="00CC4CD8" w:rsidP="0095747C">
      <w:pPr>
        <w:pStyle w:val="ListParagraph"/>
        <w:widowControl w:val="0"/>
        <w:numPr>
          <w:ilvl w:val="0"/>
          <w:numId w:val="2"/>
        </w:numPr>
        <w:autoSpaceDE w:val="0"/>
        <w:autoSpaceDN w:val="0"/>
        <w:adjustRightInd w:val="0"/>
        <w:rPr>
          <w:rFonts w:cs="Helvetica"/>
          <w:b/>
        </w:rPr>
      </w:pPr>
      <w:r w:rsidRPr="00A13B1A">
        <w:rPr>
          <w:rFonts w:cs="Helvetica"/>
          <w:b/>
        </w:rPr>
        <w:t>How Board Members are Appointed</w:t>
      </w:r>
      <w:r w:rsidR="00504C2D" w:rsidRPr="00A13B1A">
        <w:rPr>
          <w:rFonts w:cs="Helvetica"/>
          <w:b/>
        </w:rPr>
        <w:t xml:space="preserve"> </w:t>
      </w:r>
      <w:r w:rsidR="00D66022" w:rsidRPr="00A13B1A">
        <w:rPr>
          <w:rFonts w:cs="Helvetica"/>
          <w:b/>
        </w:rPr>
        <w:t>&amp; Democracy</w:t>
      </w:r>
    </w:p>
    <w:p w14:paraId="445E4E4F" w14:textId="77777777" w:rsidR="002E7539" w:rsidRPr="00A13B1A" w:rsidRDefault="0095747C" w:rsidP="00574936">
      <w:pPr>
        <w:pStyle w:val="ListParagraph"/>
        <w:widowControl w:val="0"/>
        <w:numPr>
          <w:ilvl w:val="1"/>
          <w:numId w:val="2"/>
        </w:numPr>
        <w:autoSpaceDE w:val="0"/>
        <w:autoSpaceDN w:val="0"/>
        <w:adjustRightInd w:val="0"/>
        <w:rPr>
          <w:rFonts w:cs="Helvetica"/>
        </w:rPr>
      </w:pPr>
      <w:r w:rsidRPr="00A13B1A">
        <w:rPr>
          <w:rFonts w:cs="Helvetica"/>
        </w:rPr>
        <w:t>There is interest in mechanism</w:t>
      </w:r>
      <w:r w:rsidR="009025D8" w:rsidRPr="00A13B1A">
        <w:rPr>
          <w:rFonts w:cs="Helvetica"/>
        </w:rPr>
        <w:t xml:space="preserve">s used to appoint Board members, the </w:t>
      </w:r>
      <w:r w:rsidRPr="00A13B1A">
        <w:rPr>
          <w:rFonts w:cs="Helvetica"/>
        </w:rPr>
        <w:t>selection criteria</w:t>
      </w:r>
      <w:r w:rsidR="009025D8" w:rsidRPr="00A13B1A">
        <w:rPr>
          <w:rFonts w:cs="Helvetica"/>
        </w:rPr>
        <w:t xml:space="preserve"> and inherent democracy (if any)</w:t>
      </w:r>
      <w:r w:rsidRPr="00A13B1A">
        <w:rPr>
          <w:rFonts w:cs="Helvetica"/>
        </w:rPr>
        <w:t>.</w:t>
      </w:r>
      <w:r w:rsidR="00504C2D" w:rsidRPr="00A13B1A">
        <w:rPr>
          <w:rFonts w:cs="Helvetica"/>
        </w:rPr>
        <w:t xml:space="preserve"> </w:t>
      </w:r>
    </w:p>
    <w:p w14:paraId="1A1D4D5D" w14:textId="41BE9B50" w:rsidR="00574936" w:rsidRPr="00C52245" w:rsidRDefault="00C52245" w:rsidP="00C52245">
      <w:pPr>
        <w:pStyle w:val="ListParagraph"/>
        <w:widowControl w:val="0"/>
        <w:numPr>
          <w:ilvl w:val="1"/>
          <w:numId w:val="2"/>
        </w:numPr>
        <w:autoSpaceDE w:val="0"/>
        <w:autoSpaceDN w:val="0"/>
        <w:adjustRightInd w:val="0"/>
        <w:rPr>
          <w:rFonts w:cs="Helvetica"/>
        </w:rPr>
      </w:pPr>
      <w:r>
        <w:rPr>
          <w:rFonts w:cs="Helvetica"/>
        </w:rPr>
        <w:t>The groups selecting Board members are open to participation, h</w:t>
      </w:r>
      <w:r w:rsidR="00A02F60" w:rsidRPr="00C52245">
        <w:rPr>
          <w:rFonts w:cs="Helvetica"/>
        </w:rPr>
        <w:t>owever, t</w:t>
      </w:r>
      <w:r w:rsidR="00C20D66" w:rsidRPr="00C52245">
        <w:rPr>
          <w:rFonts w:cs="Helvetica"/>
        </w:rPr>
        <w:t>here is limitation in level of pa</w:t>
      </w:r>
      <w:r w:rsidR="00D21765" w:rsidRPr="00C52245">
        <w:rPr>
          <w:rFonts w:cs="Helvetica"/>
        </w:rPr>
        <w:t xml:space="preserve">rticipation of members in </w:t>
      </w:r>
      <w:r>
        <w:rPr>
          <w:rFonts w:cs="Helvetica"/>
        </w:rPr>
        <w:t>these selecting</w:t>
      </w:r>
      <w:r w:rsidR="00C20D66" w:rsidRPr="00C52245">
        <w:rPr>
          <w:rFonts w:cs="Helvetica"/>
        </w:rPr>
        <w:t xml:space="preserve"> bodies and </w:t>
      </w:r>
      <w:r w:rsidR="0009116C">
        <w:rPr>
          <w:rFonts w:cs="Helvetica"/>
        </w:rPr>
        <w:t>degree</w:t>
      </w:r>
      <w:r w:rsidR="00C20D66" w:rsidRPr="00C52245">
        <w:rPr>
          <w:rFonts w:cs="Helvetica"/>
        </w:rPr>
        <w:t xml:space="preserve"> of geographic diversity. </w:t>
      </w:r>
    </w:p>
    <w:p w14:paraId="712DA40D" w14:textId="77777777" w:rsidR="00487780" w:rsidRPr="00816BB8" w:rsidRDefault="00487780" w:rsidP="00816BB8">
      <w:pPr>
        <w:widowControl w:val="0"/>
        <w:autoSpaceDE w:val="0"/>
        <w:autoSpaceDN w:val="0"/>
        <w:adjustRightInd w:val="0"/>
        <w:rPr>
          <w:rFonts w:cs="Helvetica"/>
        </w:rPr>
      </w:pPr>
    </w:p>
    <w:p w14:paraId="7EFB7A8F" w14:textId="77777777" w:rsidR="00487780" w:rsidRPr="00A13B1A" w:rsidRDefault="009C598E" w:rsidP="00487780">
      <w:pPr>
        <w:pStyle w:val="ListParagraph"/>
        <w:widowControl w:val="0"/>
        <w:numPr>
          <w:ilvl w:val="0"/>
          <w:numId w:val="2"/>
        </w:numPr>
        <w:autoSpaceDE w:val="0"/>
        <w:autoSpaceDN w:val="0"/>
        <w:adjustRightInd w:val="0"/>
        <w:rPr>
          <w:rFonts w:cs="Helvetica"/>
          <w:b/>
        </w:rPr>
      </w:pPr>
      <w:r w:rsidRPr="00A13B1A">
        <w:rPr>
          <w:rFonts w:cs="Helvetica"/>
          <w:b/>
        </w:rPr>
        <w:t xml:space="preserve">Definitions - </w:t>
      </w:r>
      <w:r w:rsidR="007755D0" w:rsidRPr="00A13B1A">
        <w:rPr>
          <w:rFonts w:cs="Helvetica"/>
          <w:b/>
        </w:rPr>
        <w:t xml:space="preserve">Community </w:t>
      </w:r>
      <w:r w:rsidR="00FF77F0" w:rsidRPr="00A13B1A">
        <w:rPr>
          <w:rFonts w:cs="Helvetica"/>
          <w:b/>
        </w:rPr>
        <w:t>&amp; Representation</w:t>
      </w:r>
    </w:p>
    <w:p w14:paraId="1099B943" w14:textId="77777777" w:rsidR="007755D0" w:rsidRPr="00A13B1A" w:rsidRDefault="00CB56B6" w:rsidP="00FF77F0">
      <w:pPr>
        <w:pStyle w:val="ListParagraph"/>
        <w:widowControl w:val="0"/>
        <w:numPr>
          <w:ilvl w:val="0"/>
          <w:numId w:val="4"/>
        </w:numPr>
        <w:autoSpaceDE w:val="0"/>
        <w:autoSpaceDN w:val="0"/>
        <w:adjustRightInd w:val="0"/>
        <w:rPr>
          <w:rFonts w:cs="Helvetica"/>
        </w:rPr>
      </w:pPr>
      <w:r w:rsidRPr="00A13B1A">
        <w:rPr>
          <w:rFonts w:cs="Helvetica"/>
        </w:rPr>
        <w:t xml:space="preserve">To whom does </w:t>
      </w:r>
      <w:r w:rsidR="0051067B" w:rsidRPr="00A13B1A">
        <w:rPr>
          <w:rFonts w:cs="Helvetica"/>
        </w:rPr>
        <w:t>“Community</w:t>
      </w:r>
      <w:r w:rsidRPr="00A13B1A">
        <w:rPr>
          <w:rFonts w:cs="Helvetica"/>
        </w:rPr>
        <w:t xml:space="preserve">” </w:t>
      </w:r>
      <w:r w:rsidR="00ED742D" w:rsidRPr="00A13B1A">
        <w:rPr>
          <w:rFonts w:cs="Helvetica"/>
        </w:rPr>
        <w:t>refer</w:t>
      </w:r>
      <w:r w:rsidR="008E13BA" w:rsidRPr="00A13B1A">
        <w:rPr>
          <w:rFonts w:cs="Helvetica"/>
        </w:rPr>
        <w:t xml:space="preserve">? </w:t>
      </w:r>
    </w:p>
    <w:p w14:paraId="4F434BA7" w14:textId="306A54B2" w:rsidR="00A02F60" w:rsidRPr="00A13B1A" w:rsidRDefault="00A02F60" w:rsidP="00A02F60">
      <w:pPr>
        <w:pStyle w:val="ListParagraph"/>
        <w:widowControl w:val="0"/>
        <w:numPr>
          <w:ilvl w:val="0"/>
          <w:numId w:val="4"/>
        </w:numPr>
        <w:autoSpaceDE w:val="0"/>
        <w:autoSpaceDN w:val="0"/>
        <w:adjustRightInd w:val="0"/>
        <w:rPr>
          <w:rFonts w:cs="Helvetica"/>
        </w:rPr>
      </w:pPr>
      <w:r w:rsidRPr="00A13B1A">
        <w:rPr>
          <w:rFonts w:cs="Helvetica"/>
        </w:rPr>
        <w:t>Reference</w:t>
      </w:r>
      <w:r>
        <w:rPr>
          <w:rFonts w:cs="Helvetica"/>
        </w:rPr>
        <w:t xml:space="preserve"> made the WSIS and </w:t>
      </w:r>
      <w:proofErr w:type="spellStart"/>
      <w:r w:rsidRPr="00A13B1A">
        <w:rPr>
          <w:rFonts w:cs="Helvetica"/>
        </w:rPr>
        <w:t>N</w:t>
      </w:r>
      <w:r w:rsidR="002D4705">
        <w:rPr>
          <w:rFonts w:cs="Helvetica"/>
        </w:rPr>
        <w:t>ET</w:t>
      </w:r>
      <w:r w:rsidRPr="00A13B1A">
        <w:rPr>
          <w:rFonts w:cs="Helvetica"/>
        </w:rPr>
        <w:t>mundial</w:t>
      </w:r>
      <w:proofErr w:type="spellEnd"/>
      <w:r w:rsidRPr="00A13B1A">
        <w:rPr>
          <w:rFonts w:cs="Helvetica"/>
        </w:rPr>
        <w:t xml:space="preserve"> stakeholders definition</w:t>
      </w:r>
      <w:r>
        <w:rPr>
          <w:rFonts w:cs="Helvetica"/>
        </w:rPr>
        <w:t>s.</w:t>
      </w:r>
    </w:p>
    <w:p w14:paraId="7464F5CF" w14:textId="135A435E" w:rsidR="00FF77F0" w:rsidRPr="00AF3003" w:rsidRDefault="008E13BA">
      <w:pPr>
        <w:pStyle w:val="ListParagraph"/>
        <w:widowControl w:val="0"/>
        <w:numPr>
          <w:ilvl w:val="0"/>
          <w:numId w:val="4"/>
        </w:numPr>
        <w:autoSpaceDE w:val="0"/>
        <w:autoSpaceDN w:val="0"/>
        <w:adjustRightInd w:val="0"/>
        <w:rPr>
          <w:rFonts w:cs="Helvetica"/>
        </w:rPr>
      </w:pPr>
      <w:r w:rsidRPr="00A13B1A">
        <w:rPr>
          <w:rFonts w:cs="Helvetica"/>
        </w:rPr>
        <w:t xml:space="preserve">Some </w:t>
      </w:r>
      <w:r w:rsidR="00FF77F0" w:rsidRPr="00A13B1A">
        <w:rPr>
          <w:rFonts w:cs="Helvetica"/>
        </w:rPr>
        <w:t>argue</w:t>
      </w:r>
      <w:r w:rsidR="00CB56B6" w:rsidRPr="00A13B1A">
        <w:rPr>
          <w:rFonts w:cs="Helvetica"/>
        </w:rPr>
        <w:t xml:space="preserve"> “Community”</w:t>
      </w:r>
      <w:r w:rsidRPr="00A13B1A">
        <w:rPr>
          <w:rFonts w:cs="Helvetica"/>
        </w:rPr>
        <w:t xml:space="preserve"> encompasses</w:t>
      </w:r>
      <w:r w:rsidR="008947E6" w:rsidRPr="00A13B1A">
        <w:rPr>
          <w:rFonts w:cs="Helvetica"/>
        </w:rPr>
        <w:t xml:space="preserve"> 1)</w:t>
      </w:r>
      <w:r w:rsidR="00CB56B6" w:rsidRPr="00A13B1A">
        <w:rPr>
          <w:rFonts w:cs="Helvetica"/>
        </w:rPr>
        <w:t xml:space="preserve"> </w:t>
      </w:r>
      <w:r w:rsidR="00864F34" w:rsidRPr="00A13B1A">
        <w:rPr>
          <w:rFonts w:cs="Helvetica"/>
        </w:rPr>
        <w:t>individuals</w:t>
      </w:r>
      <w:r w:rsidR="00CB56B6" w:rsidRPr="00A13B1A">
        <w:rPr>
          <w:rFonts w:cs="Helvetica"/>
        </w:rPr>
        <w:t xml:space="preserve"> from Civil Society, Private Sector, Technical Community </w:t>
      </w:r>
      <w:r w:rsidRPr="00A13B1A">
        <w:rPr>
          <w:rFonts w:cs="Helvetica"/>
        </w:rPr>
        <w:t>(</w:t>
      </w:r>
      <w:r w:rsidR="00CB56B6" w:rsidRPr="00A13B1A">
        <w:rPr>
          <w:rFonts w:cs="Helvetica"/>
        </w:rPr>
        <w:t>including academics</w:t>
      </w:r>
      <w:r w:rsidR="00A02F60">
        <w:rPr>
          <w:rFonts w:cs="Helvetica"/>
        </w:rPr>
        <w:t>)</w:t>
      </w:r>
      <w:r w:rsidR="00CB56B6" w:rsidRPr="00A13B1A">
        <w:rPr>
          <w:rFonts w:cs="Helvetica"/>
        </w:rPr>
        <w:t>,</w:t>
      </w:r>
      <w:r w:rsidR="00A02F60">
        <w:rPr>
          <w:rFonts w:cs="Helvetica"/>
        </w:rPr>
        <w:t xml:space="preserve"> and</w:t>
      </w:r>
      <w:r w:rsidR="00CB56B6" w:rsidRPr="00A13B1A">
        <w:rPr>
          <w:rFonts w:cs="Helvetica"/>
        </w:rPr>
        <w:t xml:space="preserve"> Governments</w:t>
      </w:r>
      <w:r w:rsidRPr="00A13B1A">
        <w:rPr>
          <w:rFonts w:cs="Helvetica"/>
        </w:rPr>
        <w:t xml:space="preserve"> </w:t>
      </w:r>
      <w:r w:rsidR="002D4705">
        <w:rPr>
          <w:rFonts w:cs="Helvetica"/>
        </w:rPr>
        <w:t>–</w:t>
      </w:r>
      <w:r w:rsidRPr="00AF3003">
        <w:rPr>
          <w:rFonts w:cs="Helvetica"/>
        </w:rPr>
        <w:t xml:space="preserve"> who</w:t>
      </w:r>
      <w:r w:rsidR="00CB56B6" w:rsidRPr="00AF3003">
        <w:rPr>
          <w:rFonts w:cs="Helvetica"/>
        </w:rPr>
        <w:t xml:space="preserve"> </w:t>
      </w:r>
      <w:r w:rsidR="00ED742D" w:rsidRPr="00AF3003">
        <w:rPr>
          <w:rFonts w:cs="Helvetica"/>
        </w:rPr>
        <w:t>participate directly in the various ICANN working group</w:t>
      </w:r>
      <w:r w:rsidR="00C078C1" w:rsidRPr="00AF3003">
        <w:rPr>
          <w:rFonts w:cs="Helvetica"/>
        </w:rPr>
        <w:t>s</w:t>
      </w:r>
      <w:r w:rsidR="002D4705" w:rsidRPr="00AF3003">
        <w:rPr>
          <w:rFonts w:cs="Helvetica"/>
        </w:rPr>
        <w:t>,</w:t>
      </w:r>
      <w:r w:rsidR="008947E6" w:rsidRPr="00AF3003">
        <w:rPr>
          <w:rFonts w:cs="Helvetica"/>
        </w:rPr>
        <w:t xml:space="preserve"> i.e. the ICANN Community</w:t>
      </w:r>
      <w:r w:rsidR="002D4705" w:rsidRPr="00AF3003">
        <w:rPr>
          <w:rFonts w:cs="Helvetica"/>
        </w:rPr>
        <w:t xml:space="preserve"> </w:t>
      </w:r>
      <w:r w:rsidR="002D4705">
        <w:rPr>
          <w:rFonts w:cs="Helvetica"/>
        </w:rPr>
        <w:t>–</w:t>
      </w:r>
      <w:r w:rsidR="00ED742D" w:rsidRPr="00AF3003">
        <w:rPr>
          <w:rFonts w:cs="Helvetica"/>
        </w:rPr>
        <w:t xml:space="preserve"> </w:t>
      </w:r>
      <w:r w:rsidR="008947E6" w:rsidRPr="00AF3003">
        <w:rPr>
          <w:rFonts w:cs="Helvetica"/>
        </w:rPr>
        <w:t xml:space="preserve">and 2) </w:t>
      </w:r>
      <w:r w:rsidR="00ED742D" w:rsidRPr="00AF3003">
        <w:rPr>
          <w:rFonts w:cs="Helvetica"/>
        </w:rPr>
        <w:t xml:space="preserve">the wider community of individuals </w:t>
      </w:r>
      <w:r w:rsidR="008947E6" w:rsidRPr="00AF3003">
        <w:rPr>
          <w:rFonts w:cs="Helvetica"/>
        </w:rPr>
        <w:t>i.e.</w:t>
      </w:r>
      <w:r w:rsidR="00ED742D" w:rsidRPr="00AF3003">
        <w:rPr>
          <w:rFonts w:cs="Helvetica"/>
        </w:rPr>
        <w:t xml:space="preserve"> members of the group</w:t>
      </w:r>
      <w:r w:rsidR="00C078C1" w:rsidRPr="00AF3003">
        <w:rPr>
          <w:rFonts w:cs="Helvetica"/>
        </w:rPr>
        <w:t>s</w:t>
      </w:r>
      <w:r w:rsidR="00E979D2" w:rsidRPr="00AF3003">
        <w:rPr>
          <w:rFonts w:cs="Helvetica"/>
        </w:rPr>
        <w:t xml:space="preserve"> </w:t>
      </w:r>
      <w:r w:rsidR="00ED742D" w:rsidRPr="00AF3003">
        <w:rPr>
          <w:rFonts w:cs="Helvetica"/>
        </w:rPr>
        <w:t>whic</w:t>
      </w:r>
      <w:r w:rsidR="0051067B" w:rsidRPr="00AF3003">
        <w:rPr>
          <w:rFonts w:cs="Helvetica"/>
        </w:rPr>
        <w:t>h comprise the ICANN community.</w:t>
      </w:r>
      <w:r w:rsidRPr="00AF3003">
        <w:rPr>
          <w:rFonts w:cs="Helvetica"/>
        </w:rPr>
        <w:t xml:space="preserve"> </w:t>
      </w:r>
    </w:p>
    <w:p w14:paraId="6037086C" w14:textId="77777777" w:rsidR="00FF77F0" w:rsidRPr="00A13B1A" w:rsidRDefault="008947E6" w:rsidP="00FF77F0">
      <w:pPr>
        <w:pStyle w:val="ListParagraph"/>
        <w:widowControl w:val="0"/>
        <w:numPr>
          <w:ilvl w:val="0"/>
          <w:numId w:val="4"/>
        </w:numPr>
        <w:autoSpaceDE w:val="0"/>
        <w:autoSpaceDN w:val="0"/>
        <w:adjustRightInd w:val="0"/>
        <w:rPr>
          <w:rFonts w:cs="Helvetica"/>
        </w:rPr>
      </w:pPr>
      <w:r w:rsidRPr="00A13B1A">
        <w:rPr>
          <w:rFonts w:cs="Helvetica"/>
        </w:rPr>
        <w:t>Others believe</w:t>
      </w:r>
      <w:r w:rsidR="008E13BA" w:rsidRPr="00A13B1A">
        <w:rPr>
          <w:rFonts w:cs="Helvetica"/>
        </w:rPr>
        <w:t xml:space="preserve"> Civil Society, Private Section, Technical Community (includ</w:t>
      </w:r>
      <w:r w:rsidRPr="00A13B1A">
        <w:rPr>
          <w:rFonts w:cs="Helvetica"/>
        </w:rPr>
        <w:t>ing academics, governments) do</w:t>
      </w:r>
      <w:r w:rsidR="008E13BA" w:rsidRPr="00A13B1A">
        <w:rPr>
          <w:rFonts w:cs="Helvetica"/>
        </w:rPr>
        <w:t xml:space="preserve"> not map </w:t>
      </w:r>
      <w:r w:rsidR="007755D0" w:rsidRPr="00A13B1A">
        <w:rPr>
          <w:rFonts w:cs="Helvetica"/>
        </w:rPr>
        <w:t xml:space="preserve">appropriately </w:t>
      </w:r>
      <w:r w:rsidR="008E13BA" w:rsidRPr="00A13B1A">
        <w:rPr>
          <w:rFonts w:cs="Helvetica"/>
        </w:rPr>
        <w:t>the mu</w:t>
      </w:r>
      <w:r w:rsidR="00FF77F0" w:rsidRPr="00A13B1A">
        <w:rPr>
          <w:rFonts w:cs="Helvetica"/>
        </w:rPr>
        <w:t>ltistakeholder groups in ICANN.</w:t>
      </w:r>
    </w:p>
    <w:p w14:paraId="3A4B0BC0" w14:textId="77777777" w:rsidR="00FF77F0" w:rsidRPr="00A13B1A" w:rsidRDefault="00FF77F0" w:rsidP="00FF77F0">
      <w:pPr>
        <w:pStyle w:val="ListParagraph"/>
        <w:widowControl w:val="0"/>
        <w:numPr>
          <w:ilvl w:val="0"/>
          <w:numId w:val="4"/>
        </w:numPr>
        <w:autoSpaceDE w:val="0"/>
        <w:autoSpaceDN w:val="0"/>
        <w:adjustRightInd w:val="0"/>
        <w:rPr>
          <w:rFonts w:cs="Helvetica"/>
        </w:rPr>
      </w:pPr>
      <w:r w:rsidRPr="00A13B1A">
        <w:rPr>
          <w:rFonts w:cs="Helvetica"/>
        </w:rPr>
        <w:t>How does ICANN define representation? Does belonging to a community make yo</w:t>
      </w:r>
      <w:r w:rsidR="00823EB4" w:rsidRPr="00A13B1A">
        <w:rPr>
          <w:rFonts w:cs="Helvetica"/>
        </w:rPr>
        <w:t xml:space="preserve">u a member of ICANN? What is the accepted number for </w:t>
      </w:r>
      <w:r w:rsidR="007755D0" w:rsidRPr="00A13B1A">
        <w:rPr>
          <w:rFonts w:cs="Helvetica"/>
        </w:rPr>
        <w:t>representation?</w:t>
      </w:r>
    </w:p>
    <w:p w14:paraId="32C3513B" w14:textId="77777777" w:rsidR="00EE42D3" w:rsidRPr="00A13B1A" w:rsidRDefault="00EE42D3" w:rsidP="003035A0">
      <w:pPr>
        <w:pStyle w:val="ListParagraph"/>
        <w:widowControl w:val="0"/>
        <w:autoSpaceDE w:val="0"/>
        <w:autoSpaceDN w:val="0"/>
        <w:adjustRightInd w:val="0"/>
        <w:ind w:left="1080"/>
        <w:rPr>
          <w:rFonts w:cs="Helvetica"/>
        </w:rPr>
      </w:pPr>
    </w:p>
    <w:p w14:paraId="0A102372" w14:textId="77777777" w:rsidR="00EE42D3" w:rsidRPr="003035A0" w:rsidRDefault="00EE42D3" w:rsidP="003035A0">
      <w:pPr>
        <w:pStyle w:val="ListParagraph"/>
        <w:widowControl w:val="0"/>
        <w:numPr>
          <w:ilvl w:val="0"/>
          <w:numId w:val="7"/>
        </w:numPr>
        <w:autoSpaceDE w:val="0"/>
        <w:autoSpaceDN w:val="0"/>
        <w:adjustRightInd w:val="0"/>
        <w:rPr>
          <w:rFonts w:cs="Helvetica"/>
        </w:rPr>
      </w:pPr>
      <w:r w:rsidRPr="003035A0">
        <w:rPr>
          <w:rFonts w:cs="Helvetica"/>
          <w:b/>
        </w:rPr>
        <w:t xml:space="preserve">Definitions – User </w:t>
      </w:r>
    </w:p>
    <w:p w14:paraId="282C8C2E" w14:textId="76F26E27" w:rsidR="00EE42D3" w:rsidRPr="00A13B1A" w:rsidRDefault="00EE42D3" w:rsidP="00EE42D3">
      <w:pPr>
        <w:pStyle w:val="ListParagraph"/>
        <w:widowControl w:val="0"/>
        <w:numPr>
          <w:ilvl w:val="0"/>
          <w:numId w:val="4"/>
        </w:numPr>
        <w:autoSpaceDE w:val="0"/>
        <w:autoSpaceDN w:val="0"/>
        <w:adjustRightInd w:val="0"/>
        <w:rPr>
          <w:rFonts w:cs="Helvetica"/>
        </w:rPr>
      </w:pPr>
      <w:r w:rsidRPr="00A13B1A">
        <w:rPr>
          <w:rFonts w:cs="Helvetica"/>
        </w:rPr>
        <w:t>User: an owner of do</w:t>
      </w:r>
      <w:r w:rsidR="00694620" w:rsidRPr="00A13B1A">
        <w:rPr>
          <w:rFonts w:cs="Helvetica"/>
        </w:rPr>
        <w:t>main name</w:t>
      </w:r>
      <w:r w:rsidR="0079685E">
        <w:rPr>
          <w:rFonts w:cs="Helvetica"/>
        </w:rPr>
        <w:t>,</w:t>
      </w:r>
      <w:r w:rsidR="00694620" w:rsidRPr="00A13B1A">
        <w:rPr>
          <w:rFonts w:cs="Helvetica"/>
        </w:rPr>
        <w:t xml:space="preserve"> or </w:t>
      </w:r>
      <w:r w:rsidR="0079685E">
        <w:rPr>
          <w:rFonts w:cs="Helvetica"/>
        </w:rPr>
        <w:t xml:space="preserve">just any </w:t>
      </w:r>
      <w:r w:rsidR="00694620" w:rsidRPr="00A13B1A">
        <w:rPr>
          <w:rFonts w:cs="Helvetica"/>
        </w:rPr>
        <w:t>I</w:t>
      </w:r>
      <w:r w:rsidRPr="00A13B1A">
        <w:rPr>
          <w:rFonts w:cs="Helvetica"/>
        </w:rPr>
        <w:t>nternet</w:t>
      </w:r>
      <w:r w:rsidR="0079685E">
        <w:rPr>
          <w:rFonts w:cs="Helvetica"/>
        </w:rPr>
        <w:t xml:space="preserve"> user</w:t>
      </w:r>
      <w:r w:rsidRPr="00A13B1A">
        <w:rPr>
          <w:rFonts w:cs="Helvetica"/>
        </w:rPr>
        <w:t>?</w:t>
      </w:r>
    </w:p>
    <w:p w14:paraId="500A8A4A" w14:textId="77777777" w:rsidR="00EE42D3" w:rsidRPr="00A13B1A" w:rsidRDefault="00EE42D3" w:rsidP="00EE42D3">
      <w:pPr>
        <w:widowControl w:val="0"/>
        <w:autoSpaceDE w:val="0"/>
        <w:autoSpaceDN w:val="0"/>
        <w:adjustRightInd w:val="0"/>
        <w:ind w:left="360"/>
        <w:rPr>
          <w:rFonts w:cs="Helvetica"/>
        </w:rPr>
      </w:pPr>
    </w:p>
    <w:p w14:paraId="3F6820F5" w14:textId="77777777" w:rsidR="00EE42D3" w:rsidRPr="00A96ACF" w:rsidRDefault="00EE42D3" w:rsidP="00A96ACF">
      <w:pPr>
        <w:pStyle w:val="ListParagraph"/>
        <w:widowControl w:val="0"/>
        <w:numPr>
          <w:ilvl w:val="0"/>
          <w:numId w:val="7"/>
        </w:numPr>
        <w:autoSpaceDE w:val="0"/>
        <w:autoSpaceDN w:val="0"/>
        <w:adjustRightInd w:val="0"/>
        <w:rPr>
          <w:rFonts w:cs="Helvetica"/>
        </w:rPr>
      </w:pPr>
      <w:r w:rsidRPr="00A96ACF">
        <w:rPr>
          <w:rFonts w:cs="Helvetica"/>
          <w:b/>
        </w:rPr>
        <w:t xml:space="preserve">Definitions – Consensus </w:t>
      </w:r>
    </w:p>
    <w:p w14:paraId="18C53C4F" w14:textId="77777777" w:rsidR="00EE42D3" w:rsidRPr="00A13B1A" w:rsidRDefault="00EE42D3" w:rsidP="00EE42D3">
      <w:pPr>
        <w:pStyle w:val="ListParagraph"/>
        <w:widowControl w:val="0"/>
        <w:numPr>
          <w:ilvl w:val="0"/>
          <w:numId w:val="4"/>
        </w:numPr>
        <w:autoSpaceDE w:val="0"/>
        <w:autoSpaceDN w:val="0"/>
        <w:adjustRightInd w:val="0"/>
        <w:rPr>
          <w:rFonts w:cs="Helvetica"/>
        </w:rPr>
      </w:pPr>
      <w:r w:rsidRPr="00A13B1A">
        <w:rPr>
          <w:rFonts w:cs="Helvetica"/>
        </w:rPr>
        <w:t>What does consensus support entail?</w:t>
      </w:r>
    </w:p>
    <w:p w14:paraId="61A76C5A" w14:textId="77777777" w:rsidR="00EE42D3" w:rsidRPr="00A13B1A" w:rsidRDefault="00EE42D3" w:rsidP="00EE42D3">
      <w:pPr>
        <w:pStyle w:val="ListParagraph"/>
        <w:widowControl w:val="0"/>
        <w:numPr>
          <w:ilvl w:val="0"/>
          <w:numId w:val="4"/>
        </w:numPr>
        <w:autoSpaceDE w:val="0"/>
        <w:autoSpaceDN w:val="0"/>
        <w:adjustRightInd w:val="0"/>
        <w:rPr>
          <w:rFonts w:cs="Helvetica"/>
        </w:rPr>
      </w:pPr>
      <w:r w:rsidRPr="00A13B1A">
        <w:rPr>
          <w:rFonts w:cs="Helvetica"/>
        </w:rPr>
        <w:t xml:space="preserve">The </w:t>
      </w:r>
      <w:hyperlink r:id="rId10" w:history="1">
        <w:r w:rsidRPr="00A13B1A">
          <w:rPr>
            <w:rStyle w:val="Hyperlink"/>
            <w:rFonts w:cs="Helvetica"/>
          </w:rPr>
          <w:t>GNSO principles</w:t>
        </w:r>
      </w:hyperlink>
      <w:r w:rsidRPr="00A13B1A">
        <w:rPr>
          <w:rFonts w:cs="Helvetica"/>
        </w:rPr>
        <w:t xml:space="preserve"> and </w:t>
      </w:r>
      <w:hyperlink r:id="rId11" w:history="1">
        <w:r w:rsidRPr="00A13B1A">
          <w:rPr>
            <w:rStyle w:val="Hyperlink"/>
            <w:rFonts w:cs="Helvetica"/>
          </w:rPr>
          <w:t>ICG guidelines</w:t>
        </w:r>
      </w:hyperlink>
      <w:r w:rsidRPr="00A13B1A">
        <w:rPr>
          <w:rFonts w:cs="Helvetica"/>
        </w:rPr>
        <w:t xml:space="preserve"> were referred to. </w:t>
      </w:r>
    </w:p>
    <w:p w14:paraId="6EF4A7BD" w14:textId="77777777" w:rsidR="00823EB4" w:rsidRPr="00A13B1A" w:rsidRDefault="00823EB4" w:rsidP="00EE6803">
      <w:pPr>
        <w:pStyle w:val="ListParagraph"/>
        <w:widowControl w:val="0"/>
        <w:autoSpaceDE w:val="0"/>
        <w:autoSpaceDN w:val="0"/>
        <w:adjustRightInd w:val="0"/>
        <w:ind w:left="1080"/>
        <w:rPr>
          <w:rFonts w:cs="Helvetica"/>
        </w:rPr>
      </w:pPr>
    </w:p>
    <w:p w14:paraId="3AD3DED8" w14:textId="77777777" w:rsidR="00823EB4" w:rsidRPr="00A13B1A" w:rsidRDefault="009C598E" w:rsidP="00823EB4">
      <w:pPr>
        <w:pStyle w:val="ListParagraph"/>
        <w:widowControl w:val="0"/>
        <w:numPr>
          <w:ilvl w:val="0"/>
          <w:numId w:val="2"/>
        </w:numPr>
        <w:autoSpaceDE w:val="0"/>
        <w:autoSpaceDN w:val="0"/>
        <w:adjustRightInd w:val="0"/>
        <w:rPr>
          <w:rFonts w:cs="Helvetica"/>
          <w:b/>
        </w:rPr>
      </w:pPr>
      <w:r w:rsidRPr="00A13B1A">
        <w:rPr>
          <w:rFonts w:cs="Helvetica"/>
          <w:b/>
        </w:rPr>
        <w:t xml:space="preserve">Definitions - </w:t>
      </w:r>
      <w:r w:rsidR="007755D0" w:rsidRPr="00A13B1A">
        <w:rPr>
          <w:rFonts w:cs="Helvetica"/>
          <w:b/>
        </w:rPr>
        <w:t>Public &amp; Public Interest</w:t>
      </w:r>
    </w:p>
    <w:p w14:paraId="6D18CE92" w14:textId="77777777" w:rsidR="00823EB4" w:rsidRPr="00A13B1A" w:rsidRDefault="00823EB4" w:rsidP="00EE6803">
      <w:pPr>
        <w:pStyle w:val="ListParagraph"/>
        <w:widowControl w:val="0"/>
        <w:autoSpaceDE w:val="0"/>
        <w:autoSpaceDN w:val="0"/>
        <w:adjustRightInd w:val="0"/>
        <w:ind w:left="1080"/>
        <w:rPr>
          <w:rFonts w:cs="Helvetica"/>
        </w:rPr>
      </w:pPr>
    </w:p>
    <w:p w14:paraId="1425B2FD" w14:textId="5C423E05" w:rsidR="00B8121A" w:rsidRPr="00A13B1A" w:rsidRDefault="0079685E" w:rsidP="00B8121A">
      <w:pPr>
        <w:pStyle w:val="ListParagraph"/>
        <w:widowControl w:val="0"/>
        <w:numPr>
          <w:ilvl w:val="0"/>
          <w:numId w:val="4"/>
        </w:numPr>
        <w:autoSpaceDE w:val="0"/>
        <w:autoSpaceDN w:val="0"/>
        <w:adjustRightInd w:val="0"/>
        <w:rPr>
          <w:rFonts w:cs="Helvetica"/>
        </w:rPr>
      </w:pPr>
      <w:r>
        <w:rPr>
          <w:rFonts w:cs="Helvetica"/>
        </w:rPr>
        <w:t xml:space="preserve">The group has been debating the meaning of public Interest and </w:t>
      </w:r>
      <w:r w:rsidR="00B8121A">
        <w:rPr>
          <w:rFonts w:cs="Helvetica"/>
        </w:rPr>
        <w:t>if</w:t>
      </w:r>
      <w:r>
        <w:rPr>
          <w:rFonts w:cs="Helvetica"/>
        </w:rPr>
        <w:t xml:space="preserve"> trying to come up with a definition is important</w:t>
      </w:r>
      <w:r w:rsidR="00B8121A">
        <w:rPr>
          <w:rFonts w:cs="Helvetica"/>
        </w:rPr>
        <w:t>, and possible.</w:t>
      </w:r>
    </w:p>
    <w:p w14:paraId="6BB9A987" w14:textId="74523861" w:rsidR="007755D0" w:rsidRPr="00A13B1A" w:rsidRDefault="00B8121A" w:rsidP="00823EB4">
      <w:pPr>
        <w:pStyle w:val="ListParagraph"/>
        <w:widowControl w:val="0"/>
        <w:numPr>
          <w:ilvl w:val="0"/>
          <w:numId w:val="4"/>
        </w:numPr>
        <w:autoSpaceDE w:val="0"/>
        <w:autoSpaceDN w:val="0"/>
        <w:adjustRightInd w:val="0"/>
        <w:rPr>
          <w:rFonts w:cs="Helvetica"/>
        </w:rPr>
      </w:pPr>
      <w:r>
        <w:rPr>
          <w:rFonts w:cs="Helvetica"/>
        </w:rPr>
        <w:t>"</w:t>
      </w:r>
      <w:r w:rsidR="0051067B" w:rsidRPr="00A13B1A">
        <w:rPr>
          <w:rFonts w:cs="Helvetica"/>
        </w:rPr>
        <w:t xml:space="preserve">Public” can either be construed as Internet users or </w:t>
      </w:r>
      <w:r w:rsidR="00694620" w:rsidRPr="00A13B1A">
        <w:rPr>
          <w:rFonts w:cs="Helvetica"/>
        </w:rPr>
        <w:t>as all human beings</w:t>
      </w:r>
      <w:r w:rsidR="0051067B" w:rsidRPr="00A13B1A">
        <w:rPr>
          <w:rFonts w:cs="Helvetica"/>
        </w:rPr>
        <w:t xml:space="preserve">. </w:t>
      </w:r>
    </w:p>
    <w:p w14:paraId="4CA98EDD" w14:textId="77777777" w:rsidR="007755D0" w:rsidRPr="00A13B1A" w:rsidRDefault="0051067B" w:rsidP="00823EB4">
      <w:pPr>
        <w:pStyle w:val="ListParagraph"/>
        <w:widowControl w:val="0"/>
        <w:numPr>
          <w:ilvl w:val="0"/>
          <w:numId w:val="4"/>
        </w:numPr>
        <w:autoSpaceDE w:val="0"/>
        <w:autoSpaceDN w:val="0"/>
        <w:adjustRightInd w:val="0"/>
        <w:rPr>
          <w:rFonts w:cs="Helvetica"/>
        </w:rPr>
      </w:pPr>
      <w:r w:rsidRPr="00A13B1A">
        <w:rPr>
          <w:rFonts w:cs="Helvetica"/>
        </w:rPr>
        <w:t xml:space="preserve">The fundamental responsibility of the Board is to exercise their judgment to act in what they believe to be the best interest of the global public interest, taking into account the interest of the Internet Community as a whole. </w:t>
      </w:r>
    </w:p>
    <w:p w14:paraId="1FDA80A4" w14:textId="77777777" w:rsidR="007755D0" w:rsidRPr="00A13B1A" w:rsidRDefault="00EE6803" w:rsidP="00823EB4">
      <w:pPr>
        <w:pStyle w:val="ListParagraph"/>
        <w:widowControl w:val="0"/>
        <w:numPr>
          <w:ilvl w:val="0"/>
          <w:numId w:val="4"/>
        </w:numPr>
        <w:autoSpaceDE w:val="0"/>
        <w:autoSpaceDN w:val="0"/>
        <w:adjustRightInd w:val="0"/>
        <w:rPr>
          <w:rFonts w:cs="Helvetica"/>
        </w:rPr>
      </w:pPr>
      <w:r w:rsidRPr="00A13B1A">
        <w:rPr>
          <w:rFonts w:cs="Helvetica"/>
        </w:rPr>
        <w:t>The ICANN community is the primary feedback mechanism for determining the global public interest.</w:t>
      </w:r>
    </w:p>
    <w:p w14:paraId="1C85CA94" w14:textId="77777777" w:rsidR="00DE102A" w:rsidRPr="00A13B1A" w:rsidRDefault="007755D0" w:rsidP="00DE102A">
      <w:pPr>
        <w:pStyle w:val="ListParagraph"/>
        <w:widowControl w:val="0"/>
        <w:numPr>
          <w:ilvl w:val="0"/>
          <w:numId w:val="4"/>
        </w:numPr>
        <w:autoSpaceDE w:val="0"/>
        <w:autoSpaceDN w:val="0"/>
        <w:adjustRightInd w:val="0"/>
        <w:rPr>
          <w:rFonts w:cs="Helvetica"/>
        </w:rPr>
      </w:pPr>
      <w:r w:rsidRPr="00A13B1A">
        <w:rPr>
          <w:rFonts w:cs="Helvetica"/>
        </w:rPr>
        <w:lastRenderedPageBreak/>
        <w:t xml:space="preserve">Do Board members represent their communities or the public interest? </w:t>
      </w:r>
      <w:r w:rsidR="00DE102A" w:rsidRPr="00A13B1A">
        <w:rPr>
          <w:rFonts w:cs="Helvetica"/>
        </w:rPr>
        <w:t>G</w:t>
      </w:r>
      <w:r w:rsidR="001E22CA" w:rsidRPr="00A13B1A">
        <w:rPr>
          <w:rFonts w:cs="Helvetica"/>
        </w:rPr>
        <w:t>lo</w:t>
      </w:r>
      <w:r w:rsidR="00DE102A" w:rsidRPr="00A13B1A">
        <w:rPr>
          <w:rFonts w:cs="Helvetica"/>
        </w:rPr>
        <w:t>b</w:t>
      </w:r>
      <w:r w:rsidR="001E22CA" w:rsidRPr="00A13B1A">
        <w:rPr>
          <w:rFonts w:cs="Helvetica"/>
        </w:rPr>
        <w:t xml:space="preserve">al public interest </w:t>
      </w:r>
      <w:hyperlink r:id="rId12" w:history="1">
        <w:r w:rsidR="001E22CA" w:rsidRPr="00A13B1A">
          <w:rPr>
            <w:rStyle w:val="Hyperlink"/>
            <w:rFonts w:cs="Helvetica"/>
          </w:rPr>
          <w:t>guidelines</w:t>
        </w:r>
      </w:hyperlink>
      <w:r w:rsidR="001E22CA" w:rsidRPr="00A13B1A">
        <w:rPr>
          <w:rFonts w:cs="Helvetica"/>
        </w:rPr>
        <w:t xml:space="preserve"> </w:t>
      </w:r>
      <w:r w:rsidR="00DE102A" w:rsidRPr="00A13B1A">
        <w:rPr>
          <w:rFonts w:cs="Helvetica"/>
        </w:rPr>
        <w:t xml:space="preserve">intended for Board members </w:t>
      </w:r>
      <w:r w:rsidR="001E22CA" w:rsidRPr="00A13B1A">
        <w:rPr>
          <w:rFonts w:cs="Helvetica"/>
        </w:rPr>
        <w:t xml:space="preserve">were issued to that end </w:t>
      </w:r>
      <w:r w:rsidR="00DE102A" w:rsidRPr="00A13B1A">
        <w:rPr>
          <w:rFonts w:cs="Helvetica"/>
        </w:rPr>
        <w:t xml:space="preserve">and as a result of ATRT1. Suggestion that </w:t>
      </w:r>
      <w:r w:rsidR="001E22CA" w:rsidRPr="00A13B1A">
        <w:rPr>
          <w:rFonts w:cs="Helvetica"/>
        </w:rPr>
        <w:t>Bylaws could be enhanced to incorporate the notion in the go</w:t>
      </w:r>
      <w:r w:rsidR="00DE102A" w:rsidRPr="00A13B1A">
        <w:rPr>
          <w:rFonts w:cs="Helvetica"/>
        </w:rPr>
        <w:t>vernance guidelines.</w:t>
      </w:r>
    </w:p>
    <w:p w14:paraId="53B94FAE" w14:textId="77777777" w:rsidR="00EE42D3" w:rsidRPr="00A13B1A" w:rsidRDefault="00EE42D3" w:rsidP="00EE42D3">
      <w:pPr>
        <w:widowControl w:val="0"/>
        <w:autoSpaceDE w:val="0"/>
        <w:autoSpaceDN w:val="0"/>
        <w:adjustRightInd w:val="0"/>
        <w:rPr>
          <w:rFonts w:cs="Helvetica"/>
        </w:rPr>
      </w:pPr>
    </w:p>
    <w:p w14:paraId="07329DBB" w14:textId="77777777" w:rsidR="00EE42D3" w:rsidRPr="00043CC2" w:rsidRDefault="00EE42D3" w:rsidP="00EE42D3">
      <w:pPr>
        <w:pStyle w:val="ListParagraph"/>
        <w:widowControl w:val="0"/>
        <w:numPr>
          <w:ilvl w:val="0"/>
          <w:numId w:val="2"/>
        </w:numPr>
        <w:autoSpaceDE w:val="0"/>
        <w:autoSpaceDN w:val="0"/>
        <w:adjustRightInd w:val="0"/>
        <w:rPr>
          <w:rFonts w:cs="Helvetica"/>
          <w:b/>
        </w:rPr>
      </w:pPr>
      <w:r w:rsidRPr="00A13B1A">
        <w:rPr>
          <w:rFonts w:cs="Helvetica"/>
          <w:b/>
        </w:rPr>
        <w:t xml:space="preserve">Legal Advice </w:t>
      </w:r>
    </w:p>
    <w:p w14:paraId="3BD9C867" w14:textId="5CA4E2BC" w:rsidR="00DE102A" w:rsidRPr="00A13B1A" w:rsidRDefault="00DE102A" w:rsidP="00DE102A">
      <w:pPr>
        <w:pStyle w:val="ListParagraph"/>
        <w:widowControl w:val="0"/>
        <w:numPr>
          <w:ilvl w:val="0"/>
          <w:numId w:val="4"/>
        </w:numPr>
        <w:autoSpaceDE w:val="0"/>
        <w:autoSpaceDN w:val="0"/>
        <w:adjustRightInd w:val="0"/>
        <w:rPr>
          <w:rFonts w:cs="Helvetica"/>
        </w:rPr>
      </w:pPr>
      <w:r w:rsidRPr="00A13B1A">
        <w:rPr>
          <w:rFonts w:cs="Helvetica"/>
        </w:rPr>
        <w:t>It is argued</w:t>
      </w:r>
      <w:r w:rsidR="0079685E">
        <w:rPr>
          <w:rFonts w:cs="Helvetica"/>
        </w:rPr>
        <w:t xml:space="preserve"> </w:t>
      </w:r>
      <w:r w:rsidRPr="00A13B1A">
        <w:rPr>
          <w:rFonts w:cs="Helvetica"/>
        </w:rPr>
        <w:t xml:space="preserve">that </w:t>
      </w:r>
      <w:r w:rsidR="001E22CA" w:rsidRPr="00A13B1A">
        <w:rPr>
          <w:rFonts w:cs="Helvetica"/>
        </w:rPr>
        <w:t>under California</w:t>
      </w:r>
      <w:r w:rsidRPr="00A13B1A">
        <w:rPr>
          <w:rFonts w:cs="Helvetica"/>
        </w:rPr>
        <w:t xml:space="preserve"> law, B</w:t>
      </w:r>
      <w:r w:rsidR="001E22CA" w:rsidRPr="00A13B1A">
        <w:rPr>
          <w:rFonts w:cs="Helvetica"/>
        </w:rPr>
        <w:t>oard members owe a legal duty of loyalty to corporation</w:t>
      </w:r>
      <w:r w:rsidRPr="00A13B1A">
        <w:rPr>
          <w:rFonts w:cs="Helvetica"/>
        </w:rPr>
        <w:t>, thus creating of paradox of</w:t>
      </w:r>
      <w:r w:rsidR="001E22CA" w:rsidRPr="00A13B1A">
        <w:rPr>
          <w:rFonts w:cs="Helvetica"/>
        </w:rPr>
        <w:t xml:space="preserve"> trying to do public governance via a private corporate.</w:t>
      </w:r>
      <w:r w:rsidRPr="00A13B1A">
        <w:rPr>
          <w:rFonts w:cs="Helvetica"/>
        </w:rPr>
        <w:t xml:space="preserve"> </w:t>
      </w:r>
      <w:r w:rsidR="009C598E" w:rsidRPr="00A13B1A">
        <w:rPr>
          <w:rFonts w:cs="Helvetica"/>
        </w:rPr>
        <w:t xml:space="preserve">The CCWG also </w:t>
      </w:r>
      <w:r w:rsidR="00EE42D3" w:rsidRPr="00A13B1A">
        <w:rPr>
          <w:rFonts w:cs="Helvetica"/>
        </w:rPr>
        <w:t>questioned</w:t>
      </w:r>
      <w:r w:rsidR="009C598E" w:rsidRPr="00A13B1A">
        <w:rPr>
          <w:rFonts w:cs="Helvetica"/>
        </w:rPr>
        <w:t xml:space="preserve"> </w:t>
      </w:r>
      <w:r w:rsidR="000A65DF" w:rsidRPr="00A13B1A">
        <w:rPr>
          <w:rFonts w:cs="Helvetica"/>
        </w:rPr>
        <w:t xml:space="preserve">what the Board action would be when confronting a community consensus to take an action that could put the corporation at risk of a lawsuit. </w:t>
      </w:r>
      <w:r w:rsidR="009C598E" w:rsidRPr="00A13B1A">
        <w:rPr>
          <w:rFonts w:cs="Helvetica"/>
        </w:rPr>
        <w:t xml:space="preserve"> </w:t>
      </w:r>
      <w:r w:rsidR="00B8121A">
        <w:rPr>
          <w:rFonts w:cs="Helvetica"/>
        </w:rPr>
        <w:t>There may be a tension between protecting the interests of the corporation and those of the global public</w:t>
      </w:r>
      <w:r w:rsidR="000A65DF" w:rsidRPr="00A13B1A">
        <w:rPr>
          <w:rFonts w:cs="Helvetica"/>
        </w:rPr>
        <w:t xml:space="preserve">. </w:t>
      </w:r>
    </w:p>
    <w:p w14:paraId="2CE9FD79" w14:textId="2B252BC8" w:rsidR="00644393" w:rsidRPr="00A13B1A" w:rsidRDefault="00DE102A" w:rsidP="00644393">
      <w:pPr>
        <w:pStyle w:val="ListParagraph"/>
        <w:widowControl w:val="0"/>
        <w:numPr>
          <w:ilvl w:val="0"/>
          <w:numId w:val="4"/>
        </w:numPr>
        <w:autoSpaceDE w:val="0"/>
        <w:autoSpaceDN w:val="0"/>
        <w:adjustRightInd w:val="0"/>
        <w:rPr>
          <w:rFonts w:cs="Helvetica"/>
        </w:rPr>
      </w:pPr>
      <w:r w:rsidRPr="00A13B1A">
        <w:rPr>
          <w:rFonts w:cs="Helvetica"/>
        </w:rPr>
        <w:t xml:space="preserve">CCWG was reminded that </w:t>
      </w:r>
      <w:r w:rsidR="0096173C" w:rsidRPr="00A13B1A">
        <w:rPr>
          <w:rFonts w:cs="Helvetica"/>
        </w:rPr>
        <w:t>ICANN</w:t>
      </w:r>
      <w:r w:rsidR="0079685E">
        <w:rPr>
          <w:rFonts w:cs="Helvetica"/>
        </w:rPr>
        <w:t xml:space="preserve"> </w:t>
      </w:r>
      <w:r w:rsidR="0096173C" w:rsidRPr="00A13B1A">
        <w:rPr>
          <w:rFonts w:cs="Helvetica"/>
        </w:rPr>
        <w:t>will comply with terms of agreements it enters into</w:t>
      </w:r>
      <w:r w:rsidRPr="00A13B1A">
        <w:rPr>
          <w:rFonts w:cs="Helvetica"/>
        </w:rPr>
        <w:t xml:space="preserve"> and that m</w:t>
      </w:r>
      <w:r w:rsidR="0096173C" w:rsidRPr="00A13B1A">
        <w:rPr>
          <w:rFonts w:cs="Helvetica"/>
        </w:rPr>
        <w:t>ajor agreement changes are published for public com</w:t>
      </w:r>
      <w:r w:rsidRPr="00A13B1A">
        <w:rPr>
          <w:rFonts w:cs="Helvetica"/>
        </w:rPr>
        <w:t>m</w:t>
      </w:r>
      <w:r w:rsidR="0096173C" w:rsidRPr="00A13B1A">
        <w:rPr>
          <w:rFonts w:cs="Helvetica"/>
        </w:rPr>
        <w:t xml:space="preserve">ent. </w:t>
      </w:r>
    </w:p>
    <w:p w14:paraId="27ADCD92" w14:textId="3CBAF64D" w:rsidR="00EE42D3" w:rsidRDefault="00E411C3" w:rsidP="00644393">
      <w:pPr>
        <w:pStyle w:val="ListParagraph"/>
        <w:widowControl w:val="0"/>
        <w:numPr>
          <w:ilvl w:val="0"/>
          <w:numId w:val="4"/>
        </w:numPr>
        <w:autoSpaceDE w:val="0"/>
        <w:autoSpaceDN w:val="0"/>
        <w:adjustRightInd w:val="0"/>
        <w:rPr>
          <w:rFonts w:cs="Helvetica"/>
        </w:rPr>
      </w:pPr>
      <w:r>
        <w:rPr>
          <w:rFonts w:cs="Helvetica"/>
        </w:rPr>
        <w:t>M</w:t>
      </w:r>
      <w:r w:rsidR="00EE42D3" w:rsidRPr="00A13B1A">
        <w:rPr>
          <w:rFonts w:cs="Helvetica"/>
        </w:rPr>
        <w:t xml:space="preserve">embers </w:t>
      </w:r>
      <w:r>
        <w:rPr>
          <w:rFonts w:cs="Helvetica"/>
        </w:rPr>
        <w:t xml:space="preserve">a considering requesting </w:t>
      </w:r>
      <w:r w:rsidR="00EE42D3" w:rsidRPr="00A13B1A">
        <w:rPr>
          <w:rFonts w:cs="Helvetica"/>
        </w:rPr>
        <w:t>legal advice from a subject m</w:t>
      </w:r>
      <w:r w:rsidR="008675CA">
        <w:rPr>
          <w:rFonts w:cs="Helvetica"/>
        </w:rPr>
        <w:t xml:space="preserve">atter expert in California Law </w:t>
      </w:r>
      <w:r w:rsidR="00EE42D3" w:rsidRPr="00A13B1A">
        <w:rPr>
          <w:rFonts w:cs="Helvetica"/>
        </w:rPr>
        <w:t xml:space="preserve">not for profit corporate law to shed light on the above. This party would need to be external to the ICANN sphere. </w:t>
      </w:r>
    </w:p>
    <w:p w14:paraId="51B41FDF" w14:textId="77777777" w:rsidR="00B01630" w:rsidRDefault="00B01630" w:rsidP="00B01630">
      <w:pPr>
        <w:pStyle w:val="ListParagraph"/>
        <w:widowControl w:val="0"/>
        <w:autoSpaceDE w:val="0"/>
        <w:autoSpaceDN w:val="0"/>
        <w:adjustRightInd w:val="0"/>
        <w:ind w:left="1080"/>
        <w:rPr>
          <w:rFonts w:cs="Helvetica"/>
        </w:rPr>
      </w:pPr>
    </w:p>
    <w:p w14:paraId="063792F2" w14:textId="77777777" w:rsidR="00B01630" w:rsidRPr="00B01630" w:rsidRDefault="00B01630" w:rsidP="00B01630">
      <w:pPr>
        <w:pStyle w:val="ListParagraph"/>
        <w:widowControl w:val="0"/>
        <w:numPr>
          <w:ilvl w:val="0"/>
          <w:numId w:val="2"/>
        </w:numPr>
        <w:autoSpaceDE w:val="0"/>
        <w:autoSpaceDN w:val="0"/>
        <w:adjustRightInd w:val="0"/>
        <w:rPr>
          <w:rFonts w:cs="Helvetica"/>
          <w:b/>
        </w:rPr>
      </w:pPr>
      <w:r w:rsidRPr="00B01630">
        <w:rPr>
          <w:rFonts w:cs="Helvetica"/>
          <w:b/>
        </w:rPr>
        <w:t>Scoping</w:t>
      </w:r>
      <w:r w:rsidR="00B63BFC">
        <w:rPr>
          <w:rFonts w:cs="Helvetica"/>
          <w:b/>
        </w:rPr>
        <w:t xml:space="preserve"> (also debated within WAs)</w:t>
      </w:r>
    </w:p>
    <w:p w14:paraId="1D0CF4BB" w14:textId="77777777" w:rsidR="00B01630" w:rsidRDefault="00B01630" w:rsidP="00B01630">
      <w:pPr>
        <w:pStyle w:val="ListParagraph"/>
        <w:widowControl w:val="0"/>
        <w:numPr>
          <w:ilvl w:val="1"/>
          <w:numId w:val="2"/>
        </w:numPr>
        <w:autoSpaceDE w:val="0"/>
        <w:autoSpaceDN w:val="0"/>
        <w:adjustRightInd w:val="0"/>
        <w:rPr>
          <w:rFonts w:cs="Helvetica"/>
        </w:rPr>
      </w:pPr>
      <w:r>
        <w:rPr>
          <w:rFonts w:cs="Helvetica"/>
        </w:rPr>
        <w:t xml:space="preserve">The CCWG offered edits to </w:t>
      </w:r>
      <w:r w:rsidR="00B63BFC">
        <w:rPr>
          <w:rFonts w:cs="Helvetica"/>
        </w:rPr>
        <w:t xml:space="preserve">the </w:t>
      </w:r>
      <w:hyperlink r:id="rId13" w:history="1">
        <w:r w:rsidR="00B63BFC" w:rsidRPr="00816BB8">
          <w:rPr>
            <w:rStyle w:val="Hyperlink"/>
            <w:rFonts w:cs="Helvetica"/>
          </w:rPr>
          <w:t xml:space="preserve">scoping </w:t>
        </w:r>
        <w:r w:rsidR="00816BB8" w:rsidRPr="00816BB8">
          <w:rPr>
            <w:rStyle w:val="Hyperlink"/>
            <w:rFonts w:cs="Helvetica"/>
          </w:rPr>
          <w:t>document</w:t>
        </w:r>
      </w:hyperlink>
      <w:r w:rsidR="00816BB8">
        <w:rPr>
          <w:rFonts w:cs="Helvetica"/>
        </w:rPr>
        <w:t xml:space="preserve">. The document offers a problem statement and has sections on to whom should ICANN be accountable, what is accountability, and what is the purpose of ICANN’s accountability. </w:t>
      </w:r>
    </w:p>
    <w:p w14:paraId="151560DC" w14:textId="77777777" w:rsidR="0051067B" w:rsidRPr="002C1D48" w:rsidRDefault="000903B8" w:rsidP="00EE42D3">
      <w:pPr>
        <w:pStyle w:val="ListParagraph"/>
        <w:widowControl w:val="0"/>
        <w:numPr>
          <w:ilvl w:val="1"/>
          <w:numId w:val="2"/>
        </w:numPr>
        <w:autoSpaceDE w:val="0"/>
        <w:autoSpaceDN w:val="0"/>
        <w:adjustRightInd w:val="0"/>
        <w:rPr>
          <w:rFonts w:cs="Helvetica"/>
        </w:rPr>
      </w:pPr>
      <w:r w:rsidRPr="002C1D48">
        <w:rPr>
          <w:rFonts w:cs="Helvetica"/>
        </w:rPr>
        <w:t xml:space="preserve">Edits were made to WS1 and WS2. Although laid out in the Charter, the evolving nature of these two definitions was emphasized as needed. </w:t>
      </w:r>
    </w:p>
    <w:p w14:paraId="703190DD" w14:textId="77777777" w:rsidR="00B35C31" w:rsidRPr="00A13B1A" w:rsidRDefault="00B35C31" w:rsidP="00D36AEC">
      <w:pPr>
        <w:pStyle w:val="Heading2"/>
        <w:rPr>
          <w:rFonts w:asciiTheme="minorHAnsi" w:hAnsiTheme="minorHAnsi"/>
        </w:rPr>
      </w:pPr>
      <w:r w:rsidRPr="00A13B1A">
        <w:rPr>
          <w:rFonts w:asciiTheme="minorHAnsi" w:hAnsiTheme="minorHAnsi"/>
        </w:rPr>
        <w:t>Work Area 1: Existing Accountability Mechanisms (including ATRT 1 &amp; ATRT 2 Recommendations) </w:t>
      </w:r>
    </w:p>
    <w:p w14:paraId="388F7049" w14:textId="77777777" w:rsidR="00D36AEC" w:rsidRPr="00A13B1A" w:rsidRDefault="00D36AEC" w:rsidP="00D36AEC"/>
    <w:p w14:paraId="71D3800D" w14:textId="77777777" w:rsidR="00D36AEC" w:rsidRPr="00A13B1A" w:rsidRDefault="00B63BFC" w:rsidP="005B1454">
      <w:pPr>
        <w:pStyle w:val="ListParagraph"/>
        <w:widowControl w:val="0"/>
        <w:numPr>
          <w:ilvl w:val="0"/>
          <w:numId w:val="3"/>
        </w:numPr>
        <w:autoSpaceDE w:val="0"/>
        <w:autoSpaceDN w:val="0"/>
        <w:adjustRightInd w:val="0"/>
        <w:rPr>
          <w:rFonts w:cs="Helvetica"/>
        </w:rPr>
      </w:pPr>
      <w:r>
        <w:rPr>
          <w:rFonts w:cs="Helvetica"/>
        </w:rPr>
        <w:t>WA</w:t>
      </w:r>
      <w:r w:rsidR="00BC45A4" w:rsidRPr="00A13B1A">
        <w:rPr>
          <w:rFonts w:cs="Helvetica"/>
        </w:rPr>
        <w:t xml:space="preserve"> 1 </w:t>
      </w:r>
      <w:r w:rsidR="00D36AEC" w:rsidRPr="00A13B1A">
        <w:rPr>
          <w:rFonts w:cs="Helvetica"/>
        </w:rPr>
        <w:t>discussed</w:t>
      </w:r>
      <w:r w:rsidR="00BC45A4" w:rsidRPr="00A13B1A">
        <w:rPr>
          <w:rFonts w:cs="Helvetica"/>
        </w:rPr>
        <w:t xml:space="preserve"> the </w:t>
      </w:r>
      <w:hyperlink r:id="rId14" w:history="1">
        <w:r w:rsidR="00BC45A4" w:rsidRPr="00A13B1A">
          <w:rPr>
            <w:rStyle w:val="Hyperlink"/>
            <w:rFonts w:cs="Helvetica"/>
          </w:rPr>
          <w:t>inventory</w:t>
        </w:r>
      </w:hyperlink>
      <w:r w:rsidR="00BC45A4" w:rsidRPr="00A13B1A">
        <w:rPr>
          <w:rFonts w:cs="Helvetica"/>
        </w:rPr>
        <w:t xml:space="preserve"> of ICANN’s accountability mechanisms circulated by ICANN staff. </w:t>
      </w:r>
    </w:p>
    <w:p w14:paraId="59E46344" w14:textId="6B87C6E8" w:rsidR="005B1454" w:rsidRDefault="00BC45A4" w:rsidP="005B1454">
      <w:pPr>
        <w:pStyle w:val="ListParagraph"/>
        <w:widowControl w:val="0"/>
        <w:numPr>
          <w:ilvl w:val="0"/>
          <w:numId w:val="3"/>
        </w:numPr>
        <w:autoSpaceDE w:val="0"/>
        <w:autoSpaceDN w:val="0"/>
        <w:adjustRightInd w:val="0"/>
        <w:rPr>
          <w:rFonts w:cs="Helvetica"/>
        </w:rPr>
      </w:pPr>
      <w:r w:rsidRPr="00A13B1A">
        <w:rPr>
          <w:rFonts w:cs="Helvetica"/>
        </w:rPr>
        <w:t>Some have expressed the opinion that mechanisms labeled “redress” ought to be c</w:t>
      </w:r>
      <w:r w:rsidR="00F06D31" w:rsidRPr="00A13B1A">
        <w:rPr>
          <w:rFonts w:cs="Helvetica"/>
        </w:rPr>
        <w:t xml:space="preserve">ategorized as “review”: the </w:t>
      </w:r>
      <w:r w:rsidR="005B1454" w:rsidRPr="00A13B1A">
        <w:rPr>
          <w:rFonts w:cs="Helvetica"/>
        </w:rPr>
        <w:t>Recon</w:t>
      </w:r>
      <w:r w:rsidR="00BF7FED">
        <w:rPr>
          <w:rFonts w:cs="Helvetica"/>
        </w:rPr>
        <w:t>sideration</w:t>
      </w:r>
      <w:r w:rsidR="00F06D31" w:rsidRPr="00A13B1A">
        <w:rPr>
          <w:rFonts w:cs="Helvetica"/>
        </w:rPr>
        <w:t xml:space="preserve"> Request, </w:t>
      </w:r>
      <w:r w:rsidR="005B1454" w:rsidRPr="00A13B1A">
        <w:rPr>
          <w:rFonts w:cs="Helvetica"/>
        </w:rPr>
        <w:t xml:space="preserve">IRP and the Ombudsman </w:t>
      </w:r>
      <w:r w:rsidR="00F06D31" w:rsidRPr="00A13B1A">
        <w:rPr>
          <w:rFonts w:cs="Helvetica"/>
        </w:rPr>
        <w:t>make recommendations to the B</w:t>
      </w:r>
      <w:r w:rsidR="005B1454" w:rsidRPr="00A13B1A">
        <w:rPr>
          <w:rFonts w:cs="Helvetica"/>
        </w:rPr>
        <w:t xml:space="preserve">oard </w:t>
      </w:r>
      <w:r w:rsidR="00F06D31" w:rsidRPr="00A13B1A">
        <w:rPr>
          <w:rFonts w:cs="Helvetica"/>
        </w:rPr>
        <w:t xml:space="preserve">but </w:t>
      </w:r>
      <w:r w:rsidR="005B1454" w:rsidRPr="00A13B1A">
        <w:rPr>
          <w:rFonts w:cs="Helvetica"/>
        </w:rPr>
        <w:t>have no au</w:t>
      </w:r>
      <w:r w:rsidR="00F06D31" w:rsidRPr="00A13B1A">
        <w:rPr>
          <w:rFonts w:cs="Helvetica"/>
        </w:rPr>
        <w:t>thority to set aside a decision</w:t>
      </w:r>
      <w:r w:rsidR="003C6DC1">
        <w:rPr>
          <w:rFonts w:cs="Helvetica"/>
        </w:rPr>
        <w:t xml:space="preserve"> (i.e. lack redress)</w:t>
      </w:r>
    </w:p>
    <w:p w14:paraId="29C0FAF3" w14:textId="77777777" w:rsidR="00BF7FED" w:rsidRPr="00BF7FED" w:rsidRDefault="00BF7FED" w:rsidP="00BF7FED">
      <w:pPr>
        <w:pStyle w:val="ListParagraph"/>
        <w:widowControl w:val="0"/>
        <w:numPr>
          <w:ilvl w:val="0"/>
          <w:numId w:val="3"/>
        </w:numPr>
        <w:autoSpaceDE w:val="0"/>
        <w:autoSpaceDN w:val="0"/>
        <w:adjustRightInd w:val="0"/>
        <w:rPr>
          <w:rFonts w:cs="Helvetica"/>
        </w:rPr>
      </w:pPr>
      <w:r>
        <w:rPr>
          <w:rFonts w:cs="Helvetica"/>
        </w:rPr>
        <w:t>Is it</w:t>
      </w:r>
      <w:r w:rsidRPr="00A13B1A">
        <w:rPr>
          <w:rFonts w:cs="Helvetica"/>
        </w:rPr>
        <w:t xml:space="preserve"> possible to provide redress where a review has found that a decision has violated the bylaws etc. and where the review has recommend</w:t>
      </w:r>
      <w:r>
        <w:rPr>
          <w:rFonts w:cs="Helvetica"/>
        </w:rPr>
        <w:t>ed that ICANN provide redress?</w:t>
      </w:r>
      <w:r w:rsidRPr="00A13B1A">
        <w:rPr>
          <w:rFonts w:cs="Helvetica"/>
        </w:rPr>
        <w:t xml:space="preserve"> </w:t>
      </w:r>
      <w:r w:rsidRPr="00BF7FED">
        <w:rPr>
          <w:rFonts w:cs="Courier"/>
          <w:color w:val="000000"/>
        </w:rPr>
        <w:t xml:space="preserve">In general when one of the existing accountability mechanisms finds fault in a decision by the Board, the Board would be seeking to provide some form of redress to the complainant. </w:t>
      </w:r>
      <w:r>
        <w:rPr>
          <w:rFonts w:cs="Courier"/>
          <w:color w:val="000000"/>
        </w:rPr>
        <w:t>T</w:t>
      </w:r>
      <w:r w:rsidRPr="00BF7FED">
        <w:rPr>
          <w:rFonts w:cs="Courier"/>
          <w:color w:val="000000"/>
        </w:rPr>
        <w:t>he Board still does have discretion to approve or not approve any specific recommendation for redress.</w:t>
      </w:r>
    </w:p>
    <w:p w14:paraId="6B680E8C" w14:textId="77777777" w:rsidR="00BC45A4" w:rsidRPr="00A13B1A" w:rsidRDefault="00F06D31" w:rsidP="00BC45A4">
      <w:pPr>
        <w:pStyle w:val="ListParagraph"/>
        <w:widowControl w:val="0"/>
        <w:numPr>
          <w:ilvl w:val="0"/>
          <w:numId w:val="3"/>
        </w:numPr>
        <w:autoSpaceDE w:val="0"/>
        <w:autoSpaceDN w:val="0"/>
        <w:adjustRightInd w:val="0"/>
        <w:rPr>
          <w:rFonts w:cs="Helvetica"/>
        </w:rPr>
      </w:pPr>
      <w:r w:rsidRPr="00A13B1A">
        <w:rPr>
          <w:rFonts w:cs="Helvetica"/>
        </w:rPr>
        <w:t>The i</w:t>
      </w:r>
      <w:r w:rsidR="005B1454" w:rsidRPr="00A13B1A">
        <w:rPr>
          <w:rFonts w:cs="Helvetica"/>
        </w:rPr>
        <w:t xml:space="preserve">nventory </w:t>
      </w:r>
      <w:r w:rsidRPr="00A13B1A">
        <w:rPr>
          <w:rFonts w:cs="Helvetica"/>
        </w:rPr>
        <w:t>fails to</w:t>
      </w:r>
      <w:r w:rsidR="005B1454" w:rsidRPr="00A13B1A">
        <w:rPr>
          <w:rFonts w:cs="Helvetica"/>
        </w:rPr>
        <w:t xml:space="preserve"> mention transparency</w:t>
      </w:r>
      <w:r w:rsidRPr="00A13B1A">
        <w:rPr>
          <w:rFonts w:cs="Helvetica"/>
        </w:rPr>
        <w:t xml:space="preserve"> </w:t>
      </w:r>
      <w:r w:rsidR="00BF7FED">
        <w:rPr>
          <w:rFonts w:cs="Helvetica"/>
        </w:rPr>
        <w:t xml:space="preserve">mechanisms </w:t>
      </w:r>
      <w:r w:rsidRPr="00A13B1A">
        <w:rPr>
          <w:rFonts w:cs="Helvetica"/>
        </w:rPr>
        <w:t xml:space="preserve">as well as the Cooperative Engagement Process (CEP) that precedes the IRP. </w:t>
      </w:r>
    </w:p>
    <w:p w14:paraId="1202FBA3" w14:textId="77777777" w:rsidR="00B76160" w:rsidRPr="00A13B1A" w:rsidRDefault="00B76160" w:rsidP="00BF7FED">
      <w:pPr>
        <w:pStyle w:val="ListParagraph"/>
        <w:widowControl w:val="0"/>
        <w:autoSpaceDE w:val="0"/>
        <w:autoSpaceDN w:val="0"/>
        <w:adjustRightInd w:val="0"/>
        <w:rPr>
          <w:rFonts w:cs="Helvetica"/>
        </w:rPr>
      </w:pPr>
    </w:p>
    <w:p w14:paraId="177C498D" w14:textId="77777777" w:rsidR="00B35C31" w:rsidRDefault="00B35C31" w:rsidP="00BF7FED">
      <w:pPr>
        <w:pStyle w:val="Heading2"/>
      </w:pPr>
      <w:r w:rsidRPr="00A13B1A">
        <w:t>Work Area 2: Review Input from Public Comment and Categorize Items into Work Streams 1 &amp; 2 (WS1 WS2)</w:t>
      </w:r>
    </w:p>
    <w:p w14:paraId="161E5595" w14:textId="77777777" w:rsidR="00BF7FED" w:rsidRPr="00BF7FED" w:rsidRDefault="00BF7FED" w:rsidP="00BF7FED"/>
    <w:p w14:paraId="24C5E0D0" w14:textId="77777777" w:rsidR="00D603E7" w:rsidRDefault="00EE4FCA" w:rsidP="00EE4FCA">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color w:val="000000"/>
          <w:szCs w:val="20"/>
        </w:rPr>
      </w:pPr>
      <w:r w:rsidRPr="00EE4FCA">
        <w:rPr>
          <w:rFonts w:cs="Courier"/>
          <w:color w:val="000000"/>
          <w:szCs w:val="20"/>
        </w:rPr>
        <w:t>A suggestion was made</w:t>
      </w:r>
      <w:r w:rsidR="00D603E7" w:rsidRPr="00EE4FCA">
        <w:rPr>
          <w:rFonts w:cs="Courier"/>
          <w:color w:val="000000"/>
          <w:szCs w:val="20"/>
        </w:rPr>
        <w:t xml:space="preserve"> to include </w:t>
      </w:r>
      <w:r>
        <w:rPr>
          <w:rFonts w:cs="Courier"/>
          <w:color w:val="000000"/>
          <w:szCs w:val="20"/>
        </w:rPr>
        <w:t xml:space="preserve">a </w:t>
      </w:r>
      <w:r w:rsidR="00D603E7" w:rsidRPr="00EE4FCA">
        <w:rPr>
          <w:rFonts w:cs="Courier"/>
          <w:color w:val="000000"/>
          <w:szCs w:val="20"/>
        </w:rPr>
        <w:t xml:space="preserve">measure </w:t>
      </w:r>
      <w:r>
        <w:rPr>
          <w:rFonts w:cs="Courier"/>
          <w:color w:val="000000"/>
          <w:szCs w:val="20"/>
        </w:rPr>
        <w:t>or mechanism to replace the AoC, eith</w:t>
      </w:r>
      <w:r w:rsidR="00783031">
        <w:rPr>
          <w:rFonts w:cs="Courier"/>
          <w:color w:val="000000"/>
          <w:szCs w:val="20"/>
        </w:rPr>
        <w:t>er</w:t>
      </w:r>
      <w:r w:rsidR="00D603E7" w:rsidRPr="00EE4FCA">
        <w:rPr>
          <w:rFonts w:cs="Courier"/>
          <w:color w:val="000000"/>
          <w:szCs w:val="20"/>
        </w:rPr>
        <w:t xml:space="preserve">:  a) A new AoC, or some other document, between ICANN and the community.  b) A new AoC or some other document between the IANA functions manager and the community.  </w:t>
      </w:r>
    </w:p>
    <w:p w14:paraId="564E616E" w14:textId="77777777" w:rsidR="00A04E50" w:rsidRPr="00EE4FCA" w:rsidRDefault="00A04E50" w:rsidP="00EE4FCA">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color w:val="000000"/>
          <w:szCs w:val="20"/>
        </w:rPr>
      </w:pPr>
      <w:r>
        <w:rPr>
          <w:rFonts w:cs="Courier"/>
          <w:color w:val="000000"/>
          <w:szCs w:val="20"/>
        </w:rPr>
        <w:t xml:space="preserve">Edits made to the </w:t>
      </w:r>
      <w:hyperlink r:id="rId15" w:history="1">
        <w:r w:rsidRPr="00A04E50">
          <w:rPr>
            <w:rStyle w:val="Hyperlink"/>
            <w:rFonts w:cs="Courier"/>
            <w:szCs w:val="20"/>
          </w:rPr>
          <w:t>inventory</w:t>
        </w:r>
      </w:hyperlink>
      <w:r>
        <w:rPr>
          <w:rFonts w:cs="Courier"/>
          <w:color w:val="000000"/>
          <w:szCs w:val="20"/>
        </w:rPr>
        <w:t xml:space="preserve"> were flagged. </w:t>
      </w:r>
    </w:p>
    <w:p w14:paraId="17FC98F2" w14:textId="77777777" w:rsidR="00D603E7" w:rsidRDefault="00D603E7" w:rsidP="00B35C31">
      <w:pPr>
        <w:widowControl w:val="0"/>
        <w:autoSpaceDE w:val="0"/>
        <w:autoSpaceDN w:val="0"/>
        <w:adjustRightInd w:val="0"/>
        <w:rPr>
          <w:rFonts w:cs="Helvetica"/>
        </w:rPr>
      </w:pPr>
    </w:p>
    <w:p w14:paraId="5084498A" w14:textId="77777777" w:rsidR="00B35C31" w:rsidRPr="00A13B1A" w:rsidRDefault="00B35C31" w:rsidP="00A04E50">
      <w:pPr>
        <w:pStyle w:val="Heading2"/>
      </w:pPr>
      <w:r w:rsidRPr="00A13B1A">
        <w:t>Work Area 4: Identify Contingencies (especially in relation to Work Stream 1)</w:t>
      </w:r>
    </w:p>
    <w:p w14:paraId="7E0613DD" w14:textId="77777777" w:rsidR="00FF0FBD" w:rsidRDefault="00FF0FBD"/>
    <w:p w14:paraId="4A34F23B" w14:textId="77777777" w:rsidR="00A04E50" w:rsidRDefault="00A04E50" w:rsidP="00C844F4">
      <w:pPr>
        <w:pStyle w:val="ListParagraph"/>
        <w:numPr>
          <w:ilvl w:val="0"/>
          <w:numId w:val="6"/>
        </w:numPr>
        <w:rPr>
          <w:rFonts w:cs="Courier"/>
          <w:color w:val="000000"/>
          <w:szCs w:val="20"/>
        </w:rPr>
      </w:pPr>
      <w:r w:rsidRPr="00C844F4">
        <w:rPr>
          <w:rFonts w:cs="Courier"/>
          <w:color w:val="000000"/>
          <w:szCs w:val="20"/>
        </w:rPr>
        <w:t xml:space="preserve">An </w:t>
      </w:r>
      <w:hyperlink r:id="rId16" w:history="1">
        <w:r w:rsidRPr="00C844F4">
          <w:rPr>
            <w:rStyle w:val="Hyperlink"/>
            <w:rFonts w:cs="Courier"/>
            <w:szCs w:val="20"/>
          </w:rPr>
          <w:t>initial list</w:t>
        </w:r>
      </w:hyperlink>
      <w:r w:rsidRPr="00C844F4">
        <w:rPr>
          <w:rFonts w:cs="Courier"/>
          <w:color w:val="000000"/>
          <w:szCs w:val="20"/>
        </w:rPr>
        <w:t xml:space="preserve"> was shared with the WA</w:t>
      </w:r>
      <w:r w:rsidR="00C844F4">
        <w:rPr>
          <w:rFonts w:cs="Courier"/>
          <w:color w:val="000000"/>
          <w:szCs w:val="20"/>
        </w:rPr>
        <w:t xml:space="preserve">, which was </w:t>
      </w:r>
      <w:hyperlink r:id="rId17" w:anchor="heading=h.rraejy2i0t2g" w:history="1">
        <w:r w:rsidR="00C844F4" w:rsidRPr="00C844F4">
          <w:rPr>
            <w:rStyle w:val="Hyperlink"/>
            <w:rFonts w:cs="Courier"/>
            <w:szCs w:val="20"/>
          </w:rPr>
          <w:t>augmented</w:t>
        </w:r>
      </w:hyperlink>
      <w:r w:rsidR="00C844F4">
        <w:rPr>
          <w:rFonts w:cs="Courier"/>
          <w:color w:val="000000"/>
          <w:szCs w:val="20"/>
        </w:rPr>
        <w:t xml:space="preserve"> following discussions the CCWG call and WA4 discussions.  </w:t>
      </w:r>
    </w:p>
    <w:p w14:paraId="6C3D9F77" w14:textId="77777777" w:rsidR="00C844F4" w:rsidRPr="00C844F4" w:rsidRDefault="00C844F4" w:rsidP="00C844F4">
      <w:pPr>
        <w:pStyle w:val="ListParagraph"/>
        <w:numPr>
          <w:ilvl w:val="0"/>
          <w:numId w:val="6"/>
        </w:numPr>
        <w:rPr>
          <w:rFonts w:cs="Courier"/>
          <w:color w:val="000000"/>
          <w:szCs w:val="20"/>
        </w:rPr>
      </w:pPr>
      <w:r>
        <w:rPr>
          <w:rFonts w:cs="Courier"/>
          <w:color w:val="000000"/>
          <w:szCs w:val="20"/>
        </w:rPr>
        <w:t>T</w:t>
      </w:r>
      <w:r w:rsidR="00D918AE">
        <w:rPr>
          <w:rFonts w:cs="Courier"/>
          <w:color w:val="000000"/>
          <w:szCs w:val="20"/>
        </w:rPr>
        <w:t>he need for scenarios to be all-</w:t>
      </w:r>
      <w:r>
        <w:rPr>
          <w:rFonts w:cs="Courier"/>
          <w:color w:val="000000"/>
          <w:szCs w:val="20"/>
        </w:rPr>
        <w:t xml:space="preserve">inclusive was emphasized so that there can be a robust debate about appropriate stress tests. </w:t>
      </w:r>
    </w:p>
    <w:p w14:paraId="131B96DD" w14:textId="77777777" w:rsidR="00C844F4" w:rsidRDefault="00C844F4">
      <w:pPr>
        <w:rPr>
          <w:rFonts w:cs="Courier"/>
          <w:color w:val="000000"/>
          <w:szCs w:val="20"/>
        </w:rPr>
      </w:pPr>
    </w:p>
    <w:p w14:paraId="24774EDD" w14:textId="77777777" w:rsidR="00C844F4" w:rsidRDefault="00C844F4">
      <w:pPr>
        <w:rPr>
          <w:rFonts w:cs="Courier"/>
          <w:color w:val="000000"/>
          <w:szCs w:val="20"/>
        </w:rPr>
      </w:pPr>
    </w:p>
    <w:p w14:paraId="10193F11" w14:textId="77777777" w:rsidR="00A04E50" w:rsidRPr="00A13B1A" w:rsidRDefault="00A04E50"/>
    <w:sectPr w:rsidR="00A04E50" w:rsidRPr="00A13B1A" w:rsidSect="00754668">
      <w:pgSz w:w="11900" w:h="16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E585A"/>
    <w:multiLevelType w:val="hybridMultilevel"/>
    <w:tmpl w:val="7932DF6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6963442"/>
    <w:multiLevelType w:val="hybridMultilevel"/>
    <w:tmpl w:val="01DA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4F6104"/>
    <w:multiLevelType w:val="hybridMultilevel"/>
    <w:tmpl w:val="6408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037D79"/>
    <w:multiLevelType w:val="hybridMultilevel"/>
    <w:tmpl w:val="B23E7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466724"/>
    <w:multiLevelType w:val="hybridMultilevel"/>
    <w:tmpl w:val="24229D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64111B2"/>
    <w:multiLevelType w:val="hybridMultilevel"/>
    <w:tmpl w:val="0E705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D21C4B"/>
    <w:multiLevelType w:val="hybridMultilevel"/>
    <w:tmpl w:val="BB064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oNotTrackMove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C31"/>
    <w:rsid w:val="00043CC2"/>
    <w:rsid w:val="000579EB"/>
    <w:rsid w:val="000903B8"/>
    <w:rsid w:val="0009116C"/>
    <w:rsid w:val="000A65DF"/>
    <w:rsid w:val="00113AF0"/>
    <w:rsid w:val="00160EEC"/>
    <w:rsid w:val="001C611A"/>
    <w:rsid w:val="001E22CA"/>
    <w:rsid w:val="001E34B7"/>
    <w:rsid w:val="00200CFA"/>
    <w:rsid w:val="00240160"/>
    <w:rsid w:val="002672A4"/>
    <w:rsid w:val="00295459"/>
    <w:rsid w:val="002B0854"/>
    <w:rsid w:val="002B3E8C"/>
    <w:rsid w:val="002C1D48"/>
    <w:rsid w:val="002D4705"/>
    <w:rsid w:val="002E2E68"/>
    <w:rsid w:val="002E7539"/>
    <w:rsid w:val="003035A0"/>
    <w:rsid w:val="00324058"/>
    <w:rsid w:val="0033660C"/>
    <w:rsid w:val="003C6DC1"/>
    <w:rsid w:val="003E444B"/>
    <w:rsid w:val="003E67E2"/>
    <w:rsid w:val="003F0C19"/>
    <w:rsid w:val="00416BA8"/>
    <w:rsid w:val="00416DFC"/>
    <w:rsid w:val="00476A55"/>
    <w:rsid w:val="00485DF4"/>
    <w:rsid w:val="00487780"/>
    <w:rsid w:val="004E0129"/>
    <w:rsid w:val="00504C2D"/>
    <w:rsid w:val="0051067B"/>
    <w:rsid w:val="00574936"/>
    <w:rsid w:val="005B1454"/>
    <w:rsid w:val="005E6D10"/>
    <w:rsid w:val="006144C2"/>
    <w:rsid w:val="00644393"/>
    <w:rsid w:val="00673990"/>
    <w:rsid w:val="00694620"/>
    <w:rsid w:val="006F5B25"/>
    <w:rsid w:val="007021B3"/>
    <w:rsid w:val="00754668"/>
    <w:rsid w:val="007755D0"/>
    <w:rsid w:val="00783031"/>
    <w:rsid w:val="0079685E"/>
    <w:rsid w:val="00816BB8"/>
    <w:rsid w:val="00823EB4"/>
    <w:rsid w:val="00864F34"/>
    <w:rsid w:val="008675CA"/>
    <w:rsid w:val="00882294"/>
    <w:rsid w:val="00884316"/>
    <w:rsid w:val="008947E6"/>
    <w:rsid w:val="008E13BA"/>
    <w:rsid w:val="008F6BB1"/>
    <w:rsid w:val="009025D8"/>
    <w:rsid w:val="0092673F"/>
    <w:rsid w:val="0093415D"/>
    <w:rsid w:val="0095747C"/>
    <w:rsid w:val="0096173C"/>
    <w:rsid w:val="00964ED4"/>
    <w:rsid w:val="00977087"/>
    <w:rsid w:val="009A049C"/>
    <w:rsid w:val="009C598E"/>
    <w:rsid w:val="00A02F60"/>
    <w:rsid w:val="00A04E50"/>
    <w:rsid w:val="00A13B1A"/>
    <w:rsid w:val="00A17D72"/>
    <w:rsid w:val="00A82DC9"/>
    <w:rsid w:val="00A96ACF"/>
    <w:rsid w:val="00AF1ABA"/>
    <w:rsid w:val="00AF3003"/>
    <w:rsid w:val="00B01630"/>
    <w:rsid w:val="00B12A39"/>
    <w:rsid w:val="00B35C31"/>
    <w:rsid w:val="00B62D61"/>
    <w:rsid w:val="00B63BFC"/>
    <w:rsid w:val="00B76160"/>
    <w:rsid w:val="00B8121A"/>
    <w:rsid w:val="00BC1C33"/>
    <w:rsid w:val="00BC45A4"/>
    <w:rsid w:val="00BF7FED"/>
    <w:rsid w:val="00C078C1"/>
    <w:rsid w:val="00C144B3"/>
    <w:rsid w:val="00C20D66"/>
    <w:rsid w:val="00C25D50"/>
    <w:rsid w:val="00C314FC"/>
    <w:rsid w:val="00C436DC"/>
    <w:rsid w:val="00C52245"/>
    <w:rsid w:val="00C665A6"/>
    <w:rsid w:val="00C844F4"/>
    <w:rsid w:val="00CB3388"/>
    <w:rsid w:val="00CB3A83"/>
    <w:rsid w:val="00CB56B6"/>
    <w:rsid w:val="00CC4CD8"/>
    <w:rsid w:val="00CC65A7"/>
    <w:rsid w:val="00D21765"/>
    <w:rsid w:val="00D36AEC"/>
    <w:rsid w:val="00D42DCF"/>
    <w:rsid w:val="00D603E7"/>
    <w:rsid w:val="00D66022"/>
    <w:rsid w:val="00D918AE"/>
    <w:rsid w:val="00DB730E"/>
    <w:rsid w:val="00DC5D4E"/>
    <w:rsid w:val="00DE102A"/>
    <w:rsid w:val="00DF33CC"/>
    <w:rsid w:val="00E11C99"/>
    <w:rsid w:val="00E411C3"/>
    <w:rsid w:val="00E70B2D"/>
    <w:rsid w:val="00E979D2"/>
    <w:rsid w:val="00EC12B0"/>
    <w:rsid w:val="00ED742D"/>
    <w:rsid w:val="00EE42D3"/>
    <w:rsid w:val="00EE4FCA"/>
    <w:rsid w:val="00EE6803"/>
    <w:rsid w:val="00EF5945"/>
    <w:rsid w:val="00F06D31"/>
    <w:rsid w:val="00F14EB6"/>
    <w:rsid w:val="00FF0FBD"/>
    <w:rsid w:val="00FF7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F75F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C31"/>
  </w:style>
  <w:style w:type="paragraph" w:styleId="Heading2">
    <w:name w:val="heading 2"/>
    <w:basedOn w:val="Normal"/>
    <w:next w:val="Normal"/>
    <w:link w:val="Heading2Char"/>
    <w:uiPriority w:val="9"/>
    <w:unhideWhenUsed/>
    <w:qFormat/>
    <w:rsid w:val="00B35C3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C31"/>
    <w:pPr>
      <w:ind w:left="720"/>
      <w:contextualSpacing/>
    </w:pPr>
  </w:style>
  <w:style w:type="character" w:styleId="Hyperlink">
    <w:name w:val="Hyperlink"/>
    <w:basedOn w:val="DefaultParagraphFont"/>
    <w:uiPriority w:val="99"/>
    <w:unhideWhenUsed/>
    <w:rsid w:val="00B35C31"/>
    <w:rPr>
      <w:color w:val="0000FF" w:themeColor="hyperlink"/>
      <w:u w:val="single"/>
    </w:rPr>
  </w:style>
  <w:style w:type="paragraph" w:styleId="Title">
    <w:name w:val="Title"/>
    <w:basedOn w:val="Normal"/>
    <w:next w:val="Normal"/>
    <w:link w:val="TitleChar"/>
    <w:uiPriority w:val="10"/>
    <w:qFormat/>
    <w:rsid w:val="00B35C3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5C3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35C31"/>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semiHidden/>
    <w:unhideWhenUsed/>
    <w:rsid w:val="00C665A6"/>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C665A6"/>
    <w:rPr>
      <w:rFonts w:ascii="Courier" w:hAnsi="Courier"/>
      <w:sz w:val="20"/>
      <w:szCs w:val="20"/>
    </w:rPr>
  </w:style>
  <w:style w:type="character" w:styleId="FollowedHyperlink">
    <w:name w:val="FollowedHyperlink"/>
    <w:basedOn w:val="DefaultParagraphFont"/>
    <w:uiPriority w:val="99"/>
    <w:semiHidden/>
    <w:unhideWhenUsed/>
    <w:rsid w:val="00C144B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C31"/>
  </w:style>
  <w:style w:type="paragraph" w:styleId="Heading2">
    <w:name w:val="heading 2"/>
    <w:basedOn w:val="Normal"/>
    <w:next w:val="Normal"/>
    <w:link w:val="Heading2Char"/>
    <w:uiPriority w:val="9"/>
    <w:unhideWhenUsed/>
    <w:qFormat/>
    <w:rsid w:val="00B35C3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C31"/>
    <w:pPr>
      <w:ind w:left="720"/>
      <w:contextualSpacing/>
    </w:pPr>
  </w:style>
  <w:style w:type="character" w:styleId="Hyperlink">
    <w:name w:val="Hyperlink"/>
    <w:basedOn w:val="DefaultParagraphFont"/>
    <w:uiPriority w:val="99"/>
    <w:unhideWhenUsed/>
    <w:rsid w:val="00B35C31"/>
    <w:rPr>
      <w:color w:val="0000FF" w:themeColor="hyperlink"/>
      <w:u w:val="single"/>
    </w:rPr>
  </w:style>
  <w:style w:type="paragraph" w:styleId="Title">
    <w:name w:val="Title"/>
    <w:basedOn w:val="Normal"/>
    <w:next w:val="Normal"/>
    <w:link w:val="TitleChar"/>
    <w:uiPriority w:val="10"/>
    <w:qFormat/>
    <w:rsid w:val="00B35C3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5C3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35C31"/>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semiHidden/>
    <w:unhideWhenUsed/>
    <w:rsid w:val="00C665A6"/>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C665A6"/>
    <w:rPr>
      <w:rFonts w:ascii="Courier" w:hAnsi="Courier"/>
      <w:sz w:val="20"/>
      <w:szCs w:val="20"/>
    </w:rPr>
  </w:style>
  <w:style w:type="character" w:styleId="FollowedHyperlink">
    <w:name w:val="FollowedHyperlink"/>
    <w:basedOn w:val="DefaultParagraphFont"/>
    <w:uiPriority w:val="99"/>
    <w:semiHidden/>
    <w:unhideWhenUsed/>
    <w:rsid w:val="00C144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289779">
      <w:bodyDiv w:val="1"/>
      <w:marLeft w:val="0"/>
      <w:marRight w:val="0"/>
      <w:marTop w:val="0"/>
      <w:marBottom w:val="0"/>
      <w:divBdr>
        <w:top w:val="none" w:sz="0" w:space="0" w:color="auto"/>
        <w:left w:val="none" w:sz="0" w:space="0" w:color="auto"/>
        <w:bottom w:val="none" w:sz="0" w:space="0" w:color="auto"/>
        <w:right w:val="none" w:sz="0" w:space="0" w:color="auto"/>
      </w:divBdr>
    </w:div>
    <w:div w:id="536043168">
      <w:bodyDiv w:val="1"/>
      <w:marLeft w:val="0"/>
      <w:marRight w:val="0"/>
      <w:marTop w:val="0"/>
      <w:marBottom w:val="0"/>
      <w:divBdr>
        <w:top w:val="none" w:sz="0" w:space="0" w:color="auto"/>
        <w:left w:val="none" w:sz="0" w:space="0" w:color="auto"/>
        <w:bottom w:val="none" w:sz="0" w:space="0" w:color="auto"/>
        <w:right w:val="none" w:sz="0" w:space="0" w:color="auto"/>
      </w:divBdr>
    </w:div>
    <w:div w:id="686324509">
      <w:bodyDiv w:val="1"/>
      <w:marLeft w:val="0"/>
      <w:marRight w:val="0"/>
      <w:marTop w:val="0"/>
      <w:marBottom w:val="0"/>
      <w:divBdr>
        <w:top w:val="none" w:sz="0" w:space="0" w:color="auto"/>
        <w:left w:val="none" w:sz="0" w:space="0" w:color="auto"/>
        <w:bottom w:val="none" w:sz="0" w:space="0" w:color="auto"/>
        <w:right w:val="none" w:sz="0" w:space="0" w:color="auto"/>
      </w:divBdr>
    </w:div>
    <w:div w:id="831601073">
      <w:bodyDiv w:val="1"/>
      <w:marLeft w:val="0"/>
      <w:marRight w:val="0"/>
      <w:marTop w:val="0"/>
      <w:marBottom w:val="0"/>
      <w:divBdr>
        <w:top w:val="none" w:sz="0" w:space="0" w:color="auto"/>
        <w:left w:val="none" w:sz="0" w:space="0" w:color="auto"/>
        <w:bottom w:val="none" w:sz="0" w:space="0" w:color="auto"/>
        <w:right w:val="none" w:sz="0" w:space="0" w:color="auto"/>
      </w:divBdr>
    </w:div>
    <w:div w:id="902135140">
      <w:bodyDiv w:val="1"/>
      <w:marLeft w:val="0"/>
      <w:marRight w:val="0"/>
      <w:marTop w:val="0"/>
      <w:marBottom w:val="0"/>
      <w:divBdr>
        <w:top w:val="none" w:sz="0" w:space="0" w:color="auto"/>
        <w:left w:val="none" w:sz="0" w:space="0" w:color="auto"/>
        <w:bottom w:val="none" w:sz="0" w:space="0" w:color="auto"/>
        <w:right w:val="none" w:sz="0" w:space="0" w:color="auto"/>
      </w:divBdr>
    </w:div>
    <w:div w:id="1163352885">
      <w:bodyDiv w:val="1"/>
      <w:marLeft w:val="0"/>
      <w:marRight w:val="0"/>
      <w:marTop w:val="0"/>
      <w:marBottom w:val="0"/>
      <w:divBdr>
        <w:top w:val="none" w:sz="0" w:space="0" w:color="auto"/>
        <w:left w:val="none" w:sz="0" w:space="0" w:color="auto"/>
        <w:bottom w:val="none" w:sz="0" w:space="0" w:color="auto"/>
        <w:right w:val="none" w:sz="0" w:space="0" w:color="auto"/>
      </w:divBdr>
    </w:div>
    <w:div w:id="1515222888">
      <w:bodyDiv w:val="1"/>
      <w:marLeft w:val="0"/>
      <w:marRight w:val="0"/>
      <w:marTop w:val="0"/>
      <w:marBottom w:val="0"/>
      <w:divBdr>
        <w:top w:val="none" w:sz="0" w:space="0" w:color="auto"/>
        <w:left w:val="none" w:sz="0" w:space="0" w:color="auto"/>
        <w:bottom w:val="none" w:sz="0" w:space="0" w:color="auto"/>
        <w:right w:val="none" w:sz="0" w:space="0" w:color="auto"/>
      </w:divBdr>
    </w:div>
    <w:div w:id="1569800286">
      <w:bodyDiv w:val="1"/>
      <w:marLeft w:val="0"/>
      <w:marRight w:val="0"/>
      <w:marTop w:val="0"/>
      <w:marBottom w:val="0"/>
      <w:divBdr>
        <w:top w:val="none" w:sz="0" w:space="0" w:color="auto"/>
        <w:left w:val="none" w:sz="0" w:space="0" w:color="auto"/>
        <w:bottom w:val="none" w:sz="0" w:space="0" w:color="auto"/>
        <w:right w:val="none" w:sz="0" w:space="0" w:color="auto"/>
      </w:divBdr>
    </w:div>
    <w:div w:id="1629121682">
      <w:bodyDiv w:val="1"/>
      <w:marLeft w:val="0"/>
      <w:marRight w:val="0"/>
      <w:marTop w:val="0"/>
      <w:marBottom w:val="0"/>
      <w:divBdr>
        <w:top w:val="none" w:sz="0" w:space="0" w:color="auto"/>
        <w:left w:val="none" w:sz="0" w:space="0" w:color="auto"/>
        <w:bottom w:val="none" w:sz="0" w:space="0" w:color="auto"/>
        <w:right w:val="none" w:sz="0" w:space="0" w:color="auto"/>
      </w:divBdr>
    </w:div>
    <w:div w:id="1655570824">
      <w:bodyDiv w:val="1"/>
      <w:marLeft w:val="0"/>
      <w:marRight w:val="0"/>
      <w:marTop w:val="0"/>
      <w:marBottom w:val="0"/>
      <w:divBdr>
        <w:top w:val="none" w:sz="0" w:space="0" w:color="auto"/>
        <w:left w:val="none" w:sz="0" w:space="0" w:color="auto"/>
        <w:bottom w:val="none" w:sz="0" w:space="0" w:color="auto"/>
        <w:right w:val="none" w:sz="0" w:space="0" w:color="auto"/>
      </w:divBdr>
    </w:div>
    <w:div w:id="16779268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icann.org/news/announcement-2-2014-09-18-en" TargetMode="External"/><Relationship Id="rId12" Type="http://schemas.openxmlformats.org/officeDocument/2006/relationships/hyperlink" Target="https://www.icann.org/resources/pages/guidelines-2012-05-15-en" TargetMode="External"/><Relationship Id="rId13" Type="http://schemas.openxmlformats.org/officeDocument/2006/relationships/hyperlink" Target="http://mm.icann.org/pipermail/accountability-cross-community/attachments/20150112/9abb09bc/20140111CCWGAccountability-problemdefinition-strawman-wip-0001.pdf" TargetMode="External"/><Relationship Id="rId14" Type="http://schemas.openxmlformats.org/officeDocument/2006/relationships/hyperlink" Target="https://community.icann.org/download/attachments/51414329/WS1%20-%20Accountability%20Inventory%20with%20Questions.doc?version=1&amp;modificationDate=1419299658000&amp;api=v2" TargetMode="External"/><Relationship Id="rId15" Type="http://schemas.openxmlformats.org/officeDocument/2006/relationships/hyperlink" Target="https://community.icann.org/pages/viewpage.action?pageId=51416471" TargetMode="External"/><Relationship Id="rId16" Type="http://schemas.openxmlformats.org/officeDocument/2006/relationships/hyperlink" Target="http://mm.icann.org/pipermail/ccwg-accountability4/attachments/20150105/c2dbd66f/20150105CCWGAccountability-Scenarios-WS4coord-0001.docx" TargetMode="External"/><Relationship Id="rId17" Type="http://schemas.openxmlformats.org/officeDocument/2006/relationships/hyperlink" Target="https://docs.google.com/document/d/1QVC12Q-NuB35pyaBirUDF85DBR_oFHkEYC5vbWu04go/edit"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mm.icann.org/pipermail/accountability-cross-community/2015-January/date.html" TargetMode="External"/><Relationship Id="rId7" Type="http://schemas.openxmlformats.org/officeDocument/2006/relationships/hyperlink" Target="https://community.icann.org/pages/viewpage.action?pageId=51417310" TargetMode="External"/><Relationship Id="rId8" Type="http://schemas.openxmlformats.org/officeDocument/2006/relationships/hyperlink" Target="https://www.icann.org/resources/pages/asep-recommendations-2012-10-26-en" TargetMode="External"/><Relationship Id="rId9" Type="http://schemas.openxmlformats.org/officeDocument/2006/relationships/hyperlink" Target="https://community.icann.org/download/attachments/51414333/20150108%20CCWG%20Accountability%20-%20Scenarios%20%20-WS4coord-MWE-SDB2.pdf?version=1&amp;modificationDate=1421127922000&amp;api=v2" TargetMode="External"/><Relationship Id="rId10" Type="http://schemas.openxmlformats.org/officeDocument/2006/relationships/hyperlink" Target="http://gnso.icann.org/council/annex-1-gnso-wg-guidelines-13nov14-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1351</Words>
  <Characters>7705</Characters>
  <Application>Microsoft Macintosh Word</Application>
  <DocSecurity>4</DocSecurity>
  <Lines>64</Lines>
  <Paragraphs>18</Paragraphs>
  <ScaleCrop>false</ScaleCrop>
  <Company/>
  <LinksUpToDate>false</LinksUpToDate>
  <CharactersWithSpaces>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Jansen</dc:creator>
  <cp:keywords/>
  <dc:description/>
  <cp:lastModifiedBy>Adam Peake</cp:lastModifiedBy>
  <cp:revision>2</cp:revision>
  <cp:lastPrinted>2015-01-16T06:29:00Z</cp:lastPrinted>
  <dcterms:created xsi:type="dcterms:W3CDTF">2015-01-26T23:44:00Z</dcterms:created>
  <dcterms:modified xsi:type="dcterms:W3CDTF">2015-01-26T23:44:00Z</dcterms:modified>
</cp:coreProperties>
</file>