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036121A4">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4054548A" w:rsidR="007E7CFC" w:rsidRPr="00CE7446" w:rsidRDefault="00CE7446" w:rsidP="005A35BA">
                            <w:pPr>
                              <w:jc w:val="center"/>
                              <w:rPr>
                                <w:b/>
                                <w:color w:val="FFFFFF" w:themeColor="background1"/>
                                <w:sz w:val="40"/>
                                <w:szCs w:val="50"/>
                              </w:rPr>
                            </w:pPr>
                            <w:bookmarkStart w:id="0" w:name="_GoBack"/>
                            <w:r w:rsidRPr="00CE7446">
                              <w:rPr>
                                <w:b/>
                                <w:color w:val="FFFFFF" w:themeColor="background1"/>
                                <w:sz w:val="40"/>
                                <w:szCs w:val="50"/>
                              </w:rPr>
                              <w:t xml:space="preserve">Subgroup 1: </w:t>
                            </w:r>
                            <w:r w:rsidR="00B515DA" w:rsidRPr="00CE7446">
                              <w:rPr>
                                <w:b/>
                                <w:color w:val="FFFFFF" w:themeColor="background1"/>
                                <w:sz w:val="40"/>
                                <w:szCs w:val="50"/>
                              </w:rPr>
                              <w:t>WHOIS1 Rec #</w:t>
                            </w:r>
                            <w:r w:rsidR="004E19FC" w:rsidRPr="00CE7446">
                              <w:rPr>
                                <w:b/>
                                <w:color w:val="FFFFFF" w:themeColor="background1"/>
                                <w:sz w:val="40"/>
                                <w:szCs w:val="50"/>
                              </w:rPr>
                              <w:t>10</w:t>
                            </w:r>
                            <w:r w:rsidR="00D964AC" w:rsidRPr="00CE7446">
                              <w:rPr>
                                <w:b/>
                                <w:color w:val="FFFFFF" w:themeColor="background1"/>
                                <w:sz w:val="40"/>
                                <w:szCs w:val="50"/>
                              </w:rPr>
                              <w:t xml:space="preserve"> – </w:t>
                            </w:r>
                            <w:r w:rsidR="004E19FC" w:rsidRPr="00CE7446">
                              <w:rPr>
                                <w:b/>
                                <w:color w:val="FFFFFF" w:themeColor="background1"/>
                                <w:sz w:val="40"/>
                                <w:szCs w:val="50"/>
                              </w:rPr>
                              <w:t>Privac</w:t>
                            </w:r>
                            <w:r w:rsidR="00200FCF" w:rsidRPr="00CE7446">
                              <w:rPr>
                                <w:b/>
                                <w:color w:val="FFFFFF" w:themeColor="background1"/>
                                <w:sz w:val="40"/>
                                <w:szCs w:val="50"/>
                              </w:rPr>
                              <w:t>y</w:t>
                            </w:r>
                            <w:r w:rsidR="004E19FC" w:rsidRPr="00CE7446">
                              <w:rPr>
                                <w:b/>
                                <w:color w:val="FFFFFF" w:themeColor="background1"/>
                                <w:sz w:val="40"/>
                                <w:szCs w:val="50"/>
                              </w:rPr>
                              <w:t>/Proxy Services</w:t>
                            </w:r>
                            <w:r w:rsidR="005A35BA" w:rsidRPr="00CE7446">
                              <w:rPr>
                                <w:b/>
                                <w:color w:val="FFFFFF" w:themeColor="background1"/>
                                <w:sz w:val="40"/>
                                <w:szCs w:val="50"/>
                              </w:rPr>
                              <w:t xml:space="preserve"> </w:t>
                            </w:r>
                          </w:p>
                          <w:p w14:paraId="0023B7CA" w14:textId="4C9B2BDF" w:rsidR="004149B7" w:rsidRPr="00CE7446" w:rsidRDefault="00C123C9" w:rsidP="005A35BA">
                            <w:pPr>
                              <w:jc w:val="center"/>
                              <w:rPr>
                                <w:b/>
                                <w:color w:val="FFFFFF" w:themeColor="background1"/>
                                <w:sz w:val="40"/>
                                <w:szCs w:val="50"/>
                              </w:rPr>
                            </w:pPr>
                            <w:r w:rsidRPr="00CE7446">
                              <w:rPr>
                                <w:b/>
                                <w:color w:val="FFFFFF" w:themeColor="background1"/>
                                <w:sz w:val="40"/>
                                <w:szCs w:val="50"/>
                              </w:rPr>
                              <w:t xml:space="preserve">Work Statement </w:t>
                            </w:r>
                            <w:r w:rsidR="005A35BA" w:rsidRPr="00CE7446">
                              <w:rPr>
                                <w:b/>
                                <w:color w:val="FFFFFF" w:themeColor="background1"/>
                                <w:sz w:val="40"/>
                                <w:szCs w:val="50"/>
                              </w:rPr>
                              <w:t>&amp; Work Plan</w:t>
                            </w:r>
                          </w:p>
                          <w:p w14:paraId="754E74E8" w14:textId="77777777" w:rsidR="004149B7" w:rsidRPr="00CE7446" w:rsidRDefault="004149B7" w:rsidP="004149B7">
                            <w:pPr>
                              <w:rPr>
                                <w:sz w:val="18"/>
                              </w:rPr>
                            </w:pP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pt;margin-top:-18.2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14:paraId="65F6A11A" w14:textId="4054548A" w:rsidR="007E7CFC" w:rsidRPr="00CE7446" w:rsidRDefault="00CE7446" w:rsidP="005A35BA">
                      <w:pPr>
                        <w:jc w:val="center"/>
                        <w:rPr>
                          <w:b/>
                          <w:color w:val="FFFFFF" w:themeColor="background1"/>
                          <w:sz w:val="40"/>
                          <w:szCs w:val="50"/>
                        </w:rPr>
                      </w:pPr>
                      <w:bookmarkStart w:id="1" w:name="_GoBack"/>
                      <w:r w:rsidRPr="00CE7446">
                        <w:rPr>
                          <w:b/>
                          <w:color w:val="FFFFFF" w:themeColor="background1"/>
                          <w:sz w:val="40"/>
                          <w:szCs w:val="50"/>
                        </w:rPr>
                        <w:t xml:space="preserve">Subgroup 1: </w:t>
                      </w:r>
                      <w:r w:rsidR="00B515DA" w:rsidRPr="00CE7446">
                        <w:rPr>
                          <w:b/>
                          <w:color w:val="FFFFFF" w:themeColor="background1"/>
                          <w:sz w:val="40"/>
                          <w:szCs w:val="50"/>
                        </w:rPr>
                        <w:t>WHOIS1 Rec #</w:t>
                      </w:r>
                      <w:r w:rsidR="004E19FC" w:rsidRPr="00CE7446">
                        <w:rPr>
                          <w:b/>
                          <w:color w:val="FFFFFF" w:themeColor="background1"/>
                          <w:sz w:val="40"/>
                          <w:szCs w:val="50"/>
                        </w:rPr>
                        <w:t>10</w:t>
                      </w:r>
                      <w:r w:rsidR="00D964AC" w:rsidRPr="00CE7446">
                        <w:rPr>
                          <w:b/>
                          <w:color w:val="FFFFFF" w:themeColor="background1"/>
                          <w:sz w:val="40"/>
                          <w:szCs w:val="50"/>
                        </w:rPr>
                        <w:t xml:space="preserve"> – </w:t>
                      </w:r>
                      <w:r w:rsidR="004E19FC" w:rsidRPr="00CE7446">
                        <w:rPr>
                          <w:b/>
                          <w:color w:val="FFFFFF" w:themeColor="background1"/>
                          <w:sz w:val="40"/>
                          <w:szCs w:val="50"/>
                        </w:rPr>
                        <w:t>Privac</w:t>
                      </w:r>
                      <w:r w:rsidR="00200FCF" w:rsidRPr="00CE7446">
                        <w:rPr>
                          <w:b/>
                          <w:color w:val="FFFFFF" w:themeColor="background1"/>
                          <w:sz w:val="40"/>
                          <w:szCs w:val="50"/>
                        </w:rPr>
                        <w:t>y</w:t>
                      </w:r>
                      <w:r w:rsidR="004E19FC" w:rsidRPr="00CE7446">
                        <w:rPr>
                          <w:b/>
                          <w:color w:val="FFFFFF" w:themeColor="background1"/>
                          <w:sz w:val="40"/>
                          <w:szCs w:val="50"/>
                        </w:rPr>
                        <w:t>/Proxy Services</w:t>
                      </w:r>
                      <w:r w:rsidR="005A35BA" w:rsidRPr="00CE7446">
                        <w:rPr>
                          <w:b/>
                          <w:color w:val="FFFFFF" w:themeColor="background1"/>
                          <w:sz w:val="40"/>
                          <w:szCs w:val="50"/>
                        </w:rPr>
                        <w:t xml:space="preserve"> </w:t>
                      </w:r>
                    </w:p>
                    <w:p w14:paraId="0023B7CA" w14:textId="4C9B2BDF" w:rsidR="004149B7" w:rsidRPr="00CE7446" w:rsidRDefault="00C123C9" w:rsidP="005A35BA">
                      <w:pPr>
                        <w:jc w:val="center"/>
                        <w:rPr>
                          <w:b/>
                          <w:color w:val="FFFFFF" w:themeColor="background1"/>
                          <w:sz w:val="40"/>
                          <w:szCs w:val="50"/>
                        </w:rPr>
                      </w:pPr>
                      <w:r w:rsidRPr="00CE7446">
                        <w:rPr>
                          <w:b/>
                          <w:color w:val="FFFFFF" w:themeColor="background1"/>
                          <w:sz w:val="40"/>
                          <w:szCs w:val="50"/>
                        </w:rPr>
                        <w:t xml:space="preserve">Work Statement </w:t>
                      </w:r>
                      <w:r w:rsidR="005A35BA" w:rsidRPr="00CE7446">
                        <w:rPr>
                          <w:b/>
                          <w:color w:val="FFFFFF" w:themeColor="background1"/>
                          <w:sz w:val="40"/>
                          <w:szCs w:val="50"/>
                        </w:rPr>
                        <w:t>&amp; Work Plan</w:t>
                      </w:r>
                    </w:p>
                    <w:p w14:paraId="754E74E8" w14:textId="77777777" w:rsidR="004149B7" w:rsidRPr="00CE7446" w:rsidRDefault="004149B7" w:rsidP="004149B7">
                      <w:pPr>
                        <w:rPr>
                          <w:sz w:val="18"/>
                        </w:rPr>
                      </w:pPr>
                    </w:p>
                    <w:bookmarkEnd w:id="1"/>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2B9ABFA" w14:textId="77777777" w:rsidR="004E19FC" w:rsidRDefault="004E19FC" w:rsidP="00047BCA">
            <w:pPr>
              <w:pStyle w:val="ListParagraph"/>
              <w:widowControl w:val="0"/>
              <w:numPr>
                <w:ilvl w:val="0"/>
                <w:numId w:val="1"/>
              </w:numPr>
              <w:spacing w:after="240"/>
              <w:rPr>
                <w:rFonts w:asciiTheme="minorHAnsi" w:hAnsiTheme="minorHAnsi"/>
                <w:b/>
                <w:bCs/>
                <w:sz w:val="24"/>
                <w:szCs w:val="24"/>
              </w:rPr>
            </w:pPr>
            <w:proofErr w:type="spellStart"/>
            <w:r>
              <w:rPr>
                <w:rFonts w:asciiTheme="minorHAnsi" w:hAnsiTheme="minorHAnsi"/>
                <w:b/>
                <w:bCs/>
                <w:sz w:val="24"/>
                <w:szCs w:val="24"/>
              </w:rPr>
              <w:t>Cathrin</w:t>
            </w:r>
            <w:proofErr w:type="spellEnd"/>
            <w:r>
              <w:rPr>
                <w:rFonts w:asciiTheme="minorHAnsi" w:hAnsiTheme="minorHAnsi"/>
                <w:b/>
                <w:bCs/>
                <w:sz w:val="24"/>
                <w:szCs w:val="24"/>
              </w:rPr>
              <w:t xml:space="preserve"> Bauer-</w:t>
            </w:r>
            <w:proofErr w:type="spellStart"/>
            <w:r>
              <w:rPr>
                <w:rFonts w:asciiTheme="minorHAnsi" w:hAnsiTheme="minorHAnsi"/>
                <w:b/>
                <w:bCs/>
                <w:sz w:val="24"/>
                <w:szCs w:val="24"/>
              </w:rPr>
              <w:t>Bulst</w:t>
            </w:r>
            <w:proofErr w:type="spellEnd"/>
            <w:r w:rsidRPr="004E19FC">
              <w:rPr>
                <w:rFonts w:asciiTheme="minorHAnsi" w:hAnsiTheme="minorHAnsi"/>
                <w:b/>
                <w:bCs/>
                <w:sz w:val="24"/>
                <w:szCs w:val="24"/>
              </w:rPr>
              <w:t xml:space="preserve"> </w:t>
            </w:r>
          </w:p>
          <w:p w14:paraId="019E29A5" w14:textId="77777777" w:rsidR="004E19FC" w:rsidRDefault="004E19FC" w:rsidP="00047BCA">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Stephanie Perrin</w:t>
            </w:r>
          </w:p>
          <w:p w14:paraId="24EAA74D" w14:textId="3A76FB94" w:rsidR="006624DF" w:rsidRPr="00047BCA" w:rsidRDefault="004E19FC" w:rsidP="00047BCA">
            <w:pPr>
              <w:pStyle w:val="ListParagraph"/>
              <w:widowControl w:val="0"/>
              <w:numPr>
                <w:ilvl w:val="0"/>
                <w:numId w:val="1"/>
              </w:numPr>
              <w:spacing w:after="240"/>
              <w:rPr>
                <w:rFonts w:asciiTheme="minorHAnsi" w:hAnsiTheme="minorHAnsi"/>
                <w:b/>
                <w:bCs/>
                <w:sz w:val="24"/>
                <w:szCs w:val="24"/>
              </w:rPr>
            </w:pPr>
            <w:r w:rsidRPr="004E19FC">
              <w:rPr>
                <w:rFonts w:asciiTheme="minorHAnsi" w:hAnsiTheme="minorHAnsi"/>
                <w:b/>
                <w:bCs/>
                <w:sz w:val="24"/>
                <w:szCs w:val="24"/>
              </w:rPr>
              <w:t xml:space="preserve">Volker </w:t>
            </w:r>
            <w:proofErr w:type="spellStart"/>
            <w:r w:rsidRPr="004E19FC">
              <w:rPr>
                <w:rFonts w:asciiTheme="minorHAnsi" w:hAnsiTheme="minorHAnsi"/>
                <w:b/>
                <w:bCs/>
                <w:sz w:val="24"/>
                <w:szCs w:val="24"/>
              </w:rPr>
              <w:t>Greimann</w:t>
            </w:r>
            <w:proofErr w:type="spellEnd"/>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2BB0605B"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041C3D0E" w:rsidR="004149B7" w:rsidRPr="00047BCA" w:rsidRDefault="004E19FC" w:rsidP="00047BCA">
            <w:pPr>
              <w:widowControl w:val="0"/>
              <w:spacing w:after="240"/>
              <w:rPr>
                <w:rFonts w:asciiTheme="minorHAnsi" w:hAnsiTheme="minorHAnsi"/>
                <w:b/>
                <w:bCs/>
                <w:sz w:val="24"/>
                <w:szCs w:val="24"/>
              </w:rPr>
            </w:pPr>
            <w:r>
              <w:rPr>
                <w:rFonts w:asciiTheme="minorHAnsi" w:eastAsia="Cambria" w:hAnsiTheme="minorHAnsi"/>
                <w:b/>
                <w:bCs/>
                <w:sz w:val="24"/>
                <w:szCs w:val="24"/>
              </w:rPr>
              <w:t xml:space="preserve">Volker </w:t>
            </w:r>
            <w:proofErr w:type="spellStart"/>
            <w:r>
              <w:rPr>
                <w:rFonts w:asciiTheme="minorHAnsi" w:eastAsia="Cambria" w:hAnsiTheme="minorHAnsi"/>
                <w:b/>
                <w:bCs/>
                <w:sz w:val="24"/>
                <w:szCs w:val="24"/>
              </w:rPr>
              <w:t>Greimann</w:t>
            </w:r>
            <w:proofErr w:type="spellEnd"/>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1EB6A28" w14:textId="77777777" w:rsidR="004149B7" w:rsidRDefault="004E19FC" w:rsidP="006624DF">
            <w:pPr>
              <w:widowControl w:val="0"/>
              <w:spacing w:after="240"/>
              <w:rPr>
                <w:rFonts w:asciiTheme="minorHAnsi" w:hAnsiTheme="minorHAnsi"/>
                <w:b/>
                <w:bCs/>
                <w:sz w:val="24"/>
                <w:szCs w:val="24"/>
              </w:rPr>
            </w:pPr>
            <w:r w:rsidRPr="004E19FC">
              <w:rPr>
                <w:rFonts w:asciiTheme="minorHAnsi" w:hAnsiTheme="minorHAnsi"/>
                <w:b/>
                <w:bCs/>
                <w:sz w:val="24"/>
                <w:szCs w:val="24"/>
              </w:rPr>
              <w:t>Consistent with ICANN’s mission and </w:t>
            </w:r>
            <w:hyperlink r:id="rId6" w:history="1">
              <w:r w:rsidRPr="004E19FC">
                <w:rPr>
                  <w:rStyle w:val="Hyperlink"/>
                  <w:rFonts w:asciiTheme="minorHAnsi" w:hAnsiTheme="minorHAnsi"/>
                  <w:b/>
                  <w:bCs/>
                  <w:sz w:val="24"/>
                  <w:szCs w:val="24"/>
                </w:rPr>
                <w:t>Bylaws</w:t>
              </w:r>
            </w:hyperlink>
            <w:r w:rsidRPr="004E19FC">
              <w:rPr>
                <w:rFonts w:asciiTheme="minorHAnsi" w:hAnsiTheme="minorHAnsi"/>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106BD823" w14:textId="77777777" w:rsidR="00CE7446" w:rsidRPr="00CE7446" w:rsidRDefault="00CE7446" w:rsidP="00CE7446">
            <w:pPr>
              <w:widowControl w:val="0"/>
              <w:spacing w:after="240"/>
              <w:rPr>
                <w:rFonts w:asciiTheme="minorHAnsi" w:hAnsiTheme="minorHAnsi"/>
                <w:b/>
                <w:bCs/>
                <w:sz w:val="24"/>
                <w:szCs w:val="24"/>
              </w:rPr>
            </w:pPr>
            <w:r w:rsidRPr="00CE7446">
              <w:rPr>
                <w:rFonts w:asciiTheme="minorHAnsi" w:hAnsiTheme="minorHAnsi"/>
                <w:b/>
                <w:bCs/>
                <w:sz w:val="24"/>
                <w:szCs w:val="24"/>
                <w:u w:val="single"/>
              </w:rPr>
              <w:t>RT1 Recommendations to be assessed by this subgroup:</w:t>
            </w:r>
          </w:p>
          <w:p w14:paraId="6F172CE8" w14:textId="09D6755D" w:rsidR="00CE7446" w:rsidRPr="00CE7446" w:rsidRDefault="00CE7446" w:rsidP="006624DF">
            <w:pPr>
              <w:widowControl w:val="0"/>
              <w:spacing w:after="240"/>
              <w:rPr>
                <w:rFonts w:asciiTheme="minorHAnsi" w:hAnsiTheme="minorHAnsi"/>
                <w:b/>
                <w:bCs/>
                <w:sz w:val="24"/>
                <w:szCs w:val="24"/>
              </w:rPr>
            </w:pPr>
            <w:r w:rsidRPr="00CE7446">
              <w:rPr>
                <w:rFonts w:asciiTheme="minorHAnsi" w:hAnsiTheme="minorHAnsi"/>
                <w:b/>
                <w:bCs/>
                <w:sz w:val="24"/>
                <w:szCs w:val="24"/>
              </w:rPr>
              <w:t>Recommendation #10 - Privacy/Proxy Services</w:t>
            </w: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7777777" w:rsidR="005B5AD8" w:rsidRPr="00BB0454" w:rsidRDefault="005B5AD8" w:rsidP="006B2DC5">
            <w:pPr>
              <w:widowControl w:val="0"/>
              <w:spacing w:after="240" w:line="240" w:lineRule="auto"/>
              <w:rPr>
                <w:rFonts w:asciiTheme="minorHAnsi" w:hAnsiTheme="minorHAnsi"/>
                <w:sz w:val="24"/>
                <w:szCs w:val="24"/>
              </w:rPr>
            </w:pP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17FE389C" w:rsidR="004149B7" w:rsidRPr="00D43977" w:rsidRDefault="00CE7446" w:rsidP="006B2DC5">
            <w:pPr>
              <w:widowControl w:val="0"/>
              <w:spacing w:after="240" w:line="240" w:lineRule="auto"/>
              <w:rPr>
                <w:rFonts w:asciiTheme="minorHAnsi" w:hAnsiTheme="minorHAnsi"/>
                <w:sz w:val="24"/>
                <w:szCs w:val="24"/>
              </w:rPr>
            </w:pPr>
            <w:hyperlink r:id="rId7" w:history="1">
              <w:r w:rsidR="005B218D" w:rsidRPr="001D3F05">
                <w:rPr>
                  <w:rStyle w:val="Hyperlink"/>
                  <w:rFonts w:asciiTheme="minorHAnsi" w:hAnsiTheme="minorHAnsi"/>
                  <w:sz w:val="24"/>
                  <w:szCs w:val="24"/>
                </w:rPr>
                <w:t>https://community.icann.org/pages/viewpage.action?pageId=71604717</w:t>
              </w:r>
            </w:hyperlink>
            <w:r w:rsidR="005B218D">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434659BE" w:rsidR="004149B7" w:rsidRPr="00D43977" w:rsidRDefault="00CE7446" w:rsidP="00117EA6">
            <w:pPr>
              <w:widowControl w:val="0"/>
              <w:spacing w:after="240" w:line="240" w:lineRule="auto"/>
              <w:rPr>
                <w:rFonts w:asciiTheme="minorHAnsi" w:hAnsiTheme="minorHAnsi"/>
                <w:sz w:val="24"/>
                <w:szCs w:val="24"/>
              </w:rPr>
            </w:pPr>
            <w:hyperlink r:id="rId8" w:history="1">
              <w:r w:rsidR="004264D7" w:rsidRPr="001D3F05">
                <w:rPr>
                  <w:rStyle w:val="Hyperlink"/>
                  <w:rFonts w:asciiTheme="minorHAnsi" w:hAnsiTheme="minorHAnsi"/>
                  <w:sz w:val="24"/>
                  <w:szCs w:val="24"/>
                </w:rPr>
                <w:t>rds-whois2-privacy-proxy@icann.org</w:t>
              </w:r>
            </w:hyperlink>
            <w:r w:rsidR="004264D7">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4B7448B1" w14:textId="1CDC9CE8" w:rsidR="006624DF"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hyperlink r:id="rId9" w:history="1">
              <w:r w:rsidR="005B218D" w:rsidRPr="001D3F05">
                <w:rPr>
                  <w:rStyle w:val="Hyperlink"/>
                  <w:rFonts w:asciiTheme="minorHAnsi" w:eastAsia="Times New Roman" w:hAnsiTheme="minorHAnsi" w:cs="Arial"/>
                  <w:sz w:val="24"/>
                </w:rPr>
                <w:t>https://community.icann.org/pages/viewpage.action?pageId=71604717</w:t>
              </w:r>
            </w:hyperlink>
            <w:r w:rsidR="005B218D">
              <w:rPr>
                <w:rFonts w:asciiTheme="minorHAnsi" w:eastAsia="Times New Roman" w:hAnsiTheme="minorHAnsi" w:cs="Arial"/>
                <w:color w:val="333333"/>
                <w:sz w:val="24"/>
              </w:rPr>
              <w:t xml:space="preserve"> </w:t>
            </w:r>
          </w:p>
          <w:p w14:paraId="7889EA83" w14:textId="74421158" w:rsidR="004149B7" w:rsidRPr="00D43977" w:rsidRDefault="00CE744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CE7446"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CE7446"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CE744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CE744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4"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5"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CE744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CE744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CE7446"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8"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CE7446"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9"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CE7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7BCA"/>
    <w:rsid w:val="000E7E6A"/>
    <w:rsid w:val="00117EA6"/>
    <w:rsid w:val="001C473B"/>
    <w:rsid w:val="00200FCF"/>
    <w:rsid w:val="0036763F"/>
    <w:rsid w:val="004149B7"/>
    <w:rsid w:val="004264D7"/>
    <w:rsid w:val="00427770"/>
    <w:rsid w:val="0045275E"/>
    <w:rsid w:val="004E19FC"/>
    <w:rsid w:val="004F4598"/>
    <w:rsid w:val="00587766"/>
    <w:rsid w:val="005A35BA"/>
    <w:rsid w:val="005B218D"/>
    <w:rsid w:val="005B5AD8"/>
    <w:rsid w:val="005B5E25"/>
    <w:rsid w:val="00601942"/>
    <w:rsid w:val="006624DF"/>
    <w:rsid w:val="0067106B"/>
    <w:rsid w:val="007252DD"/>
    <w:rsid w:val="007E7CFC"/>
    <w:rsid w:val="008770F9"/>
    <w:rsid w:val="008A4897"/>
    <w:rsid w:val="008B101A"/>
    <w:rsid w:val="008F3735"/>
    <w:rsid w:val="009959F9"/>
    <w:rsid w:val="009C1C4D"/>
    <w:rsid w:val="009D5771"/>
    <w:rsid w:val="00A032AB"/>
    <w:rsid w:val="00A327EA"/>
    <w:rsid w:val="00A577F1"/>
    <w:rsid w:val="00A7559D"/>
    <w:rsid w:val="00AC18AA"/>
    <w:rsid w:val="00AD5CDC"/>
    <w:rsid w:val="00AE6E68"/>
    <w:rsid w:val="00B14BB2"/>
    <w:rsid w:val="00B41E98"/>
    <w:rsid w:val="00B515DA"/>
    <w:rsid w:val="00BD27B9"/>
    <w:rsid w:val="00C06207"/>
    <w:rsid w:val="00C123C9"/>
    <w:rsid w:val="00C36540"/>
    <w:rsid w:val="00C5369C"/>
    <w:rsid w:val="00C6085C"/>
    <w:rsid w:val="00CE7446"/>
    <w:rsid w:val="00D43977"/>
    <w:rsid w:val="00D70933"/>
    <w:rsid w:val="00D964AC"/>
    <w:rsid w:val="00DD03A6"/>
    <w:rsid w:val="00E50F1C"/>
    <w:rsid w:val="00E66DDF"/>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2544">
      <w:bodyDiv w:val="1"/>
      <w:marLeft w:val="0"/>
      <w:marRight w:val="0"/>
      <w:marTop w:val="0"/>
      <w:marBottom w:val="0"/>
      <w:divBdr>
        <w:top w:val="none" w:sz="0" w:space="0" w:color="auto"/>
        <w:left w:val="none" w:sz="0" w:space="0" w:color="auto"/>
        <w:bottom w:val="none" w:sz="0" w:space="0" w:color="auto"/>
        <w:right w:val="none" w:sz="0" w:space="0" w:color="auto"/>
      </w:divBdr>
    </w:div>
    <w:div w:id="314072836">
      <w:bodyDiv w:val="1"/>
      <w:marLeft w:val="0"/>
      <w:marRight w:val="0"/>
      <w:marTop w:val="0"/>
      <w:marBottom w:val="0"/>
      <w:divBdr>
        <w:top w:val="none" w:sz="0" w:space="0" w:color="auto"/>
        <w:left w:val="none" w:sz="0" w:space="0" w:color="auto"/>
        <w:bottom w:val="none" w:sz="0" w:space="0" w:color="auto"/>
        <w:right w:val="none" w:sz="0" w:space="0" w:color="auto"/>
      </w:divBdr>
    </w:div>
    <w:div w:id="387917769">
      <w:bodyDiv w:val="1"/>
      <w:marLeft w:val="0"/>
      <w:marRight w:val="0"/>
      <w:marTop w:val="0"/>
      <w:marBottom w:val="0"/>
      <w:divBdr>
        <w:top w:val="none" w:sz="0" w:space="0" w:color="auto"/>
        <w:left w:val="none" w:sz="0" w:space="0" w:color="auto"/>
        <w:bottom w:val="none" w:sz="0" w:space="0" w:color="auto"/>
        <w:right w:val="none" w:sz="0" w:space="0" w:color="auto"/>
      </w:divBdr>
    </w:div>
    <w:div w:id="390429226">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47367627">
      <w:bodyDiv w:val="1"/>
      <w:marLeft w:val="0"/>
      <w:marRight w:val="0"/>
      <w:marTop w:val="0"/>
      <w:marBottom w:val="0"/>
      <w:divBdr>
        <w:top w:val="none" w:sz="0" w:space="0" w:color="auto"/>
        <w:left w:val="none" w:sz="0" w:space="0" w:color="auto"/>
        <w:bottom w:val="none" w:sz="0" w:space="0" w:color="auto"/>
        <w:right w:val="none" w:sz="0" w:space="0" w:color="auto"/>
      </w:divBdr>
    </w:div>
    <w:div w:id="790518574">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867331070">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118598461">
      <w:bodyDiv w:val="1"/>
      <w:marLeft w:val="0"/>
      <w:marRight w:val="0"/>
      <w:marTop w:val="0"/>
      <w:marBottom w:val="0"/>
      <w:divBdr>
        <w:top w:val="none" w:sz="0" w:space="0" w:color="auto"/>
        <w:left w:val="none" w:sz="0" w:space="0" w:color="auto"/>
        <w:bottom w:val="none" w:sz="0" w:space="0" w:color="auto"/>
        <w:right w:val="none" w:sz="0" w:space="0" w:color="auto"/>
      </w:divBdr>
    </w:div>
    <w:div w:id="1271666251">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520239818">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935237592">
      <w:bodyDiv w:val="1"/>
      <w:marLeft w:val="0"/>
      <w:marRight w:val="0"/>
      <w:marTop w:val="0"/>
      <w:marBottom w:val="0"/>
      <w:divBdr>
        <w:top w:val="none" w:sz="0" w:space="0" w:color="auto"/>
        <w:left w:val="none" w:sz="0" w:space="0" w:color="auto"/>
        <w:bottom w:val="none" w:sz="0" w:space="0" w:color="auto"/>
        <w:right w:val="none" w:sz="0" w:space="0" w:color="auto"/>
      </w:divBdr>
    </w:div>
    <w:div w:id="198615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pages/viewpage.action?pageId=71604717"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ommunity.icann.org/display/WHO/WHOIS+Review+Implementation+Home" TargetMode="External"/><Relationship Id="rId11" Type="http://schemas.openxmlformats.org/officeDocument/2006/relationships/hyperlink" Target="https://community.icann.org/download/attachments/54691767/WHOIS%20Recs%201_16%2030Sept2016.pdf" TargetMode="External"/><Relationship Id="rId12" Type="http://schemas.openxmlformats.org/officeDocument/2006/relationships/hyperlink" Target="https://community.icann.org/download/attachments/54691767/WHOIS%20Quarterly%20Summary%2031December2016.pdf" TargetMode="External"/><Relationship Id="rId13" Type="http://schemas.openxmlformats.org/officeDocument/2006/relationships/hyperlink" Target="https://www.icann.org/en/system/files/files/final-report-11may12-en.pdf" TargetMode="External"/><Relationship Id="rId14" Type="http://schemas.openxmlformats.org/officeDocument/2006/relationships/hyperlink" Target="http://gnso.icann.org/en/issues/whois-privacy/whois-services-final-tf-report-12mar07.htm" TargetMode="External"/><Relationship Id="rId15"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6" Type="http://schemas.openxmlformats.org/officeDocument/2006/relationships/hyperlink" Target="https://archive.icann.org/en/gnso/whois-tf/report-19feb03.htm"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18" Type="http://schemas.openxmlformats.org/officeDocument/2006/relationships/hyperlink" Target="https://community.icann.org/download/attachments/69279139/WHOIS1%20Implementation%20briefings%205%208%2010%2011.pdf?version=1&amp;modificationDate=1506504731000&amp;api=v2" TargetMode="External"/><Relationship Id="rId19" Type="http://schemas.openxmlformats.org/officeDocument/2006/relationships/hyperlink" Target="https://community.icann.org/download/attachments/69279139/WHOIS%20Briefing%20-%2003October2017%20-%20V2.0.pdf?version=1&amp;modificationDate=1506780907000&amp;api=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governance/bylaws-en" TargetMode="External"/><Relationship Id="rId7" Type="http://schemas.openxmlformats.org/officeDocument/2006/relationships/hyperlink" Target="https://community.icann.org/pages/viewpage.action?pageId=71604717" TargetMode="External"/><Relationship Id="rId8" Type="http://schemas.openxmlformats.org/officeDocument/2006/relationships/hyperlink" Target="mailto:rds-whois2-privacy-proxy@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3F7198-B478-964E-A75D-2F0602F5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782</Words>
  <Characters>4461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jean-Baptiste Deroulez</cp:lastModifiedBy>
  <cp:revision>3</cp:revision>
  <dcterms:created xsi:type="dcterms:W3CDTF">2017-12-06T11:32:00Z</dcterms:created>
  <dcterms:modified xsi:type="dcterms:W3CDTF">2017-12-06T16:44:00Z</dcterms:modified>
</cp:coreProperties>
</file>