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numPr>
          <w:ilvl w:val="0"/>
          <w:numId w:val="0"/>
        </w:numPr>
        <w:spacing w:lineRule="auto" w:line="240" w:before="0" w:after="240"/>
        <w:outlineLvl w:val="0"/>
        <w:rPr>
          <w:rFonts w:ascii="Calibri" w:hAnsi="Calibri" w:eastAsia="Times New Roman" w:cs="Calibri" w:asciiTheme="minorHAnsi" w:hAnsiTheme="minorHAnsi"/>
          <w:bCs/>
          <w:color w:val="000000"/>
          <w:sz w:val="24"/>
          <w:szCs w:val="24"/>
        </w:rPr>
      </w:pPr>
      <w:r>
        <w:rPr>
          <w:rFonts w:eastAsia="Times New Roman" w:cs="Calibri"/>
          <w:bCs/>
          <w:color w:val="000000"/>
          <w:sz w:val="24"/>
          <w:szCs w:val="24"/>
        </w:rPr>
        <mc:AlternateContent>
          <mc:Choice Requires="wps">
            <w:drawing>
              <wp:anchor behindDoc="1" distT="0" distB="0" distL="114300" distR="114300" simplePos="0" locked="0" layoutInCell="1" allowOverlap="1" relativeHeight="2" wp14:anchorId="0F5C7730">
                <wp:simplePos x="0" y="0"/>
                <wp:positionH relativeFrom="column">
                  <wp:posOffset>-74930</wp:posOffset>
                </wp:positionH>
                <wp:positionV relativeFrom="paragraph">
                  <wp:posOffset>-225425</wp:posOffset>
                </wp:positionV>
                <wp:extent cx="6704330" cy="1139190"/>
                <wp:effectExtent l="0" t="0" r="2540" b="5080"/>
                <wp:wrapNone/>
                <wp:docPr id="1" name="Rectangle 63"/>
                <a:graphic xmlns:a="http://schemas.openxmlformats.org/drawingml/2006/main">
                  <a:graphicData uri="http://schemas.microsoft.com/office/word/2010/wordprocessingShape">
                    <wps:wsp>
                      <wps:cNvSpPr/>
                      <wps:spPr>
                        <a:xfrm>
                          <a:off x="0" y="0"/>
                          <a:ext cx="6703560" cy="1138680"/>
                        </a:xfrm>
                        <a:prstGeom prst="rect">
                          <a:avLst/>
                        </a:prstGeom>
                        <a:solidFill>
                          <a:srgbClr val="0a3251"/>
                        </a:solidFill>
                        <a:ln>
                          <a:noFill/>
                        </a:ln>
                      </wps:spPr>
                      <wps:style>
                        <a:lnRef idx="1">
                          <a:schemeClr val="accent1"/>
                        </a:lnRef>
                        <a:fillRef idx="3">
                          <a:schemeClr val="accent1"/>
                        </a:fillRef>
                        <a:effectRef idx="2">
                          <a:schemeClr val="accent1"/>
                        </a:effectRef>
                        <a:fontRef idx="minor"/>
                      </wps:style>
                      <wps:bodyPr/>
                    </wps:wsp>
                  </a:graphicData>
                </a:graphic>
              </wp:anchor>
            </w:drawing>
          </mc:Choice>
          <mc:Fallback>
            <w:pict>
              <v:rect id="shape_0" ID="Rectangle 63" fillcolor="#0a3251" stroked="f" style="position:absolute;margin-left:-5.9pt;margin-top:-17.75pt;width:527.8pt;height:89.6pt" wp14:anchorId="0F5C7730">
                <w10:wrap type="none"/>
                <v:fill o:detectmouseclick="t" type="solid" color2="#f5cdae"/>
                <v:stroke color="#3465a4" weight="6480" joinstyle="miter" endcap="flat"/>
              </v:rect>
            </w:pict>
          </mc:Fallback>
        </mc:AlternateContent>
        <mc:AlternateContent>
          <mc:Choice Requires="wps">
            <w:drawing>
              <wp:anchor behindDoc="0" distT="0" distB="0" distL="114300" distR="114300" simplePos="0" locked="0" layoutInCell="1" allowOverlap="1" relativeHeight="3" wp14:anchorId="2019DD45">
                <wp:simplePos x="0" y="0"/>
                <wp:positionH relativeFrom="column">
                  <wp:posOffset>481965</wp:posOffset>
                </wp:positionH>
                <wp:positionV relativeFrom="paragraph">
                  <wp:posOffset>-635</wp:posOffset>
                </wp:positionV>
                <wp:extent cx="5684520" cy="1014730"/>
                <wp:effectExtent l="0" t="0" r="0" b="1905"/>
                <wp:wrapSquare wrapText="bothSides"/>
                <wp:docPr id="2" name="Text Box 1"/>
                <a:graphic xmlns:a="http://schemas.openxmlformats.org/drawingml/2006/main">
                  <a:graphicData uri="http://schemas.microsoft.com/office/word/2010/wordprocessingShape">
                    <wps:wsp>
                      <wps:cNvSpPr/>
                      <wps:spPr>
                        <a:xfrm>
                          <a:off x="0" y="0"/>
                          <a:ext cx="5684040" cy="1014120"/>
                        </a:xfrm>
                        <a:prstGeom prst="rect">
                          <a:avLst/>
                        </a:prstGeom>
                        <a:noFill/>
                        <a:ln>
                          <a:noFill/>
                        </a:ln>
                      </wps:spPr>
                      <wps:style>
                        <a:lnRef idx="0">
                          <a:schemeClr val="accent1"/>
                        </a:lnRef>
                        <a:fillRef idx="0">
                          <a:schemeClr val="accent1"/>
                        </a:fillRef>
                        <a:effectRef idx="0">
                          <a:schemeClr val="accent1"/>
                        </a:effectRef>
                        <a:fontRef idx="minor"/>
                      </wps:style>
                      <wps:txbx>
                        <w:txbxContent>
                          <w:p>
                            <w:pPr>
                              <w:pStyle w:val="Rahmeninhalt"/>
                              <w:jc w:val="center"/>
                              <w:rPr>
                                <w:b/>
                                <w:b/>
                                <w:color w:val="FFFFFF" w:themeColor="background1"/>
                                <w:sz w:val="50"/>
                                <w:szCs w:val="50"/>
                              </w:rPr>
                            </w:pPr>
                            <w:r>
                              <w:rPr>
                                <w:b/>
                                <w:color w:val="FFFFFF" w:themeColor="background1"/>
                                <w:sz w:val="50"/>
                                <w:szCs w:val="50"/>
                              </w:rPr>
                              <w:t>Topic 10 WHOIS RT Recommendations Work Statement  &amp; Work Plan</w:t>
                            </w:r>
                          </w:p>
                          <w:p>
                            <w:pPr>
                              <w:pStyle w:val="Rahmeninhalt"/>
                              <w:spacing w:before="0" w:after="200"/>
                              <w:rPr/>
                            </w:pPr>
                            <w:r>
                              <w:rPr/>
                            </w:r>
                          </w:p>
                        </w:txbxContent>
                      </wps:txbx>
                      <wps:bodyPr>
                        <a:prstTxWarp prst="textNoShape"/>
                        <a:noAutofit/>
                      </wps:bodyPr>
                    </wps:wsp>
                  </a:graphicData>
                </a:graphic>
              </wp:anchor>
            </w:drawing>
          </mc:Choice>
          <mc:Fallback>
            <w:pict>
              <v:rect id="shape_0" ID="Text Box 1" stroked="f" style="position:absolute;margin-left:37.95pt;margin-top:-0.05pt;width:447.5pt;height:79.8pt" wp14:anchorId="2019DD45">
                <w10:wrap type="square"/>
                <v:fill o:detectmouseclick="t" on="false"/>
                <v:stroke color="#3465a4" joinstyle="round" endcap="flat"/>
                <v:textbox>
                  <w:txbxContent>
                    <w:p>
                      <w:pPr>
                        <w:pStyle w:val="Rahmeninhalt"/>
                        <w:jc w:val="center"/>
                        <w:rPr>
                          <w:b/>
                          <w:b/>
                          <w:color w:val="FFFFFF" w:themeColor="background1"/>
                          <w:sz w:val="50"/>
                          <w:szCs w:val="50"/>
                        </w:rPr>
                      </w:pPr>
                      <w:r>
                        <w:rPr>
                          <w:b/>
                          <w:color w:val="FFFFFF" w:themeColor="background1"/>
                          <w:sz w:val="50"/>
                          <w:szCs w:val="50"/>
                        </w:rPr>
                        <w:t>Topic 10 WHOIS RT Recommendations Work Statement  &amp; Work Plan</w:t>
                      </w:r>
                    </w:p>
                    <w:p>
                      <w:pPr>
                        <w:pStyle w:val="Rahmeninhalt"/>
                        <w:spacing w:before="0" w:after="200"/>
                        <w:rPr/>
                      </w:pPr>
                      <w:r>
                        <w:rPr/>
                      </w:r>
                    </w:p>
                  </w:txbxContent>
                </v:textbox>
              </v:rect>
            </w:pict>
          </mc:Fallback>
        </mc:AlternateContent>
      </w:r>
    </w:p>
    <w:p>
      <w:pPr>
        <w:pStyle w:val="Normal"/>
        <w:widowControl w:val="false"/>
        <w:numPr>
          <w:ilvl w:val="0"/>
          <w:numId w:val="0"/>
        </w:numPr>
        <w:spacing w:lineRule="auto" w:line="240" w:before="0" w:after="240"/>
        <w:outlineLvl w:val="0"/>
        <w:rPr>
          <w:rFonts w:ascii="Calibri" w:hAnsi="Calibri" w:eastAsia="Times New Roman" w:cs="Calibri" w:asciiTheme="minorHAnsi" w:hAnsiTheme="minorHAnsi"/>
          <w:bCs/>
          <w:color w:val="000000"/>
          <w:sz w:val="24"/>
          <w:szCs w:val="24"/>
        </w:rPr>
      </w:pPr>
      <w:r>
        <w:rPr>
          <w:rFonts w:eastAsia="Times New Roman" w:cs="Calibri"/>
          <w:bCs/>
          <w:color w:val="000000"/>
          <w:sz w:val="24"/>
          <w:szCs w:val="24"/>
        </w:rPr>
      </w:r>
    </w:p>
    <w:p>
      <w:pPr>
        <w:pStyle w:val="Normal"/>
        <w:widowControl w:val="false"/>
        <w:numPr>
          <w:ilvl w:val="0"/>
          <w:numId w:val="0"/>
        </w:numPr>
        <w:spacing w:lineRule="auto" w:line="240" w:before="0" w:after="240"/>
        <w:outlineLvl w:val="0"/>
        <w:rPr>
          <w:rFonts w:ascii="Calibri" w:hAnsi="Calibri" w:eastAsia="Times New Roman" w:cs="Calibri" w:asciiTheme="minorHAnsi" w:hAnsiTheme="minorHAnsi"/>
          <w:bCs/>
          <w:color w:val="000000"/>
          <w:sz w:val="24"/>
          <w:szCs w:val="24"/>
        </w:rPr>
      </w:pPr>
      <w:r>
        <w:rPr>
          <w:rFonts w:eastAsia="Times New Roman" w:cs="Calibri"/>
          <w:bCs/>
          <w:color w:val="000000"/>
          <w:sz w:val="24"/>
          <w:szCs w:val="24"/>
        </w:rPr>
      </w:r>
    </w:p>
    <w:tbl>
      <w:tblPr>
        <w:tblW w:w="10440" w:type="dxa"/>
        <w:jc w:val="left"/>
        <w:tblInd w:w="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firstRow="1" w:noVBand="1" w:lastRow="0" w:firstColumn="1" w:lastColumn="0" w:noHBand="0" w:val="04a0"/>
      </w:tblPr>
      <w:tblGrid>
        <w:gridCol w:w="2759"/>
        <w:gridCol w:w="7680"/>
      </w:tblGrid>
      <w:tr>
        <w:trPr>
          <w:trHeight w:val="432" w:hRule="exact"/>
        </w:trPr>
        <w:tc>
          <w:tcPr>
            <w:tcW w:w="10439"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1768B1" w:val="clear"/>
            <w:tcMar>
              <w:left w:w="108" w:type="dxa"/>
            </w:tcMar>
            <w:vAlign w:val="center"/>
          </w:tcPr>
          <w:p>
            <w:pPr>
              <w:pStyle w:val="Normal"/>
              <w:widowControl w:val="false"/>
              <w:spacing w:lineRule="auto" w:line="240" w:before="0" w:after="240"/>
              <w:rPr>
                <w:rFonts w:ascii="Calibri" w:hAnsi="Calibri" w:asciiTheme="minorHAnsi" w:hAnsiTheme="minorHAnsi"/>
                <w:b/>
                <w:b/>
                <w:color w:val="FFFFFF"/>
                <w:sz w:val="28"/>
                <w:szCs w:val="28"/>
              </w:rPr>
            </w:pPr>
            <w:r>
              <w:rPr>
                <w:rFonts w:asciiTheme="minorHAnsi" w:hAnsiTheme="minorHAnsi"/>
                <w:b/>
                <w:color w:val="FFFFFF"/>
                <w:sz w:val="28"/>
                <w:szCs w:val="28"/>
              </w:rPr>
              <w:t>Work Force Identification</w:t>
            </w:r>
          </w:p>
        </w:tc>
      </w:tr>
      <w:tr>
        <w:trPr>
          <w:trHeight w:val="20" w:hRule="atLeast"/>
          <w:cantSplit w:val="true"/>
        </w:trPr>
        <w:tc>
          <w:tcPr>
            <w:tcW w:w="27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2F2F2" w:val="clear"/>
            <w:tcMar>
              <w:left w:w="108" w:type="dxa"/>
            </w:tcMar>
            <w:vAlign w:val="center"/>
          </w:tcPr>
          <w:p>
            <w:pPr>
              <w:pStyle w:val="Normal"/>
              <w:widowControl w:val="false"/>
              <w:spacing w:lineRule="auto" w:line="240" w:before="0" w:after="240"/>
              <w:rPr>
                <w:rStyle w:val="Applestylespan"/>
                <w:rFonts w:ascii="Calibri" w:hAnsi="Calibri" w:cs="Calibri" w:asciiTheme="minorHAnsi" w:hAnsiTheme="minorHAnsi"/>
                <w:b/>
                <w:b/>
                <w:bCs/>
                <w:sz w:val="24"/>
                <w:szCs w:val="24"/>
              </w:rPr>
            </w:pPr>
            <w:r>
              <w:rPr>
                <w:rStyle w:val="Applestylespan"/>
                <w:rFonts w:cs="Calibri"/>
                <w:b/>
                <w:bCs/>
                <w:sz w:val="24"/>
                <w:szCs w:val="24"/>
              </w:rPr>
              <w:t>Members</w:t>
            </w:r>
          </w:p>
        </w:tc>
        <w:tc>
          <w:tcPr>
            <w:tcW w:w="768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108" w:type="dxa"/>
            </w:tcMar>
            <w:vAlign w:val="center"/>
          </w:tcPr>
          <w:p>
            <w:pPr>
              <w:pStyle w:val="Normal"/>
              <w:spacing w:lineRule="auto" w:line="240" w:before="0" w:after="0"/>
              <w:rPr>
                <w:rFonts w:ascii="Times New Roman" w:hAnsi="Times New Roman" w:eastAsia="Times New Roman"/>
                <w:sz w:val="24"/>
                <w:szCs w:val="24"/>
              </w:rPr>
            </w:pPr>
            <w:r>
              <w:rPr>
                <w:rFonts w:asciiTheme="minorHAnsi" w:hAnsiTheme="minorHAnsi"/>
                <w:sz w:val="24"/>
                <w:szCs w:val="24"/>
              </w:rPr>
              <w:t xml:space="preserve">Volker Greimann, Stephanie Perrin, </w:t>
            </w:r>
            <w:r>
              <w:rPr>
                <w:rFonts w:eastAsia="Times New Roman" w:cs="Arial" w:ascii="Arial" w:hAnsi="Arial"/>
                <w:color w:val="333333"/>
                <w:sz w:val="21"/>
                <w:szCs w:val="21"/>
                <w:shd w:fill="F0F0F0" w:val="clear"/>
              </w:rPr>
              <w:t>Cathrin Bauer-Bulst</w:t>
            </w:r>
            <w:r>
              <w:rPr>
                <w:rFonts w:eastAsia="Times New Roman" w:ascii="Times New Roman" w:hAnsi="Times New Roman"/>
                <w:sz w:val="24"/>
                <w:szCs w:val="24"/>
              </w:rPr>
              <w:t xml:space="preserve">, </w:t>
            </w:r>
            <w:r>
              <w:rPr>
                <w:rFonts w:asciiTheme="minorHAnsi" w:hAnsiTheme="minorHAnsi"/>
                <w:sz w:val="24"/>
                <w:szCs w:val="24"/>
              </w:rPr>
              <w:t>Susan Kawaguchi</w:t>
            </w:r>
          </w:p>
        </w:tc>
      </w:tr>
      <w:tr>
        <w:trPr>
          <w:trHeight w:val="20" w:hRule="atLeast"/>
          <w:cantSplit w:val="true"/>
        </w:trPr>
        <w:tc>
          <w:tcPr>
            <w:tcW w:w="27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2F2F2" w:val="clear"/>
            <w:tcMar>
              <w:left w:w="108" w:type="dxa"/>
            </w:tcMar>
            <w:vAlign w:val="center"/>
          </w:tcPr>
          <w:p>
            <w:pPr>
              <w:pStyle w:val="Normal"/>
              <w:widowControl w:val="false"/>
              <w:spacing w:lineRule="auto" w:line="240" w:before="0" w:after="240"/>
              <w:rPr>
                <w:rStyle w:val="Applestylespan"/>
                <w:rFonts w:ascii="Calibri" w:hAnsi="Calibri" w:cs="Calibri" w:asciiTheme="minorHAnsi" w:hAnsiTheme="minorHAnsi"/>
                <w:b/>
                <w:b/>
                <w:bCs/>
                <w:sz w:val="24"/>
                <w:szCs w:val="24"/>
              </w:rPr>
            </w:pPr>
            <w:r>
              <w:rPr>
                <w:rStyle w:val="Applestylespan"/>
                <w:rFonts w:cs="Calibri"/>
                <w:b/>
                <w:bCs/>
                <w:sz w:val="24"/>
                <w:szCs w:val="24"/>
              </w:rPr>
              <w:t>Rapporteur</w:t>
            </w:r>
          </w:p>
        </w:tc>
        <w:tc>
          <w:tcPr>
            <w:tcW w:w="768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108" w:type="dxa"/>
            </w:tcMar>
            <w:vAlign w:val="center"/>
          </w:tcPr>
          <w:p>
            <w:pPr>
              <w:pStyle w:val="Normal"/>
              <w:widowControl w:val="false"/>
              <w:spacing w:lineRule="auto" w:line="240" w:before="0" w:after="240"/>
              <w:rPr>
                <w:rFonts w:ascii="Calibri" w:hAnsi="Calibri" w:asciiTheme="minorHAnsi" w:hAnsiTheme="minorHAnsi"/>
                <w:b/>
                <w:b/>
                <w:sz w:val="24"/>
                <w:szCs w:val="24"/>
              </w:rPr>
            </w:pPr>
            <w:r>
              <w:rPr>
                <w:rFonts w:asciiTheme="minorHAnsi" w:hAnsiTheme="minorHAnsi"/>
                <w:sz w:val="24"/>
                <w:szCs w:val="24"/>
              </w:rPr>
              <w:t>Volker Greimann and Stephanie Perrin</w:t>
            </w:r>
          </w:p>
        </w:tc>
      </w:tr>
      <w:tr>
        <w:trPr>
          <w:trHeight w:val="360" w:hRule="atLeast"/>
          <w:cantSplit w:val="true"/>
        </w:trPr>
        <w:tc>
          <w:tcPr>
            <w:tcW w:w="27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2F2F2" w:val="clear"/>
            <w:tcMar>
              <w:left w:w="108" w:type="dxa"/>
            </w:tcMar>
            <w:vAlign w:val="center"/>
          </w:tcPr>
          <w:p>
            <w:pPr>
              <w:pStyle w:val="Normal"/>
              <w:widowControl w:val="false"/>
              <w:spacing w:lineRule="auto" w:line="240" w:before="0" w:after="240"/>
              <w:rPr>
                <w:rStyle w:val="Applestylespan"/>
                <w:rFonts w:ascii="Calibri" w:hAnsi="Calibri" w:cs="Calibri" w:asciiTheme="minorHAnsi" w:hAnsiTheme="minorHAnsi"/>
                <w:b/>
                <w:b/>
                <w:bCs/>
                <w:sz w:val="24"/>
                <w:szCs w:val="24"/>
              </w:rPr>
            </w:pPr>
            <w:r>
              <w:rPr>
                <w:rStyle w:val="Applestylespan"/>
                <w:rFonts w:cs="Calibri"/>
                <w:b/>
                <w:bCs/>
                <w:sz w:val="24"/>
                <w:szCs w:val="24"/>
              </w:rPr>
              <w:t>Scope Objectives</w:t>
            </w:r>
          </w:p>
        </w:tc>
        <w:tc>
          <w:tcPr>
            <w:tcW w:w="768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108" w:type="dxa"/>
            </w:tcMar>
            <w:vAlign w:val="center"/>
          </w:tcPr>
          <w:p>
            <w:pPr>
              <w:pStyle w:val="NormalWeb"/>
              <w:spacing w:beforeAutospacing="0" w:before="0" w:afterAutospacing="0" w:after="0"/>
              <w:rPr/>
            </w:pPr>
            <w:r>
              <w:rPr>
                <w:rFonts w:cs="Arial" w:ascii="Arial" w:hAnsi="Arial"/>
                <w:b/>
                <w:bCs/>
                <w:color w:val="707070"/>
                <w:sz w:val="21"/>
                <w:szCs w:val="21"/>
              </w:rPr>
              <w:t>Consistent with ICANN’s mission and</w:t>
            </w:r>
            <w:r>
              <w:rPr>
                <w:rStyle w:val="Appleconvertedspace"/>
                <w:rFonts w:cs="Arial" w:ascii="Arial" w:hAnsi="Arial"/>
                <w:b/>
                <w:bCs/>
                <w:color w:val="707070"/>
                <w:sz w:val="21"/>
                <w:szCs w:val="21"/>
              </w:rPr>
              <w:t> </w:t>
            </w:r>
            <w:hyperlink r:id="rId2">
              <w:r>
                <w:rPr>
                  <w:rStyle w:val="Internetlink"/>
                  <w:rFonts w:cs="Arial" w:ascii="Arial" w:hAnsi="Arial"/>
                  <w:b/>
                  <w:bCs/>
                  <w:color w:val="3B73AF"/>
                  <w:sz w:val="21"/>
                  <w:szCs w:val="21"/>
                </w:rPr>
                <w:t>Bylaws</w:t>
              </w:r>
            </w:hyperlink>
            <w:r>
              <w:rPr>
                <w:rFonts w:cs="Arial" w:ascii="Arial" w:hAnsi="Arial"/>
                <w:b/>
                <w:bCs/>
                <w:color w:val="707070"/>
                <w:sz w:val="21"/>
                <w:szCs w:val="21"/>
              </w:rPr>
              <w:t>,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 </w:t>
            </w:r>
          </w:p>
          <w:p>
            <w:pPr>
              <w:pStyle w:val="Normal"/>
              <w:rPr>
                <w:rFonts w:ascii="Times New Roman" w:hAnsi="Times New Roman" w:eastAsia="Times New Roman"/>
                <w:sz w:val="24"/>
                <w:szCs w:val="24"/>
              </w:rPr>
            </w:pPr>
            <w:r>
              <w:rPr>
                <w:rFonts w:eastAsia="Times New Roman" w:ascii="Times New Roman" w:hAnsi="Times New Roman"/>
                <w:sz w:val="24"/>
                <w:szCs w:val="24"/>
              </w:rPr>
            </w:r>
          </w:p>
          <w:p>
            <w:pPr>
              <w:pStyle w:val="ListParagraph"/>
              <w:widowControl w:val="false"/>
              <w:spacing w:before="0" w:after="240"/>
              <w:rPr>
                <w:rFonts w:ascii="Calibri" w:hAnsi="Calibri" w:asciiTheme="minorHAnsi" w:hAnsiTheme="minorHAnsi"/>
                <w:sz w:val="24"/>
                <w:szCs w:val="24"/>
              </w:rPr>
            </w:pPr>
            <w:r>
              <w:rPr>
                <w:rFonts w:asciiTheme="minorHAnsi" w:hAnsiTheme="minorHAnsi" w:ascii="Calibri" w:hAnsi="Calibri"/>
                <w:sz w:val="24"/>
                <w:szCs w:val="24"/>
              </w:rPr>
            </w:r>
          </w:p>
        </w:tc>
      </w:tr>
      <w:tr>
        <w:trPr>
          <w:trHeight w:val="360" w:hRule="atLeast"/>
          <w:cantSplit w:val="true"/>
        </w:trPr>
        <w:tc>
          <w:tcPr>
            <w:tcW w:w="27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2F2F2" w:val="clear"/>
            <w:tcMar>
              <w:left w:w="108" w:type="dxa"/>
            </w:tcMar>
            <w:vAlign w:val="center"/>
          </w:tcPr>
          <w:p>
            <w:pPr>
              <w:pStyle w:val="Normal"/>
              <w:widowControl w:val="false"/>
              <w:spacing w:lineRule="auto" w:line="240" w:before="0" w:after="240"/>
              <w:rPr>
                <w:rStyle w:val="Applestylespan"/>
                <w:rFonts w:ascii="Calibri" w:hAnsi="Calibri" w:cs="Calibri" w:asciiTheme="minorHAnsi" w:hAnsiTheme="minorHAnsi"/>
                <w:b/>
                <w:b/>
                <w:bCs/>
                <w:sz w:val="24"/>
                <w:szCs w:val="24"/>
              </w:rPr>
            </w:pPr>
            <w:r>
              <w:rPr>
                <w:rStyle w:val="Applestylespan"/>
                <w:rFonts w:cs="Calibri"/>
                <w:b/>
                <w:bCs/>
                <w:sz w:val="24"/>
                <w:szCs w:val="24"/>
              </w:rPr>
              <w:t>Comments on Scope, further details</w:t>
            </w:r>
          </w:p>
        </w:tc>
        <w:tc>
          <w:tcPr>
            <w:tcW w:w="768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108" w:type="dxa"/>
            </w:tcMar>
            <w:vAlign w:val="center"/>
          </w:tcPr>
          <w:p>
            <w:pPr>
              <w:pStyle w:val="Normal"/>
              <w:widowControl w:val="false"/>
              <w:spacing w:lineRule="auto" w:line="240" w:before="0" w:after="240"/>
              <w:rPr/>
            </w:pPr>
            <w:r>
              <w:rPr>
                <w:rFonts w:asciiTheme="minorHAnsi" w:hAnsiTheme="minorHAnsi"/>
                <w:sz w:val="24"/>
                <w:szCs w:val="24"/>
              </w:rPr>
              <w:t xml:space="preserve">The </w:t>
            </w:r>
            <w:r>
              <w:rPr>
                <w:rFonts w:asciiTheme="minorHAnsi" w:hAnsiTheme="minorHAnsi"/>
                <w:sz w:val="24"/>
                <w:szCs w:val="24"/>
              </w:rPr>
              <w:t>2013 RAA introduced a specification on privacy and proxy registrations requiring registrars to comply with certain requirements regarding such registrations through affiliated p/p service providers as a first step towards implementing this recommendation.</w:t>
            </w:r>
            <w:r>
              <w:rPr>
                <w:rFonts w:asciiTheme="minorHAnsi" w:hAnsiTheme="minorHAnsi"/>
                <w:sz w:val="24"/>
                <w:szCs w:val="24"/>
              </w:rPr>
              <w:t xml:space="preserve"> </w:t>
            </w:r>
            <w:r>
              <w:rPr>
                <w:rFonts w:asciiTheme="minorHAnsi" w:hAnsiTheme="minorHAnsi"/>
                <w:sz w:val="24"/>
                <w:szCs w:val="24"/>
              </w:rPr>
              <w:t xml:space="preserve">The Privacy Proxy </w:t>
            </w:r>
            <w:r>
              <w:rPr>
                <w:rFonts w:asciiTheme="minorHAnsi" w:hAnsiTheme="minorHAnsi"/>
                <w:sz w:val="24"/>
                <w:szCs w:val="24"/>
              </w:rPr>
              <w:t xml:space="preserve">IRT WG is currently working on </w:t>
            </w:r>
            <w:r>
              <w:rPr>
                <w:rFonts w:asciiTheme="minorHAnsi" w:hAnsiTheme="minorHAnsi"/>
                <w:sz w:val="24"/>
                <w:szCs w:val="24"/>
              </w:rPr>
              <w:t xml:space="preserve">an </w:t>
            </w:r>
            <w:r>
              <w:rPr>
                <w:rFonts w:asciiTheme="minorHAnsi" w:hAnsiTheme="minorHAnsi"/>
                <w:sz w:val="24"/>
                <w:szCs w:val="24"/>
              </w:rPr>
              <w:t xml:space="preserve">implementation of this recommendation </w:t>
            </w:r>
            <w:r>
              <w:rPr>
                <w:rFonts w:asciiTheme="minorHAnsi" w:hAnsiTheme="minorHAnsi"/>
                <w:sz w:val="24"/>
                <w:szCs w:val="24"/>
              </w:rPr>
              <w:t>that will also include unaffiliated providers of such services</w:t>
            </w:r>
            <w:r>
              <w:rPr>
                <w:rFonts w:asciiTheme="minorHAnsi" w:hAnsiTheme="minorHAnsi"/>
                <w:sz w:val="24"/>
                <w:szCs w:val="24"/>
              </w:rPr>
              <w:t xml:space="preserve">.  </w:t>
            </w:r>
          </w:p>
          <w:p>
            <w:pPr>
              <w:pStyle w:val="Normal"/>
              <w:widowControl w:val="false"/>
              <w:spacing w:lineRule="auto" w:line="240" w:before="0" w:after="240"/>
              <w:rPr/>
            </w:pPr>
            <w:r>
              <w:rPr>
                <w:rFonts w:asciiTheme="minorHAnsi" w:hAnsiTheme="minorHAnsi"/>
                <w:sz w:val="24"/>
                <w:szCs w:val="24"/>
              </w:rPr>
              <w:t xml:space="preserve">This review will encompass the work completed </w:t>
            </w:r>
            <w:r>
              <w:rPr>
                <w:rFonts w:asciiTheme="minorHAnsi" w:hAnsiTheme="minorHAnsi"/>
                <w:sz w:val="24"/>
                <w:szCs w:val="24"/>
              </w:rPr>
              <w:t xml:space="preserve">both through the RAA specification and the PDP </w:t>
            </w:r>
            <w:r>
              <w:rPr>
                <w:rFonts w:asciiTheme="minorHAnsi" w:hAnsiTheme="minorHAnsi"/>
                <w:sz w:val="24"/>
                <w:szCs w:val="24"/>
              </w:rPr>
              <w:t xml:space="preserve">and if the agreed upon details adhere to the recommendation. </w:t>
            </w:r>
          </w:p>
        </w:tc>
      </w:tr>
      <w:tr>
        <w:trPr>
          <w:trHeight w:val="360" w:hRule="atLeast"/>
          <w:cantSplit w:val="true"/>
        </w:trPr>
        <w:tc>
          <w:tcPr>
            <w:tcW w:w="27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2F2F2" w:val="clear"/>
            <w:tcMar>
              <w:left w:w="108" w:type="dxa"/>
            </w:tcMar>
            <w:vAlign w:val="center"/>
          </w:tcPr>
          <w:p>
            <w:pPr>
              <w:pStyle w:val="Normal"/>
              <w:widowControl w:val="false"/>
              <w:spacing w:lineRule="auto" w:line="240" w:before="0" w:after="240"/>
              <w:rPr>
                <w:rStyle w:val="Applestylespan"/>
                <w:rFonts w:ascii="Calibri" w:hAnsi="Calibri" w:cs="Calibri" w:asciiTheme="minorHAnsi" w:hAnsiTheme="minorHAnsi"/>
                <w:b/>
                <w:b/>
                <w:bCs/>
                <w:sz w:val="24"/>
                <w:szCs w:val="24"/>
              </w:rPr>
            </w:pPr>
            <w:r>
              <w:rPr>
                <w:rStyle w:val="Applestylespan"/>
                <w:rFonts w:cs="Calibri"/>
                <w:b/>
                <w:bCs/>
                <w:sz w:val="24"/>
                <w:szCs w:val="24"/>
              </w:rPr>
              <w:t>Questions we will need to answer in assessing whether the objective has been reached</w:t>
            </w:r>
          </w:p>
        </w:tc>
        <w:tc>
          <w:tcPr>
            <w:tcW w:w="768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108" w:type="dxa"/>
            </w:tcMar>
            <w:vAlign w:val="center"/>
          </w:tcPr>
          <w:p>
            <w:pPr>
              <w:pStyle w:val="NormalWeb"/>
              <w:spacing w:before="280" w:after="280"/>
              <w:rPr>
                <w:rFonts w:ascii="Calibri" w:hAnsi="Calibri"/>
                <w:highlight w:val="white"/>
              </w:rPr>
            </w:pPr>
            <w:r>
              <w:rPr>
                <w:rFonts w:ascii="SymbolMT" w:hAnsi="SymbolMT"/>
                <w:sz w:val="22"/>
                <w:szCs w:val="22"/>
                <w:shd w:fill="FFFFFF" w:val="clear"/>
              </w:rPr>
              <w:t></w:t>
            </w:r>
            <w:r>
              <w:rPr>
                <w:rFonts w:ascii="Calibri" w:hAnsi="Calibri"/>
                <w:sz w:val="22"/>
                <w:szCs w:val="22"/>
                <w:shd w:fill="FFFFFF" w:val="clear"/>
              </w:rPr>
              <w:t xml:space="preserve">Clearly labeling WHOIS entries to indicate that registrations have been made by a privacy or proxy service; </w:t>
            </w:r>
          </w:p>
          <w:p>
            <w:pPr>
              <w:pStyle w:val="NormalWeb"/>
              <w:rPr>
                <w:color w:val="FF0000"/>
              </w:rPr>
            </w:pPr>
            <w:r>
              <w:rPr>
                <w:rFonts w:ascii="Calibri" w:hAnsi="Calibri"/>
                <w:color w:val="FF0000"/>
                <w:sz w:val="22"/>
                <w:szCs w:val="22"/>
                <w:shd w:fill="FFFFFF" w:val="clear"/>
              </w:rPr>
              <w:t>Included in PPSAI working group report</w:t>
            </w:r>
          </w:p>
          <w:p>
            <w:pPr>
              <w:pStyle w:val="NormalWeb"/>
              <w:rPr>
                <w:sz w:val="22"/>
                <w:szCs w:val="22"/>
              </w:rPr>
            </w:pPr>
            <w:r>
              <w:rPr>
                <w:rFonts w:ascii="SymbolMT" w:hAnsi="SymbolMT"/>
                <w:sz w:val="22"/>
                <w:szCs w:val="22"/>
                <w:shd w:fill="FFFFFF" w:val="clear"/>
              </w:rPr>
              <w:t></w:t>
            </w:r>
            <w:r>
              <w:rPr>
                <w:rFonts w:ascii="Calibri" w:hAnsi="Calibri"/>
                <w:sz w:val="22"/>
                <w:szCs w:val="22"/>
                <w:shd w:fill="FFFFFF" w:val="clear"/>
              </w:rPr>
              <w:t xml:space="preserve">Providing full WHOIS contact details for the privacy/proxy service provider, which are contactable and responsive; </w:t>
            </w:r>
          </w:p>
          <w:p>
            <w:pPr>
              <w:pStyle w:val="NormalWeb"/>
              <w:rPr>
                <w:sz w:val="22"/>
                <w:szCs w:val="22"/>
              </w:rPr>
            </w:pPr>
            <w:r>
              <w:rPr>
                <w:rFonts w:ascii="Calibri" w:hAnsi="Calibri"/>
                <w:color w:val="FF0000"/>
                <w:sz w:val="22"/>
                <w:szCs w:val="22"/>
                <w:shd w:fill="FFFFFF" w:val="clear"/>
              </w:rPr>
              <w:t xml:space="preserve">How a standard response process </w:t>
            </w:r>
            <w:r>
              <w:rPr>
                <w:rFonts w:ascii="Calibri" w:hAnsi="Calibri"/>
                <w:color w:val="FF0000"/>
                <w:sz w:val="22"/>
                <w:szCs w:val="22"/>
                <w:shd w:fill="FFFFFF" w:val="clear"/>
              </w:rPr>
              <w:t>will work is still being debated.</w:t>
            </w:r>
          </w:p>
          <w:p>
            <w:pPr>
              <w:pStyle w:val="NormalWeb"/>
              <w:rPr>
                <w:sz w:val="22"/>
                <w:szCs w:val="22"/>
              </w:rPr>
            </w:pPr>
            <w:r>
              <w:rPr>
                <w:rFonts w:ascii="SymbolMT" w:hAnsi="SymbolMT"/>
                <w:sz w:val="22"/>
                <w:szCs w:val="22"/>
                <w:shd w:fill="FFFFFF" w:val="clear"/>
              </w:rPr>
              <w:t></w:t>
            </w:r>
            <w:r>
              <w:rPr>
                <w:rFonts w:ascii="Calibri" w:hAnsi="Calibri"/>
                <w:sz w:val="22"/>
                <w:szCs w:val="22"/>
                <w:shd w:fill="FFFFFF" w:val="clear"/>
              </w:rPr>
              <w:t xml:space="preserve">Adopting agreed standardized relay and reveal processes and timeframes; (these should be clearly published, and proactively advised to potential users of these services so they can make informed choices based on their individual circumstances); </w:t>
            </w:r>
          </w:p>
          <w:p>
            <w:pPr>
              <w:pStyle w:val="NormalWeb"/>
              <w:rPr>
                <w:sz w:val="22"/>
                <w:szCs w:val="22"/>
              </w:rPr>
            </w:pPr>
            <w:r>
              <w:rPr>
                <w:rFonts w:ascii="Calibri" w:hAnsi="Calibri"/>
                <w:color w:val="FF0000"/>
                <w:sz w:val="22"/>
                <w:szCs w:val="22"/>
                <w:shd w:fill="FFFFFF" w:val="clear"/>
              </w:rPr>
              <w:t xml:space="preserve">Law enforcement relay and reveal processes are still being debated and how this would be implemented in a way that would not be burdensome for each side. </w:t>
            </w:r>
          </w:p>
          <w:p>
            <w:pPr>
              <w:pStyle w:val="NormalWeb"/>
              <w:rPr>
                <w:sz w:val="22"/>
                <w:szCs w:val="22"/>
              </w:rPr>
            </w:pPr>
            <w:r>
              <w:rPr>
                <w:rFonts w:ascii="Calibri" w:hAnsi="Calibri"/>
                <w:color w:val="FF0000"/>
                <w:sz w:val="22"/>
                <w:szCs w:val="22"/>
                <w:highlight w:val="white"/>
              </w:rPr>
              <w:t>Partially defined under 2.4.5 of the RAA spec.</w:t>
            </w:r>
          </w:p>
          <w:p>
            <w:pPr>
              <w:pStyle w:val="NormalWeb"/>
              <w:rPr>
                <w:rFonts w:ascii="Calibri" w:hAnsi="Calibri"/>
                <w:highlight w:val="white"/>
              </w:rPr>
            </w:pPr>
            <w:r>
              <w:rPr>
                <w:rFonts w:ascii="SymbolMT" w:hAnsi="SymbolMT"/>
                <w:sz w:val="22"/>
                <w:szCs w:val="22"/>
                <w:shd w:fill="FFFFFF" w:val="clear"/>
              </w:rPr>
              <w:t></w:t>
            </w:r>
            <w:r>
              <w:rPr>
                <w:rFonts w:ascii="Calibri" w:hAnsi="Calibri"/>
                <w:sz w:val="22"/>
                <w:szCs w:val="22"/>
                <w:shd w:fill="FFFFFF" w:val="clear"/>
              </w:rPr>
              <w:t xml:space="preserve">Registrars should disclose their relationship with any proxy/privacy service provider; </w:t>
            </w:r>
          </w:p>
          <w:p>
            <w:pPr>
              <w:pStyle w:val="NormalWeb"/>
              <w:rPr>
                <w:sz w:val="22"/>
                <w:szCs w:val="22"/>
              </w:rPr>
            </w:pPr>
            <w:r>
              <w:rPr>
                <w:rFonts w:ascii="Calibri" w:hAnsi="Calibri"/>
                <w:color w:val="FF0000"/>
                <w:sz w:val="22"/>
                <w:szCs w:val="22"/>
                <w:shd w:fill="FFFFFF" w:val="clear"/>
              </w:rPr>
              <w:t>Included in PPSAI working group report</w:t>
            </w:r>
          </w:p>
          <w:p>
            <w:pPr>
              <w:pStyle w:val="NormalWeb"/>
              <w:rPr>
                <w:sz w:val="22"/>
                <w:szCs w:val="22"/>
              </w:rPr>
            </w:pPr>
            <w:r>
              <w:rPr>
                <w:rFonts w:ascii="Calibri" w:hAnsi="Calibri"/>
                <w:color w:val="FF0000"/>
                <w:sz w:val="22"/>
                <w:szCs w:val="22"/>
                <w:highlight w:val="white"/>
              </w:rPr>
              <w:t>Partially defined under 2.3 of the RAA spec.</w:t>
            </w:r>
          </w:p>
          <w:p>
            <w:pPr>
              <w:pStyle w:val="NormalWeb"/>
              <w:rPr>
                <w:sz w:val="22"/>
                <w:szCs w:val="22"/>
              </w:rPr>
            </w:pPr>
            <w:r>
              <w:rPr>
                <w:rFonts w:ascii="SymbolMT" w:hAnsi="SymbolMT"/>
                <w:sz w:val="22"/>
                <w:szCs w:val="22"/>
                <w:shd w:fill="FFFFFF" w:val="clear"/>
              </w:rPr>
              <w:t></w:t>
            </w:r>
            <w:r>
              <w:rPr>
                <w:rFonts w:ascii="Calibri" w:hAnsi="Calibri"/>
                <w:sz w:val="22"/>
                <w:szCs w:val="22"/>
                <w:shd w:fill="FFFFFF" w:val="clear"/>
              </w:rPr>
              <w:t xml:space="preserve">Maintaining dedicated abuse points of contact for each provider; </w:t>
            </w:r>
          </w:p>
          <w:p>
            <w:pPr>
              <w:pStyle w:val="NormalWeb"/>
              <w:rPr>
                <w:sz w:val="22"/>
                <w:szCs w:val="22"/>
              </w:rPr>
            </w:pPr>
            <w:r>
              <w:rPr>
                <w:rFonts w:ascii="Calibri" w:hAnsi="Calibri"/>
                <w:color w:val="FF0000"/>
                <w:sz w:val="22"/>
                <w:szCs w:val="22"/>
                <w:highlight w:val="white"/>
              </w:rPr>
              <w:t>Partially defined under 2.4.</w:t>
            </w:r>
            <w:r>
              <w:rPr>
                <w:rFonts w:ascii="Calibri" w:hAnsi="Calibri"/>
                <w:color w:val="FF0000"/>
                <w:sz w:val="22"/>
                <w:szCs w:val="22"/>
                <w:highlight w:val="white"/>
              </w:rPr>
              <w:t>1 and 2.4.2</w:t>
            </w:r>
            <w:r>
              <w:rPr>
                <w:rFonts w:ascii="Calibri" w:hAnsi="Calibri"/>
                <w:color w:val="FF0000"/>
                <w:sz w:val="22"/>
                <w:szCs w:val="22"/>
                <w:highlight w:val="white"/>
              </w:rPr>
              <w:t xml:space="preserve"> of the RAA spec.</w:t>
            </w:r>
          </w:p>
          <w:p>
            <w:pPr>
              <w:pStyle w:val="NormalWeb"/>
              <w:rPr>
                <w:sz w:val="22"/>
                <w:szCs w:val="22"/>
              </w:rPr>
            </w:pPr>
            <w:r>
              <w:rPr>
                <w:rFonts w:ascii="SymbolMT" w:hAnsi="SymbolMT"/>
                <w:sz w:val="22"/>
                <w:szCs w:val="22"/>
                <w:shd w:fill="FFFFFF" w:val="clear"/>
              </w:rPr>
              <w:t></w:t>
            </w:r>
            <w:r>
              <w:rPr>
                <w:rFonts w:ascii="Calibri" w:hAnsi="Calibri"/>
                <w:sz w:val="22"/>
                <w:szCs w:val="22"/>
                <w:shd w:fill="FFFFFF" w:val="clear"/>
              </w:rPr>
              <w:t xml:space="preserve">Conducting periodic due diligence checks on customer contact information; </w:t>
            </w:r>
          </w:p>
          <w:p>
            <w:pPr>
              <w:pStyle w:val="NormalWeb"/>
              <w:rPr>
                <w:sz w:val="22"/>
                <w:szCs w:val="22"/>
              </w:rPr>
            </w:pPr>
            <w:r>
              <w:rPr>
                <w:rFonts w:ascii="Calibri" w:hAnsi="Calibri"/>
                <w:color w:val="FF0000"/>
                <w:sz w:val="22"/>
                <w:szCs w:val="22"/>
                <w:shd w:fill="FFFFFF" w:val="clear"/>
              </w:rPr>
              <w:t xml:space="preserve">What processes will the compliance need to address this and will they need additional resources to manage the enforcement of the contract? </w:t>
            </w:r>
            <w:r>
              <w:rPr>
                <w:rFonts w:ascii="Calibri" w:hAnsi="Calibri"/>
                <w:color w:val="FF0000"/>
                <w:sz w:val="22"/>
                <w:szCs w:val="22"/>
                <w:shd w:fill="FFFFFF" w:val="clear"/>
              </w:rPr>
              <w:t>Is this even achievable without violating the reliance of the underlying registrants on the privacy of their data.</w:t>
            </w:r>
          </w:p>
          <w:p>
            <w:pPr>
              <w:pStyle w:val="NormalWeb"/>
              <w:rPr>
                <w:rFonts w:ascii="Calibri" w:hAnsi="Calibri"/>
                <w:highlight w:val="white"/>
              </w:rPr>
            </w:pPr>
            <w:r>
              <w:rPr>
                <w:rFonts w:ascii="SymbolMT" w:hAnsi="SymbolMT"/>
                <w:sz w:val="22"/>
                <w:szCs w:val="22"/>
                <w:shd w:fill="FFFFFF" w:val="clear"/>
              </w:rPr>
              <w:t></w:t>
            </w:r>
            <w:r>
              <w:rPr>
                <w:rFonts w:ascii="Calibri" w:hAnsi="Calibri"/>
                <w:sz w:val="22"/>
                <w:szCs w:val="22"/>
                <w:shd w:fill="FFFFFF" w:val="clear"/>
              </w:rPr>
              <w:t xml:space="preserve">Maintaining the privacy and integrity of registrations in the event that major problems arise with a privacy/proxy provider; </w:t>
            </w:r>
          </w:p>
          <w:p>
            <w:pPr>
              <w:pStyle w:val="NormalWeb"/>
              <w:rPr>
                <w:color w:val="FF0000"/>
              </w:rPr>
            </w:pPr>
            <w:r>
              <w:rPr>
                <w:rFonts w:ascii="Calibri" w:hAnsi="Calibri"/>
                <w:color w:val="FF0000"/>
                <w:sz w:val="22"/>
                <w:szCs w:val="22"/>
                <w:shd w:fill="FFFFFF" w:val="clear"/>
              </w:rPr>
              <w:t>Included in PPSAI working group report</w:t>
            </w:r>
          </w:p>
          <w:p>
            <w:pPr>
              <w:pStyle w:val="NormalWeb"/>
              <w:rPr>
                <w:sz w:val="22"/>
                <w:szCs w:val="22"/>
              </w:rPr>
            </w:pPr>
            <w:r>
              <w:rPr>
                <w:rFonts w:ascii="Calibri" w:hAnsi="Calibri"/>
                <w:color w:val="FF0000"/>
                <w:sz w:val="22"/>
                <w:szCs w:val="22"/>
                <w:highlight w:val="white"/>
              </w:rPr>
              <w:t>Partially defined under 2.5 of the RAA spec.</w:t>
            </w:r>
          </w:p>
          <w:p>
            <w:pPr>
              <w:pStyle w:val="NormalWeb"/>
              <w:rPr>
                <w:rFonts w:ascii="Calibri" w:hAnsi="Calibri"/>
                <w:highlight w:val="white"/>
              </w:rPr>
            </w:pPr>
            <w:r>
              <w:rPr>
                <w:rFonts w:ascii="SymbolMT" w:hAnsi="SymbolMT"/>
                <w:sz w:val="22"/>
                <w:szCs w:val="22"/>
                <w:shd w:fill="FFFFFF" w:val="clear"/>
              </w:rPr>
              <w:t></w:t>
            </w:r>
            <w:r>
              <w:rPr>
                <w:rFonts w:ascii="Calibri" w:hAnsi="Calibri"/>
                <w:sz w:val="22"/>
                <w:szCs w:val="22"/>
                <w:shd w:fill="FFFFFF" w:val="clear"/>
              </w:rPr>
              <w:t xml:space="preserve">Providing clear and unambiguous guidance on the rights and responsibilities of registered name holders, and how those should be managed in the privacy/proxy environment. </w:t>
            </w:r>
          </w:p>
          <w:p>
            <w:pPr>
              <w:pStyle w:val="NormalWeb"/>
              <w:rPr>
                <w:sz w:val="22"/>
                <w:szCs w:val="22"/>
              </w:rPr>
            </w:pPr>
            <w:r>
              <w:rPr>
                <w:rFonts w:ascii="Calibri" w:hAnsi="Calibri"/>
                <w:color w:val="FF0000"/>
                <w:sz w:val="22"/>
                <w:szCs w:val="22"/>
                <w:highlight w:val="white"/>
              </w:rPr>
              <w:t>Partially defined under 2.4.</w:t>
            </w:r>
            <w:r>
              <w:rPr>
                <w:rFonts w:ascii="Calibri" w:hAnsi="Calibri"/>
                <w:color w:val="FF0000"/>
                <w:sz w:val="22"/>
                <w:szCs w:val="22"/>
                <w:highlight w:val="white"/>
              </w:rPr>
              <w:t>4, 2.4.5 and 2.4.6</w:t>
            </w:r>
            <w:r>
              <w:rPr>
                <w:rFonts w:ascii="Calibri" w:hAnsi="Calibri"/>
                <w:color w:val="FF0000"/>
                <w:sz w:val="22"/>
                <w:szCs w:val="22"/>
                <w:highlight w:val="white"/>
              </w:rPr>
              <w:t xml:space="preserve"> of the RAA spec.</w:t>
            </w:r>
          </w:p>
          <w:p>
            <w:pPr>
              <w:pStyle w:val="NormalWeb"/>
              <w:rPr/>
            </w:pPr>
            <w:r>
              <w:rPr>
                <w:rFonts w:ascii="Calibri" w:hAnsi="Calibri"/>
                <w:color w:val="FF0000"/>
                <w:shd w:fill="FFFFFF" w:val="clear"/>
              </w:rPr>
              <w:t xml:space="preserve">How effective are these rights and responsibility regarding the </w:t>
            </w:r>
            <w:r>
              <w:rPr>
                <w:rFonts w:ascii="Calibri" w:hAnsi="Calibri"/>
                <w:color w:val="FF0000"/>
                <w:shd w:fill="FFFFFF" w:val="clear"/>
              </w:rPr>
              <w:t>effective</w:t>
            </w:r>
            <w:r>
              <w:rPr>
                <w:rFonts w:ascii="Calibri" w:hAnsi="Calibri"/>
                <w:color w:val="FF0000"/>
                <w:shd w:fill="FFFFFF" w:val="clear"/>
              </w:rPr>
              <w:t>ness of</w:t>
            </w:r>
            <w:r>
              <w:rPr>
                <w:rFonts w:ascii="Calibri" w:hAnsi="Calibri"/>
                <w:color w:val="FF0000"/>
                <w:shd w:fill="FFFFFF" w:val="clear"/>
              </w:rPr>
              <w:t xml:space="preserve"> proxy registrations and </w:t>
            </w:r>
            <w:r>
              <w:rPr>
                <w:rFonts w:ascii="Calibri" w:hAnsi="Calibri"/>
                <w:color w:val="FF0000"/>
                <w:shd w:fill="FFFFFF" w:val="clear"/>
              </w:rPr>
              <w:t xml:space="preserve">the </w:t>
            </w:r>
            <w:r>
              <w:rPr>
                <w:rFonts w:ascii="Calibri" w:hAnsi="Calibri"/>
                <w:color w:val="FF0000"/>
                <w:shd w:fill="FFFFFF" w:val="clear"/>
              </w:rPr>
              <w:t>protecti</w:t>
            </w:r>
            <w:r>
              <w:rPr>
                <w:rFonts w:ascii="Calibri" w:hAnsi="Calibri"/>
                <w:color w:val="FF0000"/>
                <w:shd w:fill="FFFFFF" w:val="clear"/>
              </w:rPr>
              <w:t>on of</w:t>
            </w:r>
            <w:r>
              <w:rPr>
                <w:rFonts w:ascii="Calibri" w:hAnsi="Calibri"/>
                <w:color w:val="FF0000"/>
                <w:shd w:fill="FFFFFF" w:val="clear"/>
              </w:rPr>
              <w:t xml:space="preserve"> rights of others. </w:t>
            </w:r>
          </w:p>
          <w:p>
            <w:pPr>
              <w:pStyle w:val="NormalWeb"/>
              <w:rPr/>
            </w:pPr>
            <w:r>
              <w:rPr/>
            </w:r>
          </w:p>
          <w:p>
            <w:pPr>
              <w:pStyle w:val="Normal"/>
              <w:rPr/>
            </w:pPr>
            <w:r>
              <w:rPr/>
            </w:r>
          </w:p>
          <w:p>
            <w:pPr>
              <w:pStyle w:val="NormalWeb"/>
              <w:rPr/>
            </w:pPr>
            <w:r>
              <w:rPr/>
            </w:r>
          </w:p>
          <w:p>
            <w:pPr>
              <w:pStyle w:val="NormalWeb"/>
              <w:rPr>
                <w:rFonts w:ascii="Calibri" w:hAnsi="Calibri"/>
                <w:highlight w:val="white"/>
              </w:rPr>
            </w:pPr>
            <w:r>
              <w:rPr>
                <w:rFonts w:ascii="SymbolMT" w:hAnsi="SymbolMT"/>
                <w:shd w:fill="FFFFFF" w:val="clear"/>
              </w:rPr>
              <w:t></w:t>
            </w:r>
            <w:r>
              <w:rPr>
                <w:rFonts w:ascii="Calibri" w:hAnsi="Calibri"/>
                <w:shd w:fill="FFFFFF" w:val="clear"/>
              </w:rPr>
              <w:t xml:space="preserve">Conducting periodic due diligence checks on customer contact information; </w:t>
            </w:r>
          </w:p>
          <w:p>
            <w:pPr>
              <w:pStyle w:val="NormalWeb"/>
              <w:rPr>
                <w:color w:val="FF0000"/>
              </w:rPr>
            </w:pPr>
            <w:r>
              <w:rPr>
                <w:rFonts w:ascii="Calibri" w:hAnsi="Calibri"/>
                <w:color w:val="FF0000"/>
                <w:shd w:fill="FFFFFF" w:val="clear"/>
              </w:rPr>
              <w:t xml:space="preserve">What processes will the compliance need to address this and will they need additional resources to manage the enforcement of the contract? </w:t>
            </w:r>
          </w:p>
          <w:p>
            <w:pPr>
              <w:pStyle w:val="NormalWeb"/>
              <w:rPr>
                <w:rFonts w:ascii="Calibri" w:hAnsi="Calibri"/>
                <w:highlight w:val="white"/>
              </w:rPr>
            </w:pPr>
            <w:r>
              <w:rPr>
                <w:rFonts w:ascii="SymbolMT" w:hAnsi="SymbolMT"/>
                <w:shd w:fill="FFFFFF" w:val="clear"/>
              </w:rPr>
              <w:t></w:t>
            </w:r>
            <w:r>
              <w:rPr>
                <w:rFonts w:ascii="Calibri" w:hAnsi="Calibri"/>
                <w:shd w:fill="FFFFFF" w:val="clear"/>
              </w:rPr>
              <w:t xml:space="preserve">Maintaining the privacy and integrity of registrations in the event that major problems arise with a privacy/proxy provider; </w:t>
            </w:r>
          </w:p>
          <w:p>
            <w:pPr>
              <w:pStyle w:val="NormalWeb"/>
              <w:rPr>
                <w:color w:val="FF0000"/>
              </w:rPr>
            </w:pPr>
            <w:r>
              <w:rPr>
                <w:rFonts w:ascii="Calibri" w:hAnsi="Calibri"/>
                <w:color w:val="FF0000"/>
                <w:shd w:fill="FFFFFF" w:val="clear"/>
              </w:rPr>
              <w:t>Included in PPSAI working group report</w:t>
            </w:r>
          </w:p>
          <w:p>
            <w:pPr>
              <w:pStyle w:val="NormalWeb"/>
              <w:rPr/>
            </w:pPr>
            <w:r>
              <w:rPr/>
            </w:r>
          </w:p>
          <w:p>
            <w:pPr>
              <w:pStyle w:val="NormalWeb"/>
              <w:rPr>
                <w:rFonts w:ascii="Calibri" w:hAnsi="Calibri"/>
                <w:highlight w:val="white"/>
              </w:rPr>
            </w:pPr>
            <w:r>
              <w:rPr>
                <w:rFonts w:ascii="SymbolMT" w:hAnsi="SymbolMT"/>
                <w:shd w:fill="FFFFFF" w:val="clear"/>
              </w:rPr>
              <w:t></w:t>
            </w:r>
            <w:r>
              <w:rPr>
                <w:rFonts w:ascii="Calibri" w:hAnsi="Calibri"/>
                <w:shd w:fill="FFFFFF" w:val="clear"/>
              </w:rPr>
              <w:t xml:space="preserve">Providing clear and unambiguous guidance on the rights and responsibilities of registered name holders, and how those should be managed in the privacy/proxy environment. </w:t>
            </w:r>
          </w:p>
          <w:p>
            <w:pPr>
              <w:pStyle w:val="NormalWeb"/>
              <w:rPr>
                <w:rFonts w:ascii="Calibri" w:hAnsi="Calibri"/>
                <w:color w:val="FF0000"/>
                <w:highlight w:val="white"/>
              </w:rPr>
            </w:pPr>
            <w:r>
              <w:rPr>
                <w:rFonts w:ascii="Calibri" w:hAnsi="Calibri"/>
                <w:color w:val="FF0000"/>
                <w:shd w:fill="FFFFFF" w:val="clear"/>
              </w:rPr>
              <w:t xml:space="preserve">This will be key to effective proxy registrations and protecting rights of others. </w:t>
            </w:r>
          </w:p>
          <w:p>
            <w:pPr>
              <w:pStyle w:val="NormalWeb"/>
              <w:rPr/>
            </w:pPr>
            <w:r>
              <w:rPr/>
            </w:r>
          </w:p>
          <w:p>
            <w:pPr>
              <w:pStyle w:val="Normal"/>
              <w:rPr/>
            </w:pPr>
            <w:r>
              <w:rPr/>
            </w:r>
          </w:p>
          <w:p>
            <w:pPr>
              <w:pStyle w:val="Normal"/>
              <w:widowControl w:val="false"/>
              <w:spacing w:lineRule="auto" w:line="240" w:before="0" w:after="240"/>
              <w:rPr>
                <w:rFonts w:ascii="Calibri" w:hAnsi="Calibri" w:asciiTheme="minorHAnsi" w:hAnsiTheme="minorHAnsi"/>
                <w:sz w:val="24"/>
                <w:szCs w:val="24"/>
              </w:rPr>
            </w:pPr>
            <w:r>
              <w:rPr>
                <w:rFonts w:asciiTheme="minorHAnsi" w:hAnsiTheme="minorHAnsi"/>
                <w:sz w:val="24"/>
                <w:szCs w:val="24"/>
              </w:rPr>
            </w:r>
          </w:p>
        </w:tc>
      </w:tr>
      <w:tr>
        <w:trPr>
          <w:trHeight w:val="360" w:hRule="atLeast"/>
          <w:cantSplit w:val="true"/>
        </w:trPr>
        <w:tc>
          <w:tcPr>
            <w:tcW w:w="27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2F2F2" w:val="clear"/>
            <w:tcMar>
              <w:left w:w="108" w:type="dxa"/>
            </w:tcMar>
            <w:vAlign w:val="center"/>
          </w:tcPr>
          <w:p>
            <w:pPr>
              <w:pStyle w:val="Normal"/>
              <w:widowControl w:val="false"/>
              <w:spacing w:lineRule="auto" w:line="240" w:before="0" w:after="240"/>
              <w:rPr>
                <w:rStyle w:val="Applestylespan"/>
                <w:rFonts w:ascii="Calibri" w:hAnsi="Calibri" w:cs="Calibri" w:asciiTheme="minorHAnsi" w:hAnsiTheme="minorHAnsi"/>
                <w:b/>
                <w:b/>
                <w:bCs/>
                <w:sz w:val="24"/>
                <w:szCs w:val="24"/>
              </w:rPr>
            </w:pPr>
            <w:r>
              <w:rPr>
                <w:rStyle w:val="Applestylespan"/>
                <w:rFonts w:cs="Calibri"/>
                <w:b/>
                <w:bCs/>
                <w:sz w:val="24"/>
                <w:szCs w:val="24"/>
              </w:rPr>
              <w:t>Estimate of comparative complexity of assessment (1=low, 5=high)</w:t>
            </w:r>
          </w:p>
        </w:tc>
        <w:tc>
          <w:tcPr>
            <w:tcW w:w="768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108" w:type="dxa"/>
            </w:tcMar>
            <w:vAlign w:val="center"/>
          </w:tcPr>
          <w:p>
            <w:pPr>
              <w:pStyle w:val="Normal"/>
              <w:widowControl w:val="false"/>
              <w:spacing w:lineRule="auto" w:line="240" w:before="0" w:after="240"/>
              <w:rPr>
                <w:rFonts w:ascii="Calibri" w:hAnsi="Calibri" w:asciiTheme="minorHAnsi" w:hAnsiTheme="minorHAnsi"/>
                <w:sz w:val="24"/>
                <w:szCs w:val="24"/>
              </w:rPr>
            </w:pPr>
            <w:r>
              <w:rPr>
                <w:rFonts w:asciiTheme="minorHAnsi" w:hAnsiTheme="minorHAnsi"/>
                <w:sz w:val="24"/>
                <w:szCs w:val="24"/>
              </w:rPr>
              <w:t xml:space="preserve">3 </w:t>
            </w:r>
          </w:p>
        </w:tc>
      </w:tr>
      <w:tr>
        <w:trPr>
          <w:trHeight w:val="360" w:hRule="atLeast"/>
          <w:cantSplit w:val="true"/>
        </w:trPr>
        <w:tc>
          <w:tcPr>
            <w:tcW w:w="27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2F2F2" w:val="clear"/>
            <w:tcMar>
              <w:left w:w="108" w:type="dxa"/>
            </w:tcMar>
            <w:vAlign w:val="center"/>
          </w:tcPr>
          <w:p>
            <w:pPr>
              <w:pStyle w:val="Normal"/>
              <w:widowControl w:val="false"/>
              <w:spacing w:lineRule="auto" w:line="240" w:before="0" w:after="240"/>
              <w:rPr>
                <w:rStyle w:val="Applestylespan"/>
                <w:rFonts w:ascii="Calibri" w:hAnsi="Calibri" w:cs="Calibri" w:asciiTheme="minorHAnsi" w:hAnsiTheme="minorHAnsi"/>
                <w:b/>
                <w:b/>
                <w:bCs/>
                <w:sz w:val="24"/>
                <w:szCs w:val="24"/>
              </w:rPr>
            </w:pPr>
            <w:r>
              <w:rPr>
                <w:rStyle w:val="Applestylespan"/>
                <w:rFonts w:cs="Calibri"/>
                <w:b/>
                <w:bCs/>
                <w:sz w:val="24"/>
                <w:szCs w:val="24"/>
              </w:rPr>
              <w:t>Estimate of comparative work load (1=low, 5=high)</w:t>
            </w:r>
          </w:p>
        </w:tc>
        <w:tc>
          <w:tcPr>
            <w:tcW w:w="768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108" w:type="dxa"/>
            </w:tcMar>
            <w:vAlign w:val="center"/>
          </w:tcPr>
          <w:p>
            <w:pPr>
              <w:pStyle w:val="Normal"/>
              <w:widowControl w:val="false"/>
              <w:spacing w:lineRule="auto" w:line="240" w:before="0" w:after="240"/>
              <w:rPr>
                <w:rFonts w:ascii="Calibri" w:hAnsi="Calibri" w:asciiTheme="minorHAnsi" w:hAnsiTheme="minorHAnsi"/>
                <w:sz w:val="24"/>
                <w:szCs w:val="24"/>
              </w:rPr>
            </w:pPr>
            <w:r>
              <w:rPr>
                <w:rFonts w:asciiTheme="minorHAnsi" w:hAnsiTheme="minorHAnsi"/>
                <w:sz w:val="24"/>
                <w:szCs w:val="24"/>
              </w:rPr>
              <w:t>3</w:t>
            </w:r>
          </w:p>
        </w:tc>
      </w:tr>
      <w:tr>
        <w:trPr>
          <w:trHeight w:val="360" w:hRule="atLeast"/>
          <w:cantSplit w:val="true"/>
        </w:trPr>
        <w:tc>
          <w:tcPr>
            <w:tcW w:w="27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2F2F2" w:val="clear"/>
            <w:tcMar>
              <w:left w:w="108" w:type="dxa"/>
            </w:tcMar>
            <w:vAlign w:val="center"/>
          </w:tcPr>
          <w:p>
            <w:pPr>
              <w:pStyle w:val="Normal"/>
              <w:widowControl w:val="false"/>
              <w:spacing w:lineRule="auto" w:line="240" w:before="0" w:after="240"/>
              <w:rPr>
                <w:rStyle w:val="Applestylespan"/>
                <w:rFonts w:ascii="Calibri" w:hAnsi="Calibri" w:cs="Calibri" w:asciiTheme="minorHAnsi" w:hAnsiTheme="minorHAnsi"/>
                <w:b/>
                <w:b/>
                <w:bCs/>
                <w:sz w:val="24"/>
                <w:szCs w:val="24"/>
              </w:rPr>
            </w:pPr>
            <w:r>
              <w:rPr>
                <w:rStyle w:val="Applestylespan"/>
                <w:rFonts w:cs="Calibri"/>
                <w:b/>
                <w:bCs/>
                <w:sz w:val="24"/>
                <w:szCs w:val="24"/>
              </w:rPr>
              <w:t>Estimate of ideal sub-team size (1-5 persons)</w:t>
            </w:r>
          </w:p>
        </w:tc>
        <w:tc>
          <w:tcPr>
            <w:tcW w:w="768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108" w:type="dxa"/>
            </w:tcMar>
            <w:vAlign w:val="center"/>
          </w:tcPr>
          <w:p>
            <w:pPr>
              <w:pStyle w:val="Normal"/>
              <w:widowControl w:val="false"/>
              <w:spacing w:lineRule="auto" w:line="240" w:before="0" w:after="240"/>
              <w:rPr>
                <w:rFonts w:ascii="Calibri" w:hAnsi="Calibri" w:asciiTheme="minorHAnsi" w:hAnsiTheme="minorHAnsi"/>
                <w:sz w:val="24"/>
                <w:szCs w:val="24"/>
              </w:rPr>
            </w:pPr>
            <w:r>
              <w:rPr>
                <w:rFonts w:asciiTheme="minorHAnsi" w:hAnsiTheme="minorHAnsi"/>
                <w:sz w:val="24"/>
                <w:szCs w:val="24"/>
              </w:rPr>
              <w:t>4-5</w:t>
            </w:r>
          </w:p>
        </w:tc>
      </w:tr>
      <w:tr>
        <w:trPr>
          <w:trHeight w:val="360" w:hRule="atLeast"/>
          <w:cantSplit w:val="true"/>
        </w:trPr>
        <w:tc>
          <w:tcPr>
            <w:tcW w:w="27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2F2F2" w:val="clear"/>
            <w:tcMar>
              <w:left w:w="108" w:type="dxa"/>
            </w:tcMar>
            <w:vAlign w:val="center"/>
          </w:tcPr>
          <w:p>
            <w:pPr>
              <w:pStyle w:val="Normal"/>
              <w:widowControl w:val="false"/>
              <w:spacing w:lineRule="auto" w:line="240" w:before="0" w:after="240"/>
              <w:rPr>
                <w:rStyle w:val="Applestylespan"/>
                <w:rFonts w:ascii="Calibri" w:hAnsi="Calibri" w:cs="Calibri" w:asciiTheme="minorHAnsi" w:hAnsiTheme="minorHAnsi"/>
                <w:b/>
                <w:b/>
                <w:bCs/>
                <w:sz w:val="24"/>
                <w:szCs w:val="24"/>
              </w:rPr>
            </w:pPr>
            <w:r>
              <w:rPr>
                <w:rStyle w:val="Applestylespan"/>
                <w:rFonts w:cs="Calibri"/>
                <w:b/>
                <w:bCs/>
                <w:sz w:val="24"/>
                <w:szCs w:val="24"/>
              </w:rPr>
              <w:t>Work Space URL:</w:t>
            </w:r>
          </w:p>
        </w:tc>
        <w:tc>
          <w:tcPr>
            <w:tcW w:w="768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108" w:type="dxa"/>
            </w:tcMar>
            <w:vAlign w:val="center"/>
          </w:tcPr>
          <w:p>
            <w:pPr>
              <w:pStyle w:val="Normal"/>
              <w:widowControl w:val="false"/>
              <w:spacing w:lineRule="auto" w:line="240" w:before="0" w:after="240"/>
              <w:rPr>
                <w:rFonts w:ascii="Calibri" w:hAnsi="Calibri" w:asciiTheme="minorHAnsi" w:hAnsiTheme="minorHAnsi"/>
                <w:sz w:val="24"/>
                <w:szCs w:val="24"/>
              </w:rPr>
            </w:pPr>
            <w:r>
              <w:rPr>
                <w:rFonts w:asciiTheme="minorHAnsi" w:hAnsiTheme="minorHAnsi"/>
                <w:sz w:val="24"/>
                <w:szCs w:val="24"/>
              </w:rPr>
              <w:t>https://community.icann.org/pages/viewpage.action?pageId=71604717</w:t>
            </w:r>
          </w:p>
        </w:tc>
      </w:tr>
      <w:tr>
        <w:trPr>
          <w:trHeight w:val="360" w:hRule="atLeast"/>
          <w:cantSplit w:val="true"/>
        </w:trPr>
        <w:tc>
          <w:tcPr>
            <w:tcW w:w="27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2F2F2" w:val="clear"/>
            <w:tcMar>
              <w:left w:w="108" w:type="dxa"/>
            </w:tcMar>
            <w:vAlign w:val="center"/>
          </w:tcPr>
          <w:p>
            <w:pPr>
              <w:pStyle w:val="Normal"/>
              <w:widowControl w:val="false"/>
              <w:spacing w:lineRule="auto" w:line="240" w:before="0" w:after="240"/>
              <w:rPr>
                <w:rStyle w:val="Applestylespan"/>
                <w:rFonts w:ascii="Calibri" w:hAnsi="Calibri" w:cs="Calibri" w:asciiTheme="minorHAnsi" w:hAnsiTheme="minorHAnsi"/>
                <w:b/>
                <w:b/>
                <w:bCs/>
                <w:sz w:val="24"/>
                <w:szCs w:val="24"/>
              </w:rPr>
            </w:pPr>
            <w:r>
              <w:rPr>
                <w:rStyle w:val="Applestylespan"/>
                <w:rFonts w:cs="Calibri"/>
                <w:b/>
                <w:bCs/>
                <w:sz w:val="24"/>
                <w:szCs w:val="24"/>
              </w:rPr>
              <w:t>Mailing List:</w:t>
            </w:r>
          </w:p>
        </w:tc>
        <w:tc>
          <w:tcPr>
            <w:tcW w:w="768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108" w:type="dxa"/>
            </w:tcMar>
            <w:vAlign w:val="center"/>
          </w:tcPr>
          <w:p>
            <w:pPr>
              <w:pStyle w:val="Normal"/>
              <w:spacing w:lineRule="auto" w:line="240" w:before="0" w:after="0"/>
              <w:rPr/>
            </w:pPr>
            <w:hyperlink r:id="rId3">
              <w:r>
                <w:rPr>
                  <w:rStyle w:val="Internetlink"/>
                  <w:rFonts w:eastAsia="Times New Roman" w:cs="Arial" w:ascii="Arial" w:hAnsi="Arial"/>
                  <w:b/>
                  <w:bCs/>
                  <w:color w:val="3B73AF"/>
                  <w:sz w:val="21"/>
                  <w:szCs w:val="21"/>
                  <w:highlight w:val="yellow"/>
                </w:rPr>
                <w:t>http://mm.icann.org/pipermail/rds-whois2-privacy-proxy/</w:t>
              </w:r>
            </w:hyperlink>
          </w:p>
          <w:p>
            <w:pPr>
              <w:pStyle w:val="Normal"/>
              <w:widowControl w:val="false"/>
              <w:spacing w:lineRule="auto" w:line="240" w:before="0" w:after="240"/>
              <w:rPr>
                <w:rFonts w:ascii="Calibri" w:hAnsi="Calibri" w:asciiTheme="minorHAnsi" w:hAnsiTheme="minorHAnsi"/>
              </w:rPr>
            </w:pPr>
            <w:r>
              <w:rPr>
                <w:rFonts w:asciiTheme="minorHAnsi" w:hAnsiTheme="minorHAnsi"/>
              </w:rPr>
            </w:r>
          </w:p>
        </w:tc>
      </w:tr>
      <w:tr>
        <w:trPr>
          <w:trHeight w:val="360" w:hRule="atLeast"/>
          <w:cantSplit w:val="true"/>
        </w:trPr>
        <w:tc>
          <w:tcPr>
            <w:tcW w:w="27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2F2F2" w:val="clear"/>
            <w:tcMar>
              <w:left w:w="108" w:type="dxa"/>
            </w:tcMar>
            <w:vAlign w:val="center"/>
          </w:tcPr>
          <w:p>
            <w:pPr>
              <w:pStyle w:val="Normal"/>
              <w:widowControl w:val="false"/>
              <w:spacing w:lineRule="auto" w:line="240" w:before="0" w:after="240"/>
              <w:rPr>
                <w:rStyle w:val="Applestylespan"/>
                <w:rFonts w:ascii="Calibri" w:hAnsi="Calibri" w:cs="Calibri" w:asciiTheme="minorHAnsi" w:hAnsiTheme="minorHAnsi"/>
                <w:b/>
                <w:b/>
                <w:bCs/>
                <w:sz w:val="24"/>
                <w:szCs w:val="24"/>
              </w:rPr>
            </w:pPr>
            <w:r>
              <w:rPr>
                <w:rStyle w:val="Applestylespan"/>
                <w:rFonts w:cs="Calibri"/>
                <w:b/>
                <w:bCs/>
                <w:sz w:val="24"/>
                <w:szCs w:val="24"/>
              </w:rPr>
              <w:t xml:space="preserve">Important Background Links: </w:t>
            </w:r>
          </w:p>
        </w:tc>
        <w:tc>
          <w:tcPr>
            <w:tcW w:w="768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108" w:type="dxa"/>
            </w:tcMar>
            <w:vAlign w:val="center"/>
          </w:tcPr>
          <w:p>
            <w:pPr>
              <w:pStyle w:val="ListParagraph"/>
              <w:numPr>
                <w:ilvl w:val="0"/>
                <w:numId w:val="1"/>
              </w:numPr>
              <w:shd w:val="clear" w:color="auto" w:fill="FFFFFF"/>
              <w:spacing w:beforeAutospacing="1" w:afterAutospacing="1"/>
              <w:rPr/>
            </w:pPr>
            <w:hyperlink r:id="rId4">
              <w:r>
                <w:rPr>
                  <w:rStyle w:val="Internetlink"/>
                  <w:rFonts w:eastAsia="Times New Roman" w:cs="Arial" w:ascii="Arial" w:hAnsi="Arial"/>
                  <w:color w:val="3B73AF"/>
                  <w:sz w:val="21"/>
                  <w:szCs w:val="21"/>
                </w:rPr>
                <w:t>WHOIS Review Implementation Reports</w:t>
              </w:r>
            </w:hyperlink>
            <w:r>
              <w:rPr>
                <w:rFonts w:eastAsia="Times New Roman" w:cs="Arial" w:ascii="Arial" w:hAnsi="Arial"/>
                <w:color w:val="333333"/>
                <w:sz w:val="21"/>
                <w:szCs w:val="21"/>
              </w:rPr>
              <w:t>, including</w:t>
            </w:r>
          </w:p>
          <w:p>
            <w:pPr>
              <w:pStyle w:val="ListParagraph"/>
              <w:numPr>
                <w:ilvl w:val="1"/>
                <w:numId w:val="1"/>
              </w:numPr>
              <w:shd w:val="clear" w:color="auto" w:fill="FFFFFF"/>
              <w:spacing w:beforeAutospacing="1" w:afterAutospacing="1"/>
              <w:rPr/>
            </w:pPr>
            <w:hyperlink r:id="rId5">
              <w:r>
                <w:rPr>
                  <w:rStyle w:val="Internetlink"/>
                  <w:rFonts w:eastAsia="Times New Roman" w:cs="Arial" w:ascii="Arial" w:hAnsi="Arial"/>
                  <w:color w:val="3B73AF"/>
                  <w:sz w:val="21"/>
                  <w:szCs w:val="21"/>
                </w:rPr>
                <w:t>Executive Summary of Implementation Report</w:t>
              </w:r>
            </w:hyperlink>
          </w:p>
          <w:p>
            <w:pPr>
              <w:pStyle w:val="ListParagraph"/>
              <w:numPr>
                <w:ilvl w:val="1"/>
                <w:numId w:val="1"/>
              </w:numPr>
              <w:shd w:val="clear" w:color="auto" w:fill="FFFFFF"/>
              <w:spacing w:beforeAutospacing="1" w:afterAutospacing="1"/>
              <w:rPr/>
            </w:pPr>
            <w:hyperlink r:id="rId6">
              <w:r>
                <w:rPr>
                  <w:rStyle w:val="Internetlink"/>
                  <w:rFonts w:eastAsia="Times New Roman" w:cs="Arial" w:ascii="Arial" w:hAnsi="Arial"/>
                  <w:color w:val="3B73AF"/>
                  <w:sz w:val="21"/>
                  <w:szCs w:val="21"/>
                </w:rPr>
                <w:t>Detailed implementation Report</w:t>
              </w:r>
            </w:hyperlink>
            <w:r>
              <w:rPr>
                <w:rFonts w:eastAsia="Times New Roman" w:cs="Arial" w:ascii="Arial" w:hAnsi="Arial"/>
                <w:color w:val="333333"/>
                <w:sz w:val="21"/>
                <w:szCs w:val="21"/>
              </w:rPr>
              <w:t> </w:t>
            </w:r>
          </w:p>
          <w:p>
            <w:pPr>
              <w:pStyle w:val="ListParagraph"/>
              <w:numPr>
                <w:ilvl w:val="0"/>
                <w:numId w:val="1"/>
              </w:numPr>
              <w:shd w:val="clear" w:color="auto" w:fill="FFFFFF"/>
              <w:spacing w:beforeAutospacing="1" w:afterAutospacing="1"/>
              <w:rPr/>
            </w:pPr>
            <w:hyperlink r:id="rId7">
              <w:r>
                <w:rPr>
                  <w:rStyle w:val="Internetlink"/>
                  <w:rFonts w:eastAsia="Times New Roman" w:cs="Arial" w:ascii="Arial" w:hAnsi="Arial"/>
                  <w:color w:val="3B73AF"/>
                  <w:sz w:val="21"/>
                  <w:szCs w:val="21"/>
                </w:rPr>
                <w:t>WHOIS Review Team Final Report</w:t>
              </w:r>
            </w:hyperlink>
            <w:r>
              <w:rPr>
                <w:rFonts w:eastAsia="Times New Roman" w:cs="Arial" w:ascii="Arial" w:hAnsi="Arial"/>
                <w:color w:val="333333"/>
                <w:sz w:val="21"/>
                <w:szCs w:val="21"/>
              </w:rPr>
              <w:t> (2012)</w:t>
            </w:r>
          </w:p>
          <w:p>
            <w:pPr>
              <w:pStyle w:val="ListParagraph"/>
              <w:numPr>
                <w:ilvl w:val="0"/>
                <w:numId w:val="1"/>
              </w:numPr>
              <w:shd w:val="clear" w:color="auto" w:fill="FFFFFF"/>
              <w:spacing w:beforeAutospacing="1" w:afterAutospacing="1"/>
              <w:rPr/>
            </w:pPr>
            <w:hyperlink r:id="rId8">
              <w:r>
                <w:rPr>
                  <w:rStyle w:val="Internetlink"/>
                  <w:rFonts w:eastAsia="Times New Roman" w:cs="Arial" w:ascii="Arial" w:hAnsi="Arial"/>
                  <w:color w:val="3B73AF"/>
                  <w:sz w:val="21"/>
                  <w:szCs w:val="21"/>
                </w:rPr>
                <w:t>WHOIS Task Force Final Report (2007) [HTML]</w:t>
              </w:r>
            </w:hyperlink>
            <w:r>
              <w:rPr>
                <w:rFonts w:eastAsia="Times New Roman" w:cs="Arial" w:ascii="Arial" w:hAnsi="Arial"/>
                <w:color w:val="333333"/>
                <w:sz w:val="21"/>
                <w:szCs w:val="21"/>
              </w:rPr>
              <w:t> and </w:t>
            </w:r>
            <w:hyperlink r:id="rId9">
              <w:r>
                <w:rPr>
                  <w:rStyle w:val="Internetlink"/>
                  <w:rFonts w:eastAsia="Times New Roman" w:cs="Arial" w:ascii="Arial" w:hAnsi="Arial"/>
                  <w:color w:val="3B73AF"/>
                  <w:sz w:val="21"/>
                  <w:szCs w:val="21"/>
                </w:rPr>
                <w:t>[PDF]</w:t>
              </w:r>
            </w:hyperlink>
          </w:p>
          <w:p>
            <w:pPr>
              <w:pStyle w:val="ListParagraph"/>
              <w:numPr>
                <w:ilvl w:val="0"/>
                <w:numId w:val="1"/>
              </w:numPr>
              <w:shd w:val="clear" w:color="auto" w:fill="FFFFFF"/>
              <w:spacing w:beforeAutospacing="1" w:afterAutospacing="1"/>
              <w:rPr/>
            </w:pPr>
            <w:hyperlink r:id="rId10">
              <w:r>
                <w:rPr>
                  <w:rStyle w:val="Internetlink"/>
                  <w:rFonts w:eastAsia="Times New Roman" w:cs="Arial" w:ascii="Arial" w:hAnsi="Arial"/>
                  <w:color w:val="3B73AF"/>
                  <w:sz w:val="21"/>
                  <w:szCs w:val="21"/>
                </w:rPr>
                <w:t>WHOIS Task Force Final Report</w:t>
              </w:r>
            </w:hyperlink>
            <w:r>
              <w:rPr>
                <w:rFonts w:eastAsia="Times New Roman" w:cs="Arial" w:ascii="Arial" w:hAnsi="Arial"/>
                <w:color w:val="333333"/>
                <w:sz w:val="21"/>
                <w:szCs w:val="21"/>
              </w:rPr>
              <w:t> (2003)</w:t>
            </w:r>
          </w:p>
          <w:p>
            <w:pPr>
              <w:pStyle w:val="ListParagraph"/>
              <w:numPr>
                <w:ilvl w:val="0"/>
                <w:numId w:val="1"/>
              </w:numPr>
              <w:shd w:val="clear" w:color="auto" w:fill="FFFFFF"/>
              <w:spacing w:beforeAutospacing="1" w:afterAutospacing="1"/>
              <w:rPr/>
            </w:pPr>
            <w:hyperlink r:id="rId11">
              <w:r>
                <w:rPr>
                  <w:rStyle w:val="Internetlink"/>
                  <w:rFonts w:eastAsia="Times New Roman" w:cs="Arial" w:ascii="Arial" w:hAnsi="Arial"/>
                  <w:color w:val="3B73AF"/>
                  <w:sz w:val="21"/>
                  <w:szCs w:val="21"/>
                </w:rPr>
                <w:t>WHOIS1 Implementation Briefings on Recommendations 4, 12, 13, 14</w:t>
              </w:r>
            </w:hyperlink>
          </w:p>
          <w:p>
            <w:pPr>
              <w:pStyle w:val="ListParagraph"/>
              <w:numPr>
                <w:ilvl w:val="0"/>
                <w:numId w:val="1"/>
              </w:numPr>
              <w:shd w:val="clear" w:color="auto" w:fill="FFFFFF"/>
              <w:spacing w:beforeAutospacing="1" w:afterAutospacing="1"/>
              <w:rPr/>
            </w:pPr>
            <w:hyperlink r:id="rId12">
              <w:r>
                <w:rPr>
                  <w:rStyle w:val="Internetlink"/>
                  <w:rFonts w:eastAsia="Times New Roman" w:cs="Arial" w:ascii="Arial" w:hAnsi="Arial"/>
                  <w:color w:val="3B73AF"/>
                  <w:sz w:val="21"/>
                  <w:szCs w:val="21"/>
                </w:rPr>
                <w:t>WHOIS1 Implementation Briefings on Recommendations 5, 8, 10, 11</w:t>
              </w:r>
            </w:hyperlink>
          </w:p>
          <w:p>
            <w:pPr>
              <w:pStyle w:val="ListParagraph"/>
              <w:numPr>
                <w:ilvl w:val="0"/>
                <w:numId w:val="1"/>
              </w:numPr>
              <w:shd w:val="clear" w:color="auto" w:fill="FFFFFF"/>
              <w:spacing w:beforeAutospacing="1" w:afterAutospacing="1"/>
              <w:rPr/>
            </w:pPr>
            <w:hyperlink r:id="rId13">
              <w:r>
                <w:rPr>
                  <w:rStyle w:val="Internetlink"/>
                  <w:rFonts w:eastAsia="Times New Roman" w:cs="Arial" w:ascii="Arial" w:hAnsi="Arial"/>
                  <w:color w:val="3B73AF"/>
                  <w:sz w:val="21"/>
                  <w:szCs w:val="21"/>
                </w:rPr>
                <w:t>WHOIS1 Implementation Briefings on Recommendations 1, 2, 3, 6, 7, 9, 15, 16</w:t>
              </w:r>
            </w:hyperlink>
          </w:p>
        </w:tc>
      </w:tr>
    </w:tbl>
    <w:p>
      <w:pPr>
        <w:pStyle w:val="Normal"/>
        <w:rPr/>
      </w:pPr>
      <w:r>
        <w:rPr/>
      </w:r>
    </w:p>
    <w:p>
      <w:pPr>
        <w:pStyle w:val="Normal"/>
        <w:spacing w:lineRule="auto" w:line="240" w:before="0" w:after="0"/>
        <w:rPr/>
      </w:pPr>
      <w:r>
        <w:rPr/>
      </w:r>
      <w:r>
        <w:br w:type="page"/>
      </w:r>
    </w:p>
    <w:p>
      <w:pPr>
        <w:pStyle w:val="Normal"/>
        <w:rPr/>
      </w:pPr>
      <w:r>
        <w:rPr/>
      </w:r>
    </w:p>
    <w:tbl>
      <w:tblPr>
        <w:tblW w:w="10440" w:type="dxa"/>
        <w:jc w:val="left"/>
        <w:tblInd w:w="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firstRow="1" w:noVBand="1" w:lastRow="0" w:firstColumn="1" w:lastColumn="0" w:noHBand="0" w:val="04a0"/>
      </w:tblPr>
      <w:tblGrid>
        <w:gridCol w:w="10440"/>
      </w:tblGrid>
      <w:tr>
        <w:trPr>
          <w:trHeight w:val="432" w:hRule="exact"/>
        </w:trPr>
        <w:tc>
          <w:tcPr>
            <w:tcW w:w="1044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1768B1" w:val="clear"/>
            <w:tcMar>
              <w:left w:w="108" w:type="dxa"/>
            </w:tcMar>
            <w:vAlign w:val="center"/>
          </w:tcPr>
          <w:p>
            <w:pPr>
              <w:pStyle w:val="Normal"/>
              <w:widowControl w:val="false"/>
              <w:spacing w:lineRule="auto" w:line="240" w:before="0" w:after="240"/>
              <w:rPr>
                <w:rFonts w:ascii="Calibri" w:hAnsi="Calibri" w:asciiTheme="minorHAnsi" w:hAnsiTheme="minorHAnsi"/>
                <w:b/>
                <w:b/>
                <w:color w:val="FFFFFF"/>
                <w:sz w:val="28"/>
                <w:szCs w:val="28"/>
              </w:rPr>
            </w:pPr>
            <w:r>
              <w:rPr>
                <w:rFonts w:asciiTheme="minorHAnsi" w:hAnsiTheme="minorHAnsi"/>
                <w:b/>
                <w:color w:val="FFFFFF"/>
                <w:sz w:val="28"/>
                <w:szCs w:val="28"/>
              </w:rPr>
              <w:t>Work Force Timeline</w:t>
            </w:r>
          </w:p>
        </w:tc>
      </w:tr>
      <w:tr>
        <w:trPr>
          <w:trHeight w:val="542" w:hRule="atLeast"/>
          <w:cantSplit w:val="true"/>
        </w:trPr>
        <w:tc>
          <w:tcPr>
            <w:tcW w:w="1044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2F2F2" w:val="clear"/>
            <w:tcMar>
              <w:left w:w="108" w:type="dxa"/>
            </w:tcMar>
            <w:vAlign w:val="center"/>
          </w:tcPr>
          <w:p>
            <w:pPr>
              <w:pStyle w:val="Normal"/>
              <w:widowControl w:val="false"/>
              <w:spacing w:lineRule="atLeast" w:line="360" w:before="0" w:after="0"/>
              <w:rPr/>
            </w:pPr>
            <w:r>
              <w:rPr>
                <w:rFonts w:eastAsia="Calibri" w:cs="Calibri" w:eastAsiaTheme="minorHAnsi"/>
              </w:rPr>
              <w:t xml:space="preserve">Refer to the RDS-WHOIS2 </w:t>
            </w:r>
            <w:hyperlink r:id="rId14">
              <w:r>
                <w:rPr>
                  <w:rStyle w:val="Internetlink"/>
                  <w:rFonts w:eastAsia="Calibri" w:cs="Calibri" w:eastAsiaTheme="minorHAnsi"/>
                  <w:color w:val="0B4CB4"/>
                  <w:u w:val="single" w:color="0B4CB4"/>
                </w:rPr>
                <w:t>work plan</w:t>
              </w:r>
            </w:hyperlink>
            <w:r>
              <w:rPr>
                <w:rFonts w:eastAsia="Calibri" w:cs="Calibri" w:eastAsiaTheme="minorHAnsi"/>
              </w:rPr>
              <w:t xml:space="preserve"> for deadlines </w:t>
            </w:r>
          </w:p>
        </w:tc>
      </w:tr>
    </w:tbl>
    <w:p>
      <w:pPr>
        <w:pStyle w:val="Normal"/>
        <w:rPr/>
      </w:pPr>
      <w:r>
        <w:rPr/>
      </w:r>
    </w:p>
    <w:tbl>
      <w:tblPr>
        <w:tblW w:w="10440" w:type="dxa"/>
        <w:jc w:val="left"/>
        <w:tblInd w:w="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firstRow="1" w:noVBand="1" w:lastRow="0" w:firstColumn="1" w:lastColumn="0" w:noHBand="0" w:val="04a0"/>
      </w:tblPr>
      <w:tblGrid>
        <w:gridCol w:w="2759"/>
        <w:gridCol w:w="7680"/>
      </w:tblGrid>
      <w:tr>
        <w:trPr>
          <w:trHeight w:val="432" w:hRule="exact"/>
        </w:trPr>
        <w:tc>
          <w:tcPr>
            <w:tcW w:w="10439"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1768B1" w:val="clear"/>
            <w:tcMar>
              <w:left w:w="108" w:type="dxa"/>
            </w:tcMar>
            <w:vAlign w:val="center"/>
          </w:tcPr>
          <w:p>
            <w:pPr>
              <w:pStyle w:val="Normal"/>
              <w:widowControl w:val="false"/>
              <w:spacing w:lineRule="auto" w:line="240" w:before="0" w:after="240"/>
              <w:rPr>
                <w:rFonts w:ascii="Calibri" w:hAnsi="Calibri" w:asciiTheme="minorHAnsi" w:hAnsiTheme="minorHAnsi"/>
                <w:b/>
                <w:b/>
                <w:color w:val="FFFFFF"/>
                <w:sz w:val="28"/>
                <w:szCs w:val="28"/>
              </w:rPr>
            </w:pPr>
            <w:r>
              <w:rPr>
                <w:rFonts w:asciiTheme="minorHAnsi" w:hAnsiTheme="minorHAnsi"/>
                <w:b/>
                <w:color w:val="FFFFFF"/>
                <w:sz w:val="28"/>
                <w:szCs w:val="28"/>
              </w:rPr>
              <w:t xml:space="preserve">Resources </w:t>
            </w:r>
          </w:p>
        </w:tc>
      </w:tr>
      <w:tr>
        <w:trPr>
          <w:trHeight w:val="20" w:hRule="atLeast"/>
          <w:cantSplit w:val="true"/>
        </w:trPr>
        <w:tc>
          <w:tcPr>
            <w:tcW w:w="27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2F2F2" w:val="clear"/>
            <w:tcMar>
              <w:left w:w="108" w:type="dxa"/>
            </w:tcMar>
            <w:vAlign w:val="center"/>
          </w:tcPr>
          <w:p>
            <w:pPr>
              <w:pStyle w:val="Normal"/>
              <w:widowControl w:val="false"/>
              <w:spacing w:lineRule="auto" w:line="240" w:before="0" w:after="240"/>
              <w:rPr>
                <w:rStyle w:val="Applestylespan"/>
                <w:rFonts w:ascii="Calibri" w:hAnsi="Calibri" w:cs="Calibri" w:asciiTheme="minorHAnsi" w:hAnsiTheme="minorHAnsi"/>
                <w:b/>
                <w:b/>
                <w:bCs/>
                <w:sz w:val="24"/>
                <w:szCs w:val="24"/>
              </w:rPr>
            </w:pPr>
            <w:r>
              <w:rPr>
                <w:rStyle w:val="Applestylespan"/>
                <w:rFonts w:cs="Calibri"/>
                <w:b/>
                <w:bCs/>
                <w:sz w:val="24"/>
                <w:szCs w:val="24"/>
              </w:rPr>
              <w:t xml:space="preserve">Requests for ICANN briefings </w:t>
            </w:r>
          </w:p>
        </w:tc>
        <w:tc>
          <w:tcPr>
            <w:tcW w:w="768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108" w:type="dxa"/>
            </w:tcMar>
            <w:vAlign w:val="center"/>
          </w:tcPr>
          <w:p>
            <w:pPr>
              <w:pStyle w:val="ListParagraph"/>
              <w:widowControl w:val="false"/>
              <w:numPr>
                <w:ilvl w:val="0"/>
                <w:numId w:val="1"/>
              </w:numPr>
              <w:spacing w:before="0" w:after="240"/>
              <w:rPr>
                <w:rFonts w:ascii="Calibri" w:hAnsi="Calibri" w:asciiTheme="minorHAnsi" w:hAnsiTheme="minorHAnsi"/>
                <w:sz w:val="24"/>
                <w:szCs w:val="24"/>
              </w:rPr>
            </w:pPr>
            <w:r>
              <w:rPr>
                <w:rFonts w:asciiTheme="minorHAnsi" w:hAnsiTheme="minorHAnsi" w:ascii="Calibri" w:hAnsi="Calibri"/>
                <w:sz w:val="24"/>
                <w:szCs w:val="24"/>
              </w:rPr>
            </w:r>
          </w:p>
        </w:tc>
      </w:tr>
      <w:tr>
        <w:trPr>
          <w:trHeight w:val="20" w:hRule="atLeast"/>
          <w:cantSplit w:val="true"/>
        </w:trPr>
        <w:tc>
          <w:tcPr>
            <w:tcW w:w="27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2F2F2" w:val="clear"/>
            <w:tcMar>
              <w:left w:w="108" w:type="dxa"/>
            </w:tcMar>
            <w:vAlign w:val="center"/>
          </w:tcPr>
          <w:p>
            <w:pPr>
              <w:pStyle w:val="Normal"/>
              <w:widowControl w:val="false"/>
              <w:spacing w:lineRule="auto" w:line="240" w:before="0" w:after="240"/>
              <w:rPr>
                <w:rStyle w:val="Applestylespan"/>
                <w:rFonts w:ascii="Calibri" w:hAnsi="Calibri" w:cs="Calibri" w:asciiTheme="minorHAnsi" w:hAnsiTheme="minorHAnsi"/>
                <w:b/>
                <w:b/>
                <w:bCs/>
                <w:sz w:val="24"/>
                <w:szCs w:val="24"/>
              </w:rPr>
            </w:pPr>
            <w:r>
              <w:rPr>
                <w:rStyle w:val="Applestylespan"/>
                <w:rFonts w:cs="Calibri"/>
                <w:b/>
                <w:bCs/>
                <w:sz w:val="24"/>
                <w:szCs w:val="24"/>
              </w:rPr>
              <w:t>Requests for ICANN materials</w:t>
            </w:r>
          </w:p>
        </w:tc>
        <w:tc>
          <w:tcPr>
            <w:tcW w:w="768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108" w:type="dxa"/>
            </w:tcMar>
            <w:vAlign w:val="center"/>
          </w:tcPr>
          <w:p>
            <w:pPr>
              <w:pStyle w:val="ListParagraph"/>
              <w:widowControl w:val="false"/>
              <w:numPr>
                <w:ilvl w:val="0"/>
                <w:numId w:val="1"/>
              </w:numPr>
              <w:spacing w:before="0" w:after="240"/>
              <w:rPr>
                <w:rFonts w:ascii="Calibri" w:hAnsi="Calibri" w:asciiTheme="minorHAnsi" w:hAnsiTheme="minorHAnsi"/>
                <w:sz w:val="24"/>
                <w:szCs w:val="24"/>
              </w:rPr>
            </w:pPr>
            <w:r>
              <w:rPr>
                <w:rFonts w:asciiTheme="minorHAnsi" w:hAnsiTheme="minorHAnsi" w:ascii="Calibri" w:hAnsi="Calibri"/>
                <w:sz w:val="24"/>
                <w:szCs w:val="24"/>
              </w:rPr>
            </w:r>
          </w:p>
        </w:tc>
      </w:tr>
      <w:tr>
        <w:trPr>
          <w:trHeight w:val="20" w:hRule="atLeast"/>
          <w:cantSplit w:val="true"/>
        </w:trPr>
        <w:tc>
          <w:tcPr>
            <w:tcW w:w="27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2F2F2" w:val="clear"/>
            <w:tcMar>
              <w:left w:w="108" w:type="dxa"/>
            </w:tcMar>
            <w:vAlign w:val="center"/>
          </w:tcPr>
          <w:p>
            <w:pPr>
              <w:pStyle w:val="Normal"/>
              <w:widowControl w:val="false"/>
              <w:spacing w:lineRule="auto" w:line="240" w:before="0" w:after="240"/>
              <w:rPr>
                <w:rStyle w:val="Applestylespan"/>
                <w:rFonts w:ascii="Calibri" w:hAnsi="Calibri" w:cs="Calibri" w:asciiTheme="minorHAnsi" w:hAnsiTheme="minorHAnsi"/>
                <w:b/>
                <w:b/>
                <w:bCs/>
                <w:sz w:val="24"/>
                <w:szCs w:val="24"/>
              </w:rPr>
            </w:pPr>
            <w:r>
              <w:rPr>
                <w:rStyle w:val="Applestylespan"/>
                <w:rFonts w:cs="Calibri"/>
                <w:b/>
                <w:bCs/>
                <w:sz w:val="24"/>
                <w:szCs w:val="24"/>
              </w:rPr>
              <w:t>Interviews to be conducted</w:t>
            </w:r>
          </w:p>
        </w:tc>
        <w:tc>
          <w:tcPr>
            <w:tcW w:w="768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108" w:type="dxa"/>
            </w:tcMar>
            <w:vAlign w:val="center"/>
          </w:tcPr>
          <w:p>
            <w:pPr>
              <w:pStyle w:val="Normal"/>
              <w:spacing w:lineRule="auto" w:line="240" w:before="0" w:after="0"/>
              <w:rPr>
                <w:rFonts w:ascii="Times New Roman" w:hAnsi="Times New Roman" w:eastAsia="Times New Roman"/>
                <w:sz w:val="24"/>
                <w:szCs w:val="24"/>
              </w:rPr>
            </w:pPr>
            <w:r>
              <w:rPr>
                <w:rFonts w:asciiTheme="minorHAnsi" w:hAnsiTheme="minorHAnsi"/>
                <w:sz w:val="24"/>
                <w:szCs w:val="24"/>
              </w:rPr>
              <w:t>Speak with Caitlin Tubergen</w:t>
            </w:r>
            <w:r>
              <w:rPr>
                <w:rStyle w:val="Appleconvertedspace"/>
                <w:rFonts w:eastAsia="Times New Roman" w:cs="Arial" w:ascii="Arial" w:hAnsi="Arial"/>
                <w:color w:val="333333"/>
                <w:sz w:val="21"/>
                <w:szCs w:val="21"/>
                <w:shd w:fill="FFFFFF" w:val="clear"/>
              </w:rPr>
              <w:t> </w:t>
            </w:r>
            <w:r>
              <w:rPr>
                <w:rFonts w:eastAsia="Times New Roman" w:ascii="Times New Roman" w:hAnsi="Times New Roman"/>
                <w:sz w:val="24"/>
                <w:szCs w:val="24"/>
              </w:rPr>
              <w:t xml:space="preserve">and Jen Gore </w:t>
            </w:r>
            <w:r>
              <w:rPr>
                <w:rFonts w:eastAsia="Helvetica" w:cs="Helvetica" w:ascii="Helvetica" w:hAnsi="Helvetica"/>
                <w:sz w:val="24"/>
                <w:szCs w:val="24"/>
              </w:rPr>
              <w:t>–</w:t>
            </w:r>
            <w:r>
              <w:rPr>
                <w:rFonts w:eastAsia="Times New Roman" w:ascii="Times New Roman" w:hAnsi="Times New Roman"/>
                <w:sz w:val="24"/>
                <w:szCs w:val="24"/>
              </w:rPr>
              <w:t xml:space="preserve"> staff leading the IRT</w:t>
            </w:r>
          </w:p>
          <w:p>
            <w:pPr>
              <w:pStyle w:val="Normal"/>
              <w:spacing w:lineRule="auto" w:line="240" w:before="0" w:after="0"/>
              <w:rPr>
                <w:rFonts w:ascii="Times New Roman" w:hAnsi="Times New Roman" w:eastAsia="Times New Roman"/>
                <w:sz w:val="24"/>
                <w:szCs w:val="24"/>
              </w:rPr>
            </w:pPr>
            <w:r>
              <w:rPr>
                <w:rFonts w:eastAsia="Times New Roman" w:ascii="Times New Roman" w:hAnsi="Times New Roman"/>
                <w:sz w:val="24"/>
                <w:szCs w:val="24"/>
              </w:rPr>
              <w:t xml:space="preserve">Compliance team to discuss how they will ramp up to manage the compliance. </w:t>
            </w:r>
          </w:p>
        </w:tc>
      </w:tr>
      <w:tr>
        <w:trPr>
          <w:trHeight w:val="20" w:hRule="atLeast"/>
          <w:cantSplit w:val="true"/>
        </w:trPr>
        <w:tc>
          <w:tcPr>
            <w:tcW w:w="27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2F2F2" w:val="clear"/>
            <w:tcMar>
              <w:left w:w="108" w:type="dxa"/>
            </w:tcMar>
            <w:vAlign w:val="center"/>
          </w:tcPr>
          <w:p>
            <w:pPr>
              <w:pStyle w:val="Normal"/>
              <w:widowControl w:val="false"/>
              <w:spacing w:lineRule="auto" w:line="240" w:before="0" w:after="240"/>
              <w:rPr>
                <w:rStyle w:val="Applestylespan"/>
                <w:rFonts w:ascii="Calibri" w:hAnsi="Calibri" w:cs="Calibri" w:asciiTheme="minorHAnsi" w:hAnsiTheme="minorHAnsi"/>
                <w:b/>
                <w:b/>
                <w:bCs/>
                <w:sz w:val="24"/>
                <w:szCs w:val="24"/>
              </w:rPr>
            </w:pPr>
            <w:r>
              <w:rPr>
                <w:rStyle w:val="Applestylespan"/>
                <w:rFonts w:cs="Calibri"/>
                <w:b/>
                <w:bCs/>
                <w:sz w:val="24"/>
                <w:szCs w:val="24"/>
              </w:rPr>
              <w:t>Need for Independent Expert</w:t>
            </w:r>
          </w:p>
        </w:tc>
        <w:tc>
          <w:tcPr>
            <w:tcW w:w="768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108" w:type="dxa"/>
            </w:tcMar>
            <w:vAlign w:val="center"/>
          </w:tcPr>
          <w:p>
            <w:pPr>
              <w:pStyle w:val="ListParagraph"/>
              <w:widowControl w:val="false"/>
              <w:numPr>
                <w:ilvl w:val="0"/>
                <w:numId w:val="1"/>
              </w:numPr>
              <w:spacing w:before="0" w:after="240"/>
              <w:rPr>
                <w:rFonts w:ascii="Calibri" w:hAnsi="Calibri" w:asciiTheme="minorHAnsi" w:hAnsiTheme="minorHAnsi"/>
                <w:sz w:val="24"/>
                <w:szCs w:val="24"/>
              </w:rPr>
            </w:pPr>
            <w:r>
              <w:rPr>
                <w:rFonts w:ascii="Calibri" w:hAnsi="Calibri" w:asciiTheme="minorHAnsi" w:hAnsiTheme="minorHAnsi"/>
                <w:sz w:val="24"/>
                <w:szCs w:val="24"/>
              </w:rPr>
              <w:t>[Evaluate if independent expert is needed</w:t>
            </w:r>
          </w:p>
          <w:p>
            <w:pPr>
              <w:pStyle w:val="ListParagraph"/>
              <w:widowControl w:val="false"/>
              <w:numPr>
                <w:ilvl w:val="0"/>
                <w:numId w:val="1"/>
              </w:numPr>
              <w:spacing w:before="0" w:after="240"/>
              <w:rPr>
                <w:rFonts w:ascii="Calibri" w:hAnsi="Calibri" w:asciiTheme="minorHAnsi" w:hAnsiTheme="minorHAnsi"/>
                <w:sz w:val="24"/>
                <w:szCs w:val="24"/>
              </w:rPr>
            </w:pPr>
            <w:r>
              <w:rPr>
                <w:rFonts w:ascii="Calibri" w:hAnsi="Calibri" w:asciiTheme="minorHAnsi" w:hAnsiTheme="minorHAnsi"/>
                <w:sz w:val="24"/>
                <w:szCs w:val="24"/>
              </w:rPr>
              <w:t>If independent expert is needed, subject to budget availability, develop and document</w:t>
            </w:r>
          </w:p>
          <w:p>
            <w:pPr>
              <w:pStyle w:val="ListParagraph"/>
              <w:widowControl w:val="false"/>
              <w:numPr>
                <w:ilvl w:val="1"/>
                <w:numId w:val="1"/>
              </w:numPr>
              <w:spacing w:before="0" w:after="240"/>
              <w:rPr>
                <w:rFonts w:ascii="Calibri" w:hAnsi="Calibri" w:asciiTheme="minorHAnsi" w:hAnsiTheme="minorHAnsi"/>
                <w:sz w:val="24"/>
                <w:szCs w:val="24"/>
              </w:rPr>
            </w:pPr>
            <w:r>
              <w:rPr>
                <w:rFonts w:ascii="Calibri" w:hAnsi="Calibri" w:asciiTheme="minorHAnsi" w:hAnsiTheme="minorHAnsi"/>
                <w:sz w:val="24"/>
                <w:szCs w:val="24"/>
              </w:rPr>
              <w:t>Scope of work</w:t>
            </w:r>
            <w:r>
              <w:rPr>
                <w:rFonts w:eastAsia="MS Mincho" w:cs="MS Mincho" w:ascii="MS Mincho" w:hAnsi="MS Mincho"/>
                <w:sz w:val="24"/>
                <w:szCs w:val="24"/>
              </w:rPr>
              <w:t> </w:t>
            </w:r>
          </w:p>
          <w:p>
            <w:pPr>
              <w:pStyle w:val="ListParagraph"/>
              <w:widowControl w:val="false"/>
              <w:numPr>
                <w:ilvl w:val="1"/>
                <w:numId w:val="1"/>
              </w:numPr>
              <w:spacing w:before="0" w:after="240"/>
              <w:rPr>
                <w:rFonts w:ascii="Calibri" w:hAnsi="Calibri" w:asciiTheme="minorHAnsi" w:hAnsiTheme="minorHAnsi"/>
                <w:sz w:val="24"/>
                <w:szCs w:val="24"/>
              </w:rPr>
            </w:pPr>
            <w:r>
              <w:rPr>
                <w:rFonts w:ascii="Calibri" w:hAnsi="Calibri" w:asciiTheme="minorHAnsi" w:hAnsiTheme="minorHAnsi"/>
                <w:sz w:val="24"/>
                <w:szCs w:val="24"/>
              </w:rPr>
              <w:t xml:space="preserve">Skills and experience needed </w:t>
            </w:r>
          </w:p>
          <w:p>
            <w:pPr>
              <w:pStyle w:val="ListParagraph"/>
              <w:widowControl w:val="false"/>
              <w:numPr>
                <w:ilvl w:val="1"/>
                <w:numId w:val="1"/>
              </w:numPr>
              <w:spacing w:before="0" w:after="240"/>
              <w:rPr>
                <w:rFonts w:ascii="Calibri" w:hAnsi="Calibri" w:asciiTheme="minorHAnsi" w:hAnsiTheme="minorHAnsi"/>
                <w:sz w:val="24"/>
                <w:szCs w:val="24"/>
              </w:rPr>
            </w:pPr>
            <w:r>
              <w:rPr>
                <w:rFonts w:ascii="Calibri" w:hAnsi="Calibri" w:asciiTheme="minorHAnsi" w:hAnsiTheme="minorHAnsi"/>
                <w:sz w:val="24"/>
                <w:szCs w:val="24"/>
              </w:rPr>
              <w:t xml:space="preserve">Timeline &amp; milestones </w:t>
            </w:r>
          </w:p>
          <w:p>
            <w:pPr>
              <w:pStyle w:val="ListParagraph"/>
              <w:widowControl w:val="false"/>
              <w:numPr>
                <w:ilvl w:val="1"/>
                <w:numId w:val="1"/>
              </w:numPr>
              <w:spacing w:before="0" w:after="240"/>
              <w:rPr>
                <w:rFonts w:ascii="Calibri" w:hAnsi="Calibri" w:asciiTheme="minorHAnsi" w:hAnsiTheme="minorHAnsi"/>
                <w:sz w:val="24"/>
                <w:szCs w:val="24"/>
              </w:rPr>
            </w:pPr>
            <w:r>
              <w:rPr>
                <w:rFonts w:ascii="Calibri" w:hAnsi="Calibri" w:asciiTheme="minorHAnsi" w:hAnsiTheme="minorHAnsi"/>
                <w:sz w:val="24"/>
                <w:szCs w:val="24"/>
              </w:rPr>
              <w:t xml:space="preserve">Deliverables] </w:t>
            </w:r>
          </w:p>
        </w:tc>
      </w:tr>
      <w:tr>
        <w:trPr>
          <w:trHeight w:val="20" w:hRule="atLeast"/>
          <w:cantSplit w:val="true"/>
        </w:trPr>
        <w:tc>
          <w:tcPr>
            <w:tcW w:w="275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2F2F2" w:val="clear"/>
            <w:tcMar>
              <w:left w:w="108" w:type="dxa"/>
            </w:tcMar>
            <w:vAlign w:val="center"/>
          </w:tcPr>
          <w:p>
            <w:pPr>
              <w:pStyle w:val="Normal"/>
              <w:widowControl w:val="false"/>
              <w:spacing w:lineRule="auto" w:line="240" w:before="0" w:after="240"/>
              <w:rPr>
                <w:rStyle w:val="Applestylespan"/>
                <w:rFonts w:ascii="Calibri" w:hAnsi="Calibri" w:cs="Calibri" w:asciiTheme="minorHAnsi" w:hAnsiTheme="minorHAnsi"/>
                <w:b/>
                <w:b/>
                <w:bCs/>
                <w:sz w:val="24"/>
                <w:szCs w:val="24"/>
              </w:rPr>
            </w:pPr>
            <w:r>
              <w:rPr>
                <w:rStyle w:val="Applestylespan"/>
                <w:rFonts w:cs="Calibri"/>
                <w:b/>
                <w:bCs/>
                <w:sz w:val="24"/>
                <w:szCs w:val="24"/>
              </w:rPr>
              <w:t>Other resources (existing outside studies, articles)</w:t>
            </w:r>
          </w:p>
        </w:tc>
        <w:tc>
          <w:tcPr>
            <w:tcW w:w="768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108" w:type="dxa"/>
            </w:tcMar>
            <w:vAlign w:val="center"/>
          </w:tcPr>
          <w:p>
            <w:pPr>
              <w:pStyle w:val="ListParagraph"/>
              <w:widowControl w:val="false"/>
              <w:numPr>
                <w:ilvl w:val="0"/>
                <w:numId w:val="1"/>
              </w:numPr>
              <w:spacing w:before="0" w:after="240"/>
              <w:rPr>
                <w:rFonts w:ascii="Calibri" w:hAnsi="Calibri" w:asciiTheme="minorHAnsi" w:hAnsiTheme="minorHAnsi"/>
                <w:sz w:val="24"/>
                <w:szCs w:val="24"/>
              </w:rPr>
            </w:pPr>
            <w:r>
              <w:rPr>
                <w:rFonts w:asciiTheme="minorHAnsi" w:hAnsiTheme="minorHAnsi" w:ascii="Calibri" w:hAnsi="Calibri"/>
                <w:sz w:val="24"/>
                <w:szCs w:val="24"/>
              </w:rPr>
            </w:r>
          </w:p>
        </w:tc>
      </w:tr>
    </w:tbl>
    <w:p>
      <w:pPr>
        <w:pStyle w:val="Normal"/>
        <w:rPr/>
      </w:pPr>
      <w:r>
        <w:rPr/>
      </w:r>
    </w:p>
    <w:p>
      <w:pPr>
        <w:pStyle w:val="Normal"/>
        <w:widowControl/>
        <w:bidi w:val="0"/>
        <w:spacing w:lineRule="auto" w:line="276" w:before="0" w:after="200"/>
        <w:jc w:val="left"/>
        <w:rPr/>
      </w:pPr>
      <w:r>
        <w:rPr/>
      </w:r>
    </w:p>
    <w:sectPr>
      <w:type w:val="nextPage"/>
      <w:pgSz w:w="11906" w:h="16838"/>
      <w:pgMar w:left="720" w:right="720" w:header="0" w:top="720" w:footer="0" w:bottom="72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swiss"/>
    <w:pitch w:val="variable"/>
  </w:font>
  <w:font w:name="Cambria">
    <w:charset w:val="00"/>
    <w:family w:val="roman"/>
    <w:pitch w:val="variable"/>
  </w:font>
  <w:font w:name="SymbolMT">
    <w:charset w:val="00"/>
    <w:family w:val="roman"/>
    <w:pitch w:val="variable"/>
  </w:font>
  <w:font w:name="Helvetica">
    <w:altName w:val="Arial"/>
    <w:charset w:val="00"/>
    <w:family w:val="roman"/>
    <w:pitch w:val="variable"/>
  </w:font>
  <w:font w:name="MS Mincho">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sz w:val="24"/>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3"/>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4"/>
        <w:lang w:val="en-US" w:eastAsia="en-US" w:bidi="ar-SA"/>
      </w:rPr>
    </w:rPrDefault>
    <w:pPrDefault>
      <w:pPr/>
    </w:pPrDefault>
  </w:docDefaults>
  <w:latentStyles w:defLockedState="0" w:defUIPriority="99" w:defSemiHidden="0" w:defUnhideWhenUsed="0" w:defQFormat="0" w:count="382">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rsid w:val="004149b7"/>
    <w:pPr>
      <w:widowControl/>
      <w:bidi w:val="0"/>
      <w:spacing w:lineRule="auto" w:line="276" w:before="0" w:after="200"/>
      <w:jc w:val="left"/>
    </w:pPr>
    <w:rPr>
      <w:rFonts w:ascii="Calibri" w:hAnsi="Calibri" w:eastAsia="Calibri" w:cs="Times New Roman" w:asciiTheme="minorHAnsi" w:eastAsiaTheme="minorHAnsi" w:hAnsiTheme="minorHAnsi"/>
      <w:color w:val="auto"/>
      <w:sz w:val="22"/>
      <w:szCs w:val="22"/>
      <w:lang w:val="en-US" w:eastAsia="en-US" w:bidi="ar-SA"/>
    </w:rPr>
  </w:style>
  <w:style w:type="character" w:styleId="DefaultParagraphFont" w:default="1">
    <w:name w:val="Default Paragraph Font"/>
    <w:uiPriority w:val="1"/>
    <w:semiHidden/>
    <w:unhideWhenUsed/>
    <w:qFormat/>
    <w:rPr/>
  </w:style>
  <w:style w:type="character" w:styleId="Applestylespan" w:customStyle="1">
    <w:name w:val="apple-style-span"/>
    <w:qFormat/>
    <w:rsid w:val="004149b7"/>
    <w:rPr/>
  </w:style>
  <w:style w:type="character" w:styleId="Internetlink">
    <w:name w:val="Internetlink"/>
    <w:uiPriority w:val="99"/>
    <w:unhideWhenUsed/>
    <w:rsid w:val="004149b7"/>
    <w:rPr>
      <w:color w:val="0000FF"/>
      <w:u w:val="single"/>
    </w:rPr>
  </w:style>
  <w:style w:type="character" w:styleId="Appleconvertedspace" w:customStyle="1">
    <w:name w:val="apple-converted-space"/>
    <w:basedOn w:val="DefaultParagraphFont"/>
    <w:qFormat/>
    <w:rsid w:val="007b656d"/>
    <w:rPr/>
  </w:style>
  <w:style w:type="character" w:styleId="ListLabel1">
    <w:name w:val="ListLabel 1"/>
    <w:qFormat/>
    <w:rPr>
      <w:rFonts w:ascii="Arial" w:hAnsi="Arial" w:cs="Courier New"/>
      <w:sz w:val="24"/>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paragraph" w:styleId="Berschrift">
    <w:name w:val="Überschrift"/>
    <w:basedOn w:val="Normal"/>
    <w:next w:val="Textkrper"/>
    <w:qFormat/>
    <w:pPr>
      <w:keepNext/>
      <w:spacing w:before="240" w:after="120"/>
    </w:pPr>
    <w:rPr>
      <w:rFonts w:ascii="Liberation Sans" w:hAnsi="Liberation Sans" w:eastAsia="Microsoft YaHei" w:cs="Arial"/>
      <w:sz w:val="28"/>
      <w:szCs w:val="28"/>
    </w:rPr>
  </w:style>
  <w:style w:type="paragraph" w:styleId="Textkrper">
    <w:name w:val="Body Text"/>
    <w:basedOn w:val="Normal"/>
    <w:pPr>
      <w:spacing w:lineRule="auto" w:line="288" w:before="0" w:after="140"/>
    </w:pPr>
    <w:rPr/>
  </w:style>
  <w:style w:type="paragraph" w:styleId="Liste">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ListParagraph">
    <w:name w:val="List Paragraph"/>
    <w:basedOn w:val="Normal"/>
    <w:uiPriority w:val="34"/>
    <w:qFormat/>
    <w:rsid w:val="004149b7"/>
    <w:pPr>
      <w:spacing w:lineRule="auto" w:line="240" w:before="0" w:after="0"/>
      <w:ind w:left="720" w:hanging="0"/>
      <w:contextualSpacing/>
    </w:pPr>
    <w:rPr>
      <w:rFonts w:ascii="Cambria" w:hAnsi="Cambria" w:eastAsia="Cambria"/>
    </w:rPr>
  </w:style>
  <w:style w:type="paragraph" w:styleId="NormalWeb">
    <w:name w:val="Normal (Web)"/>
    <w:basedOn w:val="Normal"/>
    <w:uiPriority w:val="99"/>
    <w:semiHidden/>
    <w:unhideWhenUsed/>
    <w:qFormat/>
    <w:rsid w:val="007b656d"/>
    <w:pPr>
      <w:spacing w:lineRule="auto" w:line="240" w:beforeAutospacing="1" w:afterAutospacing="1"/>
    </w:pPr>
    <w:rPr>
      <w:rFonts w:ascii="Times New Roman" w:hAnsi="Times New Roman" w:eastAsia="Calibri" w:eastAsiaTheme="minorHAnsi"/>
      <w:sz w:val="24"/>
      <w:szCs w:val="24"/>
    </w:rPr>
  </w:style>
  <w:style w:type="paragraph" w:styleId="Rahmeninhalt">
    <w:name w:val="Rahmeninhalt"/>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icann.org/resources/pages/governance/bylaws-en" TargetMode="External"/><Relationship Id="rId3" Type="http://schemas.openxmlformats.org/officeDocument/2006/relationships/hyperlink" Target="http://mm.icann.org/pipermail/rds-whois2-privacy-proxy/" TargetMode="External"/><Relationship Id="rId4" Type="http://schemas.openxmlformats.org/officeDocument/2006/relationships/hyperlink" Target="https://community.icann.org/display/WHO/WHOIS+Review+Implementation+Home" TargetMode="External"/><Relationship Id="rId5" Type="http://schemas.openxmlformats.org/officeDocument/2006/relationships/hyperlink" Target="https://community.icann.org/download/attachments/54691767/WHOIS Recs 1_16 30Sept2016.pdf" TargetMode="External"/><Relationship Id="rId6" Type="http://schemas.openxmlformats.org/officeDocument/2006/relationships/hyperlink" Target="https://community.icann.org/download/attachments/54691767/WHOIS Quarterly Summary 31December2016.pdf" TargetMode="External"/><Relationship Id="rId7" Type="http://schemas.openxmlformats.org/officeDocument/2006/relationships/hyperlink" Target="https://www.icann.org/en/system/files/files/final-report-11may12-en.pdf" TargetMode="External"/><Relationship Id="rId8" Type="http://schemas.openxmlformats.org/officeDocument/2006/relationships/hyperlink" Target="http://gnso.icann.org/en/issues/whois-privacy/whois-services-final-tf-report-12mar07.htm" TargetMode="External"/><Relationship Id="rId9" Type="http://schemas.openxmlformats.org/officeDocument/2006/relationships/hyperlink" Target="https://community.icann.org/download/attachments/56986695/FINAL TF Report on Whois Summary and Recommendations - EN.pdf?version=1&amp;modificationDate=1458501890000&amp;api=v2" TargetMode="External"/><Relationship Id="rId10" Type="http://schemas.openxmlformats.org/officeDocument/2006/relationships/hyperlink" Target="https://archive.icann.org/en/gnso/whois-tf/report-19feb03.htm" TargetMode="External"/><Relationship Id="rId11" Type="http://schemas.openxmlformats.org/officeDocument/2006/relationships/hyperlink" Target="https://community.icann.org/download/attachments/69279139/WHOIS Briefing - 28September2017 - V2.0.pptx?version=1&amp;modificationDate=1506686336000&amp;api=v2" TargetMode="External"/><Relationship Id="rId12" Type="http://schemas.openxmlformats.org/officeDocument/2006/relationships/hyperlink" Target="https://community.icann.org/download/attachments/69279139/WHOIS1 Implementation briefings 5 8 10 11.pdf?version=1&amp;modificationDate=1506504731000&amp;api=v2" TargetMode="External"/><Relationship Id="rId13" Type="http://schemas.openxmlformats.org/officeDocument/2006/relationships/hyperlink" Target="https://community.icann.org/download/attachments/69279139/WHOIS Briefing - 03October2017 - V2.0.pdf?version=1&amp;modificationDate=1506780907000&amp;api=v2" TargetMode="External"/><Relationship Id="rId14" Type="http://schemas.openxmlformats.org/officeDocument/2006/relationships/hyperlink" Target="https://community.icann.org/display/WHO/Work+Plan" TargetMode="External"/><Relationship Id="rId15" Type="http://schemas.openxmlformats.org/officeDocument/2006/relationships/numbering" Target="numbering.xml"/><Relationship Id="rId16" Type="http://schemas.openxmlformats.org/officeDocument/2006/relationships/fontTable" Target="fontTable.xml"/><Relationship Id="rId17" Type="http://schemas.openxmlformats.org/officeDocument/2006/relationships/settings" Target="settings.xml"/><Relationship Id="rId18" Type="http://schemas.openxmlformats.org/officeDocument/2006/relationships/theme" Target="theme/theme1.xml"/><Relationship Id="rId19"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A810C5E-DB4A-0D4E-A66E-B03187366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Application>LibreOffice/5.2.0.4$Windows_x86 LibreOffice_project/066b007f5ebcc236395c7d282ba488bca6720265</Application>
  <Pages>4</Pages>
  <Words>871</Words>
  <Characters>4983</Characters>
  <CharactersWithSpaces>5772</CharactersWithSpaces>
  <Paragraphs>77</Paragraphs>
  <Company>European Commission</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2018-01-17T11:04:00Z</dcterms:created>
  <dc:creator>Alice Jansen</dc:creator>
  <dc:description/>
  <dc:language>de-DE</dc:language>
  <cp:lastModifiedBy>Volker Greimann</cp:lastModifiedBy>
  <dcterms:modified xsi:type="dcterms:W3CDTF">2018-02-08T19:07:25Z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European Commission</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