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comments.xml" ContentType="application/vnd.openxmlformats-officedocument.wordprocessingml.comments+xml"/>
  <Override PartName="/word/media/image1.png" ContentType="image/png"/>
  <Override PartName="/word/media/image2.png" ContentType="image/png"/>
  <Override PartName="/word/media/image3.png" ContentType="image/png"/>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1.xml.rels" ContentType="application/vnd.openxmlformats-package.relationships+xml"/>
  <Override PartName="/word/_rels/footer2.xml.rels" ContentType="application/vnd.openxmlformats-package.relationships+xml"/>
  <Override PartName="/customXml/item1.xml" ContentType="application/xml"/>
  <Override PartName="/customXml/item2.xml" ContentType="application/xml"/>
  <Override PartName="/customXml/itemProps1.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sdt>
      <w:sdtPr>
        <w:docPartObj>
          <w:docPartGallery w:val="Cover Pages"/>
          <w:docPartUnique w:val="true"/>
        </w:docPartObj>
        <w:id w:val="688049786"/>
      </w:sdtPr>
      <w:sdtContent>
        <w:p>
          <w:pPr>
            <w:pStyle w:val="Normal"/>
            <w:rPr/>
          </w:pPr>
          <w:ins w:id="0" w:author="Volker Greimann" w:date="2018-08-02T18:40:00Z">
            <w:bookmarkStart w:id="0" w:name="_GoBack"/>
            <w:bookmarkEnd w:id="0"/>
            <w:r>
              <w:drawing>
                <wp:anchor behindDoc="1" distT="0" distB="0" distL="114300" distR="115570" simplePos="0" locked="0" layoutInCell="1" allowOverlap="1" relativeHeight="2">
                  <wp:simplePos x="0" y="0"/>
                  <wp:positionH relativeFrom="page">
                    <wp:align>center</wp:align>
                  </wp:positionH>
                  <wp:positionV relativeFrom="page">
                    <wp:align>top</wp:align>
                  </wp:positionV>
                  <wp:extent cx="7560310" cy="10686415"/>
                  <wp:effectExtent l="0" t="0" r="0" b="0"/>
                  <wp:wrapNone/>
                  <wp:docPr id="1" name="Picture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0" descr=""/>
                          <pic:cNvPicPr>
                            <a:picLocks noChangeAspect="1" noChangeArrowheads="1"/>
                          </pic:cNvPicPr>
                        </pic:nvPicPr>
                        <pic:blipFill>
                          <a:blip r:embed="rId2"/>
                          <a:stretch>
                            <a:fillRect/>
                          </a:stretch>
                        </pic:blipFill>
                        <pic:spPr bwMode="auto">
                          <a:xfrm>
                            <a:off x="0" y="0"/>
                            <a:ext cx="7560310" cy="10686415"/>
                          </a:xfrm>
                          <a:prstGeom prst="rect">
                            <a:avLst/>
                          </a:prstGeom>
                        </pic:spPr>
                      </pic:pic>
                    </a:graphicData>
                  </a:graphic>
                </wp:anchor>
              </w:drawing>
            </w:r>
          </w:ins>
          <w:ins w:id="1" w:author="Volker Greimann" w:date="2018-08-02T18:40:00Z">
            <w:r>
              <w:rPr/>
              <w:t>t</w:t>
            </w:r>
          </w:ins>
          <w:ins w:id="2" w:author="Volker Greimann" w:date="2018-08-02T18:40:00Z">
            <w:r>
              <w:rPr/>
              <w:t>he</w:t>
            </w:r>
          </w:ins>
        </w:p>
      </w:sdtContent>
    </w:sdt>
    <w:tbl>
      <w:tblPr>
        <w:tblStyle w:val="TableGrid"/>
        <w:tblW w:w="9010" w:type="dxa"/>
        <w:jc w:val="left"/>
        <w:tblInd w:w="648" w:type="dxa"/>
        <w:tblCellMar>
          <w:top w:w="0" w:type="dxa"/>
          <w:left w:w="0" w:type="dxa"/>
          <w:bottom w:w="0" w:type="dxa"/>
          <w:right w:w="0" w:type="dxa"/>
        </w:tblCellMar>
        <w:tblLook w:firstRow="1" w:noVBand="1" w:lastRow="0" w:firstColumn="1" w:lastColumn="0" w:noHBand="0" w:val="04a0"/>
      </w:tblPr>
      <w:tblGrid>
        <w:gridCol w:w="9010"/>
      </w:tblGrid>
      <w:tr>
        <w:trPr>
          <w:trHeight w:val="6912" w:hRule="exact"/>
        </w:trPr>
        <w:tc>
          <w:tcPr>
            <w:tcW w:w="9010" w:type="dxa"/>
            <w:tcBorders>
              <w:top w:val="nil"/>
              <w:left w:val="nil"/>
              <w:bottom w:val="nil"/>
              <w:right w:val="nil"/>
              <w:insideH w:val="nil"/>
              <w:insideV w:val="nil"/>
            </w:tcBorders>
            <w:shd w:fill="auto" w:val="clear"/>
            <w:vAlign w:val="bottom"/>
          </w:tcPr>
          <w:sdt>
            <w:sdtPr>
              <w:text/>
              <w:id w:val="506098060"/>
              <w:dataBinding w:prefixMappings="xmlns:ns0='http://purl.org/dc/elements/1.1/' xmlns:ns1='http://schemas.openxmlformats.org/package/2006/metadata/core-properties' " w:xpath="/ns1:coreProperties[1]/ns0:title[1]" w:storeItemID="{6C3C8BC8-F283-45AE-878A-BAB7291924A1}"/>
              <w:alias w:val="Title"/>
            </w:sdtPr>
            <w:sdtContent>
              <w:p>
                <w:pPr>
                  <w:pStyle w:val="CoverTitlewhite2"/>
                  <w:rPr/>
                </w:pPr>
                <w:r>
                  <w:rPr/>
                  <w:t>Registration Directory Service (RDS-WHOIS2) Review</w:t>
                </w:r>
              </w:p>
            </w:sdtContent>
          </w:sdt>
        </w:tc>
      </w:tr>
      <w:tr>
        <w:trPr>
          <w:trHeight w:val="432" w:hRule="exact"/>
        </w:trPr>
        <w:tc>
          <w:tcPr>
            <w:tcW w:w="9010" w:type="dxa"/>
            <w:tcBorders>
              <w:top w:val="nil"/>
              <w:left w:val="nil"/>
              <w:bottom w:val="nil"/>
              <w:right w:val="nil"/>
              <w:insideH w:val="nil"/>
              <w:insideV w:val="nil"/>
            </w:tcBorders>
            <w:shd w:fill="auto" w:val="clear"/>
          </w:tcPr>
          <w:p>
            <w:pPr>
              <w:pStyle w:val="CoverSubtitleswhite2"/>
              <w:rPr/>
            </w:pPr>
            <w:r>
              <w:rPr/>
            </w:r>
          </w:p>
        </w:tc>
      </w:tr>
      <w:tr>
        <w:trPr>
          <w:trHeight w:val="1872" w:hRule="exact"/>
        </w:trPr>
        <w:tc>
          <w:tcPr>
            <w:tcW w:w="9010" w:type="dxa"/>
            <w:tcBorders>
              <w:top w:val="nil"/>
              <w:left w:val="nil"/>
              <w:bottom w:val="nil"/>
              <w:right w:val="nil"/>
              <w:insideH w:val="nil"/>
              <w:insideV w:val="nil"/>
            </w:tcBorders>
            <w:shd w:fill="auto" w:val="clear"/>
          </w:tcPr>
          <w:sdt>
            <w:sdtPr>
              <w:text/>
              <w:id w:val="1308155140"/>
              <w:dataBinding w:prefixMappings="xmlns:ns0='http://purl.org/dc/elements/1.1/' xmlns:ns1='http://schemas.openxmlformats.org/package/2006/metadata/core-properties' " w:xpath="/ns1:coreProperties[1]/ns0:subject[1]" w:storeItemID="{6C3C8BC8-F283-45AE-878A-BAB7291924A1}"/>
              <w:alias w:val="Subject"/>
            </w:sdtPr>
            <w:sdtContent>
              <w:p>
                <w:pPr>
                  <w:pStyle w:val="CoverSubtitleswhite2"/>
                  <w:rPr/>
                </w:pPr>
                <w:r>
                  <w:rPr/>
                  <w:t>Draft Report including F2F#3 agreements and action items</w:t>
                  <w:br/>
                  <w:br/>
                  <w:t>REC11 SUBGROUP REPORT - SECTION 3.8 ONLY</w:t>
                  <w:br/>
                  <w:t>FOR VOLKER TO PROVIDE REDLINED UPDATES</w:t>
                </w:r>
              </w:p>
            </w:sdtContent>
          </w:sdt>
        </w:tc>
      </w:tr>
      <w:tr>
        <w:trPr/>
        <w:tc>
          <w:tcPr>
            <w:tcW w:w="9010" w:type="dxa"/>
            <w:tcBorders>
              <w:top w:val="nil"/>
              <w:left w:val="nil"/>
              <w:bottom w:val="nil"/>
              <w:right w:val="nil"/>
              <w:insideH w:val="nil"/>
              <w:insideV w:val="nil"/>
            </w:tcBorders>
            <w:shd w:fill="auto" w:val="clear"/>
          </w:tcPr>
          <w:sdt>
            <w:sdtPr>
              <w:text/>
              <w:id w:val="101794067"/>
            </w:sdtPr>
            <w:sdtContent>
              <w:p>
                <w:pPr>
                  <w:pStyle w:val="CoverSubtitleswhite2"/>
                  <w:rPr/>
                </w:pPr>
                <w:r>
                  <w:rPr/>
                  <w:t>RDS-WHOIS2 Review Team</w:t>
                </w:r>
              </w:p>
            </w:sdtContent>
          </w:sdt>
        </w:tc>
      </w:tr>
      <w:tr>
        <w:trPr/>
        <w:tc>
          <w:tcPr>
            <w:tcW w:w="9010" w:type="dxa"/>
            <w:tcBorders>
              <w:top w:val="nil"/>
              <w:left w:val="nil"/>
              <w:bottom w:val="nil"/>
              <w:right w:val="nil"/>
              <w:insideH w:val="nil"/>
              <w:insideV w:val="nil"/>
            </w:tcBorders>
            <w:shd w:fill="auto" w:val="clear"/>
          </w:tcPr>
          <w:p>
            <w:pPr>
              <w:pStyle w:val="CoverSubtitleswhite2"/>
              <w:rPr/>
            </w:pPr>
            <w:r>
              <w:rPr/>
            </w:r>
            <w:sdt>
              <w:sdtPr>
                <w:alias w:val="Publish Date"/>
                <w:date w:fullDate="2018-07-30T00:00:00Z">
                  <w:dateFormat w:val="d MMMM yyyy"/>
                  <w:lid w:val="en-US"/>
                  <w:storeMappedDataAs w:val="dateTime"/>
                  <w:calendar w:val="gregorian"/>
                </w:date>
              </w:sdtPr>
              <w:sdtContent>
                <w:r>
                  <w:t>30</w:t>
                </w:r>
              </w:sdtContent>
            </w:sdt>
            <w:r>
              <w:rPr/>
              <w:t xml:space="preserve"> </w:t>
            </w:r>
            <w:r>
              <w:rPr/>
              <w:t>July 2018</w:t>
            </w:r>
          </w:p>
        </w:tc>
      </w:tr>
      <w:tr>
        <w:trPr>
          <w:trHeight w:val="1584" w:hRule="atLeast"/>
        </w:trPr>
        <w:tc>
          <w:tcPr>
            <w:tcW w:w="9010" w:type="dxa"/>
            <w:tcBorders>
              <w:top w:val="nil"/>
              <w:left w:val="nil"/>
              <w:bottom w:val="nil"/>
              <w:right w:val="nil"/>
              <w:insideH w:val="nil"/>
              <w:insideV w:val="nil"/>
            </w:tcBorders>
            <w:shd w:fill="auto" w:val="clear"/>
          </w:tcPr>
          <w:p>
            <w:pPr>
              <w:pStyle w:val="CoverSubtitleswhite2"/>
              <w:rPr/>
            </w:pPr>
            <w:r>
              <w:rPr/>
            </w:r>
          </w:p>
        </w:tc>
      </w:tr>
    </w:tbl>
    <w:p>
      <w:pPr>
        <w:pStyle w:val="LeftParagraph"/>
        <w:rPr/>
      </w:pPr>
      <w:r>
        <w:rPr/>
      </w:r>
      <w:r>
        <w:br w:type="page"/>
      </w:r>
    </w:p>
    <w:p>
      <w:pPr>
        <w:pStyle w:val="Heading2No"/>
        <w:rPr/>
      </w:pPr>
      <w:bookmarkStart w:id="1" w:name="_Toc520717855"/>
      <w:r>
        <w:rPr/>
        <w:t>3</w:t>
        <w:tab/>
        <w:t>Objective 1: Assessment of WHOIS1 Recommendations Implementation</w:t>
      </w:r>
    </w:p>
    <w:p>
      <w:pPr>
        <w:pStyle w:val="LeftParagraph"/>
        <w:rPr/>
      </w:pPr>
      <w:r>
        <w:rPr/>
      </w:r>
    </w:p>
    <w:p>
      <w:pPr>
        <w:pStyle w:val="Heading2No"/>
        <w:rPr/>
      </w:pPr>
      <w:bookmarkStart w:id="2" w:name="_Toc520717841"/>
      <w:r>
        <w:rPr/>
        <w:t>3.8</w:t>
        <w:tab/>
      </w:r>
      <w:bookmarkEnd w:id="2"/>
      <w:r>
        <w:rPr/>
        <w:t>WHOIS1 Rec #11: Common Interface</w:t>
      </w:r>
    </w:p>
    <w:p>
      <w:pPr>
        <w:pStyle w:val="LeftParagraph"/>
        <w:rPr/>
      </w:pPr>
      <w:bookmarkStart w:id="3" w:name="_Toc520717855"/>
      <w:bookmarkEnd w:id="3"/>
      <w:r>
        <w:rPr>
          <w:rStyle w:val="HighlightChar"/>
        </w:rPr>
        <w:t>[SUBSECTION NUMBERS WILL BE ADJUSTED WHEN ADDED BACK TO MASTER DOC]</w:t>
      </w:r>
    </w:p>
    <w:p>
      <w:pPr>
        <w:pStyle w:val="LeftParagraph"/>
        <w:rPr/>
      </w:pPr>
      <w:r>
        <w:rPr/>
      </w:r>
    </w:p>
    <w:p>
      <w:pPr>
        <w:pStyle w:val="Berschrift3"/>
        <w:numPr>
          <w:ilvl w:val="2"/>
          <w:numId w:val="4"/>
        </w:numPr>
        <w:ind w:left="1260" w:hanging="1260"/>
        <w:rPr/>
      </w:pPr>
      <w:bookmarkStart w:id="4" w:name="_Toc520717884"/>
      <w:bookmarkEnd w:id="4"/>
      <w:r>
        <w:rPr/>
        <w:t>Topic</w:t>
      </w:r>
    </w:p>
    <w:p>
      <w:pPr>
        <w:pStyle w:val="LeftParagraph"/>
        <w:rPr/>
      </w:pPr>
      <w:r>
        <w:rPr/>
      </w:r>
    </w:p>
    <w:p>
      <w:pPr>
        <w:pStyle w:val="Normal"/>
        <w:rPr/>
      </w:pPr>
      <w:r>
        <w:rPr/>
        <w:t>Subgroup 1 - WHOIS1 Rec11 Common Interface is tasked with investigating, analyzing, and drafting recommendations (if needed) to address the following Review objective:</w:t>
      </w:r>
    </w:p>
    <w:p>
      <w:pPr>
        <w:pStyle w:val="Normal"/>
        <w:rPr/>
      </w:pPr>
      <w:r>
        <w:rPr/>
      </w:r>
    </w:p>
    <w:p>
      <w:pPr>
        <w:pStyle w:val="Indent1Paragraph"/>
        <w:rPr>
          <w:rStyle w:val="ItalicChar"/>
        </w:rPr>
      </w:pPr>
      <w:r>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pPr>
        <w:pStyle w:val="Normal"/>
        <w:rPr/>
      </w:pPr>
      <w:r>
        <w:rPr/>
      </w:r>
    </w:p>
    <w:p>
      <w:pPr>
        <w:pStyle w:val="Normal"/>
        <w:rPr/>
      </w:pPr>
      <w:r>
        <w:rPr/>
        <w:t xml:space="preserve">The specific </w:t>
      </w:r>
      <w:hyperlink r:id="rId3">
        <w:r>
          <w:rPr>
            <w:rStyle w:val="Internetlink"/>
          </w:rPr>
          <w:t>WHOIS1 Recommendation</w:t>
        </w:r>
      </w:hyperlink>
      <w:r>
        <w:rPr/>
        <w:t xml:space="preserve"> assessed by this subgroup appears below:</w:t>
      </w:r>
    </w:p>
    <w:p>
      <w:pPr>
        <w:pStyle w:val="LeftParagraph"/>
        <w:rPr/>
      </w:pPr>
      <w:r>
        <w:rPr/>
      </w:r>
    </w:p>
    <w:tbl>
      <w:tblPr>
        <w:tblStyle w:val="TableGrid"/>
        <w:tblW w:w="8280" w:type="dxa"/>
        <w:jc w:val="left"/>
        <w:tblInd w:w="828" w:type="dxa"/>
        <w:tblCellMar>
          <w:top w:w="0" w:type="dxa"/>
          <w:left w:w="108" w:type="dxa"/>
          <w:bottom w:w="0" w:type="dxa"/>
          <w:right w:w="108" w:type="dxa"/>
        </w:tblCellMar>
        <w:tblLook w:firstRow="1" w:noVBand="1" w:lastRow="0" w:firstColumn="1" w:lastColumn="0" w:noHBand="0" w:val="04a0"/>
      </w:tblPr>
      <w:tblGrid>
        <w:gridCol w:w="8280"/>
      </w:tblGrid>
      <w:tr>
        <w:trPr/>
        <w:tc>
          <w:tcPr>
            <w:tcW w:w="8280" w:type="dxa"/>
            <w:tcBorders/>
            <w:shd w:fill="auto" w:val="clear"/>
            <w:tcMar>
              <w:left w:w="108" w:type="dxa"/>
            </w:tcMar>
          </w:tcPr>
          <w:p>
            <w:pPr>
              <w:pStyle w:val="LeftParagraph"/>
              <w:rPr>
                <w:rStyle w:val="BoldItalicChar"/>
              </w:rPr>
            </w:pPr>
            <w:r>
              <w:rPr>
                <w:rStyle w:val="BoldItalicChar"/>
              </w:rPr>
              <w:t>WHOIS Recommendation #11: Common Interface</w:t>
            </w:r>
          </w:p>
          <w:p>
            <w:pPr>
              <w:pStyle w:val="LeftParagraph"/>
              <w:rPr/>
            </w:pPr>
            <w:r>
              <w:rPr/>
            </w:r>
          </w:p>
          <w:p>
            <w:pPr>
              <w:pStyle w:val="LeftParagraph"/>
              <w:rPr/>
            </w:pPr>
            <w:r>
              <w:rPr>
                <w:rStyle w:val="ItalicChar"/>
              </w:rPr>
              <w:t>It is recommended that the Internic Service is overhauled to provide enhanced usability for consumers, including the display of full registrant data for all gTLD domain names (whether those gTLDs operate thin or thick WHOIS services); operational improvements should include enhanced promotion of the service to increase user awareness.</w:t>
            </w:r>
          </w:p>
        </w:tc>
      </w:tr>
    </w:tbl>
    <w:p>
      <w:pPr>
        <w:pStyle w:val="LeftParagraph"/>
        <w:rPr/>
      </w:pPr>
      <w:r>
        <w:rPr/>
      </w:r>
    </w:p>
    <w:p>
      <w:pPr>
        <w:pStyle w:val="Normal"/>
        <w:rPr/>
      </w:pPr>
      <w:r>
        <w:rPr/>
        <w:t>Noting the target of the above recommendation, the subgroup agreed to examine operational improvements, including enhanced promotion of the service to increase user awareness. Specifically, the subgroup agreed to examine these questions:</w:t>
      </w:r>
    </w:p>
    <w:p>
      <w:pPr>
        <w:pStyle w:val="Normal"/>
        <w:rPr/>
      </w:pPr>
      <w:r>
        <w:rPr/>
      </w:r>
    </w:p>
    <w:p>
      <w:pPr>
        <w:pStyle w:val="ListBulletSimple"/>
        <w:numPr>
          <w:ilvl w:val="0"/>
          <w:numId w:val="2"/>
        </w:numPr>
        <w:rPr/>
      </w:pPr>
      <w:r>
        <w:rPr/>
        <w:t>Has the creation and deployment of the WHOIS microsite at the direction of the board met this recommendation, considering the old Internic service still exists unchanged?</w:t>
      </w:r>
    </w:p>
    <w:p>
      <w:pPr>
        <w:pStyle w:val="ListBulletSimple"/>
        <w:numPr>
          <w:ilvl w:val="0"/>
          <w:numId w:val="2"/>
        </w:numPr>
        <w:rPr/>
      </w:pPr>
      <w:r>
        <w:rPr/>
        <w:t>Does the WHOIS query service provided through the microsite (the common interface) provide clear and reliable access to full registrant data for all gTLD domain names?</w:t>
      </w:r>
    </w:p>
    <w:p>
      <w:pPr>
        <w:pStyle w:val="ListBulletSimple"/>
        <w:numPr>
          <w:ilvl w:val="0"/>
          <w:numId w:val="2"/>
        </w:numPr>
        <w:rPr/>
      </w:pPr>
      <w:r>
        <w:rPr/>
        <w:t>What promotional efforts has ICANN undertaken to increase user awareness of the common interface?</w:t>
      </w:r>
    </w:p>
    <w:p>
      <w:pPr>
        <w:pStyle w:val="ListBulletSimple"/>
        <w:numPr>
          <w:ilvl w:val="0"/>
          <w:numId w:val="2"/>
        </w:numPr>
        <w:rPr/>
      </w:pPr>
      <w:r>
        <w:rPr/>
        <w:t>Does the common interface provide clear instructions on how to notify ICANN, the sponsoring registrar and/or the registrant regarding data accuracy issues?</w:t>
      </w:r>
    </w:p>
    <w:p>
      <w:pPr>
        <w:pStyle w:val="LeftParagraph"/>
        <w:rPr/>
      </w:pPr>
      <w:r>
        <w:rPr/>
      </w:r>
    </w:p>
    <w:p>
      <w:pPr>
        <w:pStyle w:val="Berschrift3"/>
        <w:numPr>
          <w:ilvl w:val="2"/>
          <w:numId w:val="4"/>
        </w:numPr>
        <w:ind w:left="1260" w:hanging="1260"/>
        <w:rPr/>
      </w:pPr>
      <w:bookmarkStart w:id="5" w:name="_Toc520717885"/>
      <w:bookmarkEnd w:id="5"/>
      <w:r>
        <w:rPr/>
        <w:t>Summary of Relevant Research</w:t>
      </w:r>
    </w:p>
    <w:p>
      <w:pPr>
        <w:pStyle w:val="LeftParagraph"/>
        <w:rPr/>
      </w:pPr>
      <w:r>
        <w:rPr/>
      </w:r>
    </w:p>
    <w:p>
      <w:pPr>
        <w:pStyle w:val="LeftParagraph"/>
        <w:rPr/>
      </w:pPr>
      <w:r>
        <w:rPr/>
        <w:t xml:space="preserve">To conducts its research, all members of this subgroup reviewed the following background materials, posted on the </w:t>
      </w:r>
      <w:hyperlink r:id="rId4">
        <w:r>
          <w:rPr>
            <w:rStyle w:val="Internetlink"/>
            <w:vanish/>
          </w:rPr>
          <w:t>subgroup's wiki page</w:t>
        </w:r>
      </w:hyperlink>
      <w:r>
        <w:rPr/>
        <w:t>:</w:t>
      </w:r>
    </w:p>
    <w:p>
      <w:pPr>
        <w:pStyle w:val="LeftParagraph"/>
        <w:rPr/>
      </w:pPr>
      <w:r>
        <w:rPr/>
      </w:r>
    </w:p>
    <w:p>
      <w:pPr>
        <w:pStyle w:val="ListBullet2"/>
        <w:numPr>
          <w:ilvl w:val="1"/>
          <w:numId w:val="3"/>
        </w:numPr>
        <w:rPr/>
      </w:pPr>
      <w:hyperlink r:id="rId5">
        <w:r>
          <w:rPr>
            <w:rStyle w:val="Internetlink"/>
            <w:vanish/>
          </w:rPr>
          <w:t>WHOIS Review Team (WHOIS1) Final Report</w:t>
        </w:r>
      </w:hyperlink>
      <w:r>
        <w:rPr/>
        <w:t> (2012) and </w:t>
      </w:r>
      <w:hyperlink r:id="rId6">
        <w:r>
          <w:rPr>
            <w:rStyle w:val="Internetlink"/>
            <w:vanish/>
          </w:rPr>
          <w:t>Action Plan</w:t>
        </w:r>
      </w:hyperlink>
    </w:p>
    <w:p>
      <w:pPr>
        <w:pStyle w:val="ListBullet2"/>
        <w:numPr>
          <w:ilvl w:val="1"/>
          <w:numId w:val="3"/>
        </w:numPr>
        <w:rPr/>
      </w:pPr>
      <w:hyperlink r:id="rId7">
        <w:r>
          <w:rPr>
            <w:rStyle w:val="Internetlink"/>
            <w:vanish/>
          </w:rPr>
          <w:t>WHOIS Review Team (WHOIS1) Implementation Reports</w:t>
        </w:r>
      </w:hyperlink>
      <w:r>
        <w:rPr/>
        <w:t>, including</w:t>
      </w:r>
    </w:p>
    <w:p>
      <w:pPr>
        <w:pStyle w:val="ListBullet3"/>
        <w:numPr>
          <w:ilvl w:val="2"/>
          <w:numId w:val="3"/>
        </w:numPr>
        <w:rPr/>
      </w:pPr>
      <w:hyperlink r:id="rId8">
        <w:r>
          <w:rPr>
            <w:rStyle w:val="Internetlink"/>
            <w:vanish/>
          </w:rPr>
          <w:t>Executive Summary of Implementation Report</w:t>
        </w:r>
      </w:hyperlink>
    </w:p>
    <w:p>
      <w:pPr>
        <w:pStyle w:val="ListBullet3"/>
        <w:numPr>
          <w:ilvl w:val="2"/>
          <w:numId w:val="3"/>
        </w:numPr>
        <w:rPr/>
      </w:pPr>
      <w:hyperlink r:id="rId9">
        <w:r>
          <w:rPr>
            <w:rStyle w:val="Internetlink"/>
            <w:vanish/>
          </w:rPr>
          <w:t>Detailed implementation Report</w:t>
        </w:r>
      </w:hyperlink>
      <w:r>
        <w:rPr/>
        <w:t> </w:t>
      </w:r>
    </w:p>
    <w:p>
      <w:pPr>
        <w:pStyle w:val="ListBullet2"/>
        <w:numPr>
          <w:ilvl w:val="1"/>
          <w:numId w:val="3"/>
        </w:numPr>
        <w:rPr/>
      </w:pPr>
      <w:r>
        <w:rPr/>
        <w:t>WHOIS1 Implementation Briefings on Recommendations 5, 8, 10, 11: </w:t>
      </w:r>
      <w:hyperlink r:id="rId10">
        <w:r>
          <w:rPr>
            <w:rStyle w:val="Internetlink"/>
            <w:vanish/>
          </w:rPr>
          <w:t>PPT</w:t>
        </w:r>
      </w:hyperlink>
      <w:r>
        <w:rPr/>
        <w:t>, </w:t>
      </w:r>
      <w:hyperlink r:id="rId11">
        <w:r>
          <w:rPr>
            <w:rStyle w:val="Internetlink"/>
            <w:vanish/>
          </w:rPr>
          <w:t>PDF</w:t>
        </w:r>
      </w:hyperlink>
    </w:p>
    <w:p>
      <w:pPr>
        <w:pStyle w:val="ListBullet2"/>
        <w:numPr>
          <w:ilvl w:val="1"/>
          <w:numId w:val="3"/>
        </w:numPr>
        <w:rPr/>
      </w:pPr>
      <w:hyperlink r:id="rId12">
        <w:r>
          <w:rPr>
            <w:rStyle w:val="Internetlink"/>
            <w:vanish/>
          </w:rPr>
          <w:t>Answers to RDS-WHOIS2 Questions on Implementation Briefings</w:t>
        </w:r>
      </w:hyperlink>
    </w:p>
    <w:p>
      <w:pPr>
        <w:pStyle w:val="ListBullet2"/>
        <w:numPr>
          <w:ilvl w:val="1"/>
          <w:numId w:val="3"/>
        </w:numPr>
        <w:rPr/>
      </w:pPr>
      <w:r>
        <w:rPr/>
        <w:t>Documents cited in briefing on Recommendation 11 include</w:t>
      </w:r>
    </w:p>
    <w:p>
      <w:pPr>
        <w:pStyle w:val="ListBullet3"/>
        <w:numPr>
          <w:ilvl w:val="2"/>
          <w:numId w:val="3"/>
        </w:numPr>
        <w:rPr/>
      </w:pPr>
      <w:hyperlink r:id="rId13">
        <w:r>
          <w:rPr>
            <w:rStyle w:val="Internetlink"/>
            <w:vanish/>
          </w:rPr>
          <w:t>WHOIS Informational Microsite</w:t>
        </w:r>
      </w:hyperlink>
    </w:p>
    <w:p>
      <w:pPr>
        <w:pStyle w:val="ListBullet3"/>
        <w:numPr>
          <w:ilvl w:val="2"/>
          <w:numId w:val="3"/>
        </w:numPr>
        <w:rPr/>
      </w:pPr>
      <w:hyperlink r:id="rId14">
        <w:r>
          <w:rPr>
            <w:rStyle w:val="Internetlink"/>
            <w:vanish/>
          </w:rPr>
          <w:t>WHOIS Consolidated WHOIS Lookup Tool</w:t>
        </w:r>
      </w:hyperlink>
    </w:p>
    <w:p>
      <w:pPr>
        <w:pStyle w:val="ListBullet2"/>
        <w:numPr>
          <w:ilvl w:val="1"/>
          <w:numId w:val="3"/>
        </w:numPr>
        <w:rPr/>
      </w:pPr>
      <w:hyperlink r:id="rId15">
        <w:r>
          <w:rPr>
            <w:rStyle w:val="Internetlink"/>
            <w:vanish/>
          </w:rPr>
          <w:t>https://www.internic.net/</w:t>
        </w:r>
      </w:hyperlink>
    </w:p>
    <w:p>
      <w:pPr>
        <w:pStyle w:val="LeftParagraph"/>
        <w:rPr/>
      </w:pPr>
      <w:r>
        <w:rPr/>
      </w:r>
    </w:p>
    <w:p>
      <w:pPr>
        <w:pStyle w:val="LeftParagraph"/>
        <w:rPr/>
      </w:pPr>
      <w:r>
        <w:rPr/>
        <w:t>In addition, the subgroup requested additional materials from ICANN Org</w:t>
      </w:r>
    </w:p>
    <w:p>
      <w:pPr>
        <w:pStyle w:val="ListBulletSimple"/>
        <w:numPr>
          <w:ilvl w:val="0"/>
          <w:numId w:val="2"/>
        </w:numPr>
        <w:rPr/>
      </w:pPr>
      <w:r>
        <w:rPr/>
        <w:t xml:space="preserve">Available statistics on: use of the common interface, uptime, requests for help using the tool and what usage data is tracked by ICANN; </w:t>
      </w:r>
    </w:p>
    <w:p>
      <w:pPr>
        <w:pStyle w:val="ListBulletSimple"/>
        <w:numPr>
          <w:ilvl w:val="0"/>
          <w:numId w:val="2"/>
        </w:numPr>
        <w:rPr/>
      </w:pPr>
      <w:r>
        <w:rPr/>
        <w:t>The Team/Department that implemented and maintains the common interface;</w:t>
      </w:r>
    </w:p>
    <w:p>
      <w:pPr>
        <w:pStyle w:val="ListBulletSimple"/>
        <w:numPr>
          <w:ilvl w:val="0"/>
          <w:numId w:val="2"/>
        </w:numPr>
        <w:rPr/>
      </w:pPr>
      <w:r>
        <w:rPr/>
        <w:t>Any challenges with implementation and maintenance of the interface.</w:t>
      </w:r>
    </w:p>
    <w:p>
      <w:pPr>
        <w:pStyle w:val="ListBulletSimple"/>
        <w:numPr>
          <w:ilvl w:val="0"/>
          <w:numId w:val="0"/>
        </w:numPr>
        <w:ind w:left="720" w:hanging="0"/>
        <w:rPr/>
      </w:pPr>
      <w:r>
        <w:rPr/>
      </w:r>
    </w:p>
    <w:p>
      <w:pPr>
        <w:pStyle w:val="ListBulletSimple"/>
        <w:numPr>
          <w:ilvl w:val="0"/>
          <w:numId w:val="0"/>
        </w:numPr>
        <w:rPr/>
      </w:pPr>
      <w:r>
        <w:rPr/>
        <w:t>These materials included in written responses provided by ICANN Org:</w:t>
      </w:r>
    </w:p>
    <w:p>
      <w:pPr>
        <w:pStyle w:val="ListBulletSimple"/>
        <w:numPr>
          <w:ilvl w:val="0"/>
          <w:numId w:val="2"/>
        </w:numPr>
        <w:rPr/>
      </w:pPr>
      <w:hyperlink r:id="rId16">
        <w:r>
          <w:rPr>
            <w:rStyle w:val="Internetlink"/>
            <w:vanish/>
          </w:rPr>
          <w:t>Written briefing on query failures</w:t>
        </w:r>
      </w:hyperlink>
      <w:r>
        <w:rPr/>
        <w:t>, and</w:t>
      </w:r>
    </w:p>
    <w:p>
      <w:pPr>
        <w:pStyle w:val="ListBulletSimple"/>
        <w:numPr>
          <w:ilvl w:val="0"/>
          <w:numId w:val="2"/>
        </w:numPr>
        <w:rPr/>
      </w:pPr>
      <w:hyperlink r:id="rId17">
        <w:r>
          <w:rPr>
            <w:rStyle w:val="Internetlink"/>
            <w:vanish/>
          </w:rPr>
          <w:t>Written implementation briefing</w:t>
        </w:r>
      </w:hyperlink>
      <w:r>
        <w:rPr/>
        <w:t>.</w:t>
      </w:r>
    </w:p>
    <w:p>
      <w:pPr>
        <w:pStyle w:val="ListBulletSimple"/>
        <w:numPr>
          <w:ilvl w:val="0"/>
          <w:numId w:val="0"/>
        </w:numPr>
        <w:ind w:left="720" w:hanging="0"/>
        <w:rPr>
          <w:rFonts w:eastAsia="ＭＳ Ｐゴシック" w:eastAsiaTheme="majorEastAsia"/>
        </w:rPr>
      </w:pPr>
      <w:r>
        <w:rPr>
          <w:rFonts w:eastAsia="ＭＳ Ｐゴシック" w:eastAsiaTheme="majorEastAsia"/>
        </w:rPr>
      </w:r>
    </w:p>
    <w:p>
      <w:pPr>
        <w:pStyle w:val="LeftParagraph"/>
        <w:rPr>
          <w:rStyle w:val="ClearFormattingChar"/>
        </w:rPr>
      </w:pPr>
      <w:r>
        <w:rPr/>
        <w:t xml:space="preserve">Finally, the subgroup applied the RDS-WHOIS2 review team's </w:t>
      </w:r>
      <w:hyperlink r:id="rId18">
        <w:r>
          <w:rPr>
            <w:rStyle w:val="Internetlink"/>
            <w:vanish/>
          </w:rPr>
          <w:t>agreed framework</w:t>
        </w:r>
      </w:hyperlink>
      <w:r>
        <w:rPr>
          <w:rStyle w:val="ClearFormattingChar"/>
        </w:rPr>
        <w:t xml:space="preserve"> to measure and assess the effectiveness of recommendations</w:t>
      </w:r>
      <w:ins w:id="3" w:author="Volker Greimann" w:date="2018-08-02T19:24:00Z">
        <w:r>
          <w:rPr>
            <w:rStyle w:val="ClearFormattingChar"/>
          </w:rPr>
          <w:t xml:space="preserve"> </w:t>
        </w:r>
      </w:ins>
      <w:ins w:id="4" w:author="Volker Greimann" w:date="2018-08-02T19:24:00Z">
        <w:r>
          <w:rPr>
            <w:rStyle w:val="ClearFormattingChar"/>
          </w:rPr>
          <w:t>and conducted individual reviews of the common interface by making and comparing lookup results.</w:t>
        </w:r>
      </w:ins>
      <w:del w:id="5" w:author="Volker Greimann" w:date="2018-08-02T19:24:00Z">
        <w:r>
          <w:rPr>
            <w:rStyle w:val="ClearFormattingChar"/>
          </w:rPr>
          <w:delText>,</w:delText>
        </w:r>
      </w:del>
    </w:p>
    <w:p>
      <w:pPr>
        <w:pStyle w:val="LeftParagraph"/>
        <w:rPr/>
      </w:pPr>
      <w:r>
        <w:rPr/>
      </w:r>
    </w:p>
    <w:p>
      <w:pPr>
        <w:pStyle w:val="Berschrift3"/>
        <w:numPr>
          <w:ilvl w:val="2"/>
          <w:numId w:val="4"/>
        </w:numPr>
        <w:ind w:left="1260" w:hanging="1260"/>
        <w:rPr/>
      </w:pPr>
      <w:bookmarkStart w:id="6" w:name="_Toc520717886"/>
      <w:bookmarkEnd w:id="6"/>
      <w:r>
        <w:rPr/>
        <w:t>Analysis &amp; Findings</w:t>
      </w:r>
    </w:p>
    <w:p>
      <w:pPr>
        <w:pStyle w:val="LeftParagraph"/>
        <w:rPr/>
      </w:pPr>
      <w:r>
        <w:rPr/>
      </w:r>
    </w:p>
    <w:p>
      <w:pPr>
        <w:pStyle w:val="LeftParagraph"/>
        <w:rPr/>
      </w:pPr>
      <w:r>
        <w:rPr>
          <w:rStyle w:val="ClearFormattingChar"/>
        </w:rPr>
        <w:t>This recommendation has been fully implemented</w:t>
      </w:r>
      <w:ins w:id="6" w:author="Volker Greimann" w:date="2018-08-02T19:25:00Z">
        <w:r>
          <w:rPr>
            <w:rStyle w:val="ClearFormattingChar"/>
          </w:rPr>
          <w:t xml:space="preserve"> </w:t>
        </w:r>
      </w:ins>
      <w:ins w:id="7" w:author="Volker Greimann" w:date="2018-08-02T19:25:00Z">
        <w:r>
          <w:rPr>
            <w:rStyle w:val="ClearFormattingChar"/>
          </w:rPr>
          <w:t xml:space="preserve">by provision of the new portal at “whois.icann.org”. </w:t>
        </w:r>
      </w:ins>
      <w:ins w:id="8" w:author="Volker Greimann" w:date="2018-08-02T19:26:00Z">
        <w:r>
          <w:rPr>
            <w:rStyle w:val="ClearFormattingChar"/>
          </w:rPr>
          <w:t>O</w:t>
        </w:r>
      </w:ins>
      <w:del w:id="9" w:author="Volker Greimann" w:date="2018-08-02T19:25:00Z">
        <w:r>
          <w:rPr>
            <w:rStyle w:val="ClearFormattingChar"/>
          </w:rPr>
          <w:delText xml:space="preserve"> and</w:delText>
        </w:r>
      </w:del>
      <w:del w:id="10" w:author="Volker Greimann" w:date="2018-08-02T19:26:00Z">
        <w:r>
          <w:rPr>
            <w:rStyle w:val="ClearFormattingChar"/>
          </w:rPr>
          <w:delText xml:space="preserve"> o</w:delText>
        </w:r>
      </w:del>
      <w:r>
        <w:rPr>
          <w:rStyle w:val="ClearFormattingChar"/>
        </w:rPr>
        <w:t xml:space="preserve">ver 4 million queries were made in a </w:t>
      </w:r>
    </w:p>
    <w:p>
      <w:pPr>
        <w:pStyle w:val="LeftParagraph"/>
        <w:rPr/>
      </w:pPr>
      <w:r>
        <w:rPr>
          <w:rStyle w:val="ClearFormattingChar"/>
        </w:rPr>
        <w:t>6 month period in 2017</w:t>
      </w:r>
      <w:ins w:id="11" w:author="Volker Greimann" w:date="2018-08-02T19:26:00Z">
        <w:r>
          <w:rPr>
            <w:rStyle w:val="ClearFormattingChar"/>
          </w:rPr>
          <w:t xml:space="preserve">, </w:t>
        </w:r>
      </w:ins>
      <w:ins w:id="12" w:author="Volker Greimann" w:date="2018-08-02T19:26:00Z">
        <w:r>
          <w:rPr>
            <w:rStyle w:val="ClearFormattingChar"/>
          </w:rPr>
          <w:t xml:space="preserve">showing </w:t>
        </w:r>
      </w:ins>
      <w:del w:id="13" w:author="Volker Greimann" w:date="2018-08-02T19:26:00Z">
        <w:r>
          <w:rPr>
            <w:rStyle w:val="ClearFormattingChar"/>
          </w:rPr>
          <w:delText xml:space="preserve">. This is </w:delText>
        </w:r>
      </w:del>
      <w:r>
        <w:rPr>
          <w:rStyle w:val="ClearFormattingChar"/>
        </w:rPr>
        <w:t>significant usage</w:t>
      </w:r>
      <w:ins w:id="14" w:author="Volker Greimann" w:date="2018-08-02T19:26:00Z">
        <w:r>
          <w:rPr>
            <w:rStyle w:val="ClearFormattingChar"/>
          </w:rPr>
          <w:t xml:space="preserve">. </w:t>
        </w:r>
      </w:ins>
      <w:ins w:id="15" w:author="Volker Greimann" w:date="2018-08-02T19:26:00Z">
        <w:r>
          <w:rPr>
            <w:rStyle w:val="ClearFormattingChar"/>
          </w:rPr>
          <w:t xml:space="preserve">The common interface </w:t>
        </w:r>
      </w:ins>
      <w:del w:id="16" w:author="Volker Greimann" w:date="2018-08-02T19:26:00Z">
        <w:r>
          <w:rPr>
            <w:rStyle w:val="ClearFormattingChar"/>
          </w:rPr>
          <w:delText xml:space="preserve"> and </w:delText>
        </w:r>
      </w:del>
      <w:r>
        <w:rPr>
          <w:rStyle w:val="ClearFormattingChar"/>
        </w:rPr>
        <w:t xml:space="preserve">may become </w:t>
      </w:r>
      <w:ins w:id="17" w:author="Volker Greimann" w:date="2018-08-02T19:26:00Z">
        <w:r>
          <w:rPr>
            <w:rStyle w:val="ClearFormattingChar"/>
          </w:rPr>
          <w:t xml:space="preserve">even </w:t>
        </w:r>
      </w:ins>
      <w:r>
        <w:rPr>
          <w:rStyle w:val="ClearFormattingChar"/>
        </w:rPr>
        <w:t xml:space="preserve">more important after May 25th and the GDPR enforcement is in effect.  </w:t>
      </w:r>
    </w:p>
    <w:p>
      <w:pPr>
        <w:pStyle w:val="LeftParagraph"/>
        <w:rPr>
          <w:rStyle w:val="ClearFormattingChar"/>
        </w:rPr>
      </w:pPr>
      <w:r>
        <w:rPr/>
      </w:r>
    </w:p>
    <w:p>
      <w:pPr>
        <w:pStyle w:val="LeftParagraph"/>
        <w:rPr/>
      </w:pPr>
      <w:r>
        <w:rPr>
          <w:rStyle w:val="ClearFormattingChar"/>
        </w:rPr>
        <w:t xml:space="preserve">The briefing indicates that there has been a 99.9% up time for the common interface </w:t>
      </w:r>
      <w:ins w:id="18" w:author="Volker Greimann" w:date="2018-08-02T18:50:00Z">
        <w:r>
          <w:rPr>
            <w:rStyle w:val="ClearFormattingChar"/>
          </w:rPr>
          <w:t xml:space="preserve">(meaning the time that the common interface was reachable from the internet) </w:t>
        </w:r>
      </w:ins>
      <w:r>
        <w:rPr>
          <w:rStyle w:val="ClearFormattingChar"/>
        </w:rPr>
        <w:t xml:space="preserve">but other statistics on usage are not tracked.  </w:t>
      </w:r>
      <w:del w:id="19" w:author="Volker Greimann" w:date="2018-08-02T18:50:00Z">
        <w:r>
          <w:rPr>
            <w:rStyle w:val="ClearFormattingChar"/>
          </w:rPr>
          <w:delText>Clarification on what the definition of uptime is would be helpful</w:delText>
        </w:r>
      </w:del>
      <w:r>
        <w:rPr>
          <w:rStyle w:val="ClearFormattingChar"/>
        </w:rPr>
        <w:t xml:space="preserve">.  </w:t>
      </w:r>
      <w:del w:id="20" w:author="Volker Greimann" w:date="2018-08-02T18:52:00Z">
        <w:r>
          <w:rPr>
            <w:rStyle w:val="ClearFormattingChar"/>
          </w:rPr>
          <w:delText xml:space="preserve">The availability of the tool may not be a problem but not sure that is an indication that all queries result in providing WHOIS information.  Anecdotally, I was not able to retrieve WHOIS information for several new gTld look ups.  Either user error or it didn’t work. I did go back at a later time and the queries worked. </w:delText>
        </w:r>
      </w:del>
      <w:ins w:id="21" w:author="Volker Greimann" w:date="2018-08-02T18:53:00Z">
        <w:r>
          <w:rPr>
            <w:rStyle w:val="ClearFormattingChar"/>
          </w:rPr>
          <w:t xml:space="preserve"> </w:t>
        </w:r>
      </w:ins>
    </w:p>
    <w:p>
      <w:pPr>
        <w:pStyle w:val="LeftParagraph"/>
        <w:rPr>
          <w:rStyle w:val="ClearFormattingChar"/>
        </w:rPr>
      </w:pPr>
      <w:ins w:id="22" w:author="Volker Greimann" w:date="2018-08-02T18:53:00Z">
        <w:r>
          <w:rPr/>
        </w:r>
      </w:ins>
    </w:p>
    <w:p>
      <w:pPr>
        <w:pStyle w:val="LeftParagraph"/>
        <w:rPr/>
      </w:pPr>
      <w:ins w:id="23" w:author="Volker Greimann" w:date="2018-08-02T18:53:00Z">
        <w:r>
          <w:rPr>
            <w:rStyle w:val="ClearFormattingChar"/>
          </w:rPr>
          <w:t>Individual team members have raised the issue that access to RDS data through the common interface may have become less reliable in recent months as timeouts or rate-limitations implemented by contracted parties prevent data access by users through the common interface.</w:t>
        </w:r>
      </w:ins>
    </w:p>
    <w:p>
      <w:pPr>
        <w:pStyle w:val="LeftParagraph"/>
        <w:rPr>
          <w:rStyle w:val="ClearFormattingChar"/>
        </w:rPr>
      </w:pPr>
      <w:r>
        <w:rPr/>
      </w:r>
    </w:p>
    <w:p>
      <w:pPr>
        <w:pStyle w:val="LeftParagraph"/>
        <w:rPr>
          <w:rStyle w:val="ClearFormattingChar"/>
        </w:rPr>
      </w:pPr>
      <w:r>
        <w:rPr>
          <w:rStyle w:val="ClearFormattingChar"/>
        </w:rPr>
        <w:t>According to information provided by ICANN staff It may not be practical to track other data elements associated with usage</w:t>
      </w:r>
      <w:ins w:id="24" w:author="Volker Greimann" w:date="2018-08-02T18:54:00Z">
        <w:r>
          <w:rPr>
            <w:rStyle w:val="ClearFormattingChar"/>
          </w:rPr>
          <w:t xml:space="preserve"> </w:t>
        </w:r>
      </w:ins>
      <w:ins w:id="25" w:author="Volker Greimann" w:date="2018-08-02T18:54:00Z">
        <w:r>
          <w:rPr>
            <w:rStyle w:val="ClearFormattingChar"/>
          </w:rPr>
          <w:t>such as causes of lookup failures</w:t>
        </w:r>
      </w:ins>
      <w:r>
        <w:rPr>
          <w:rStyle w:val="ClearFormattingChar"/>
        </w:rPr>
        <w:t xml:space="preserve">. </w:t>
      </w:r>
    </w:p>
    <w:p>
      <w:pPr>
        <w:pStyle w:val="LeftParagraph"/>
        <w:rPr>
          <w:rStyle w:val="ClearFormattingChar"/>
        </w:rPr>
      </w:pPr>
      <w:r>
        <w:rPr/>
      </w:r>
    </w:p>
    <w:p>
      <w:pPr>
        <w:pStyle w:val="LeftParagraph"/>
        <w:rPr/>
      </w:pPr>
      <w:ins w:id="26" w:author="Volker Greimann" w:date="2018-08-02T18:55:00Z">
        <w:r>
          <w:rPr>
            <w:rStyle w:val="ClearFormattingChar"/>
          </w:rPr>
          <w:t>ICANN staff indicated that even the number of lookup failures</w:t>
        </w:r>
      </w:ins>
      <w:del w:id="27" w:author="Volker Greimann" w:date="2018-08-02T18:55:00Z">
        <w:r>
          <w:rPr>
            <w:rStyle w:val="ClearFormattingChar"/>
          </w:rPr>
          <w:delText xml:space="preserve">This number </w:delText>
        </w:r>
      </w:del>
      <w:ins w:id="28" w:author="Volker Greimann" w:date="2018-08-02T18:55:00Z">
        <w:r>
          <w:rPr>
            <w:rStyle w:val="ClearFormattingChar"/>
          </w:rPr>
          <w:t xml:space="preserve"> </w:t>
        </w:r>
      </w:ins>
      <w:r>
        <w:rPr>
          <w:rStyle w:val="ClearFormattingChar"/>
        </w:rPr>
        <w:t xml:space="preserve">cannot be calculated with precision. Because the current WHOIS protocol does not enforce any standard error handling, failures must be inferred. </w:t>
      </w:r>
      <w:ins w:id="29" w:author="Volker Greimann" w:date="2018-08-02T18:56:00Z">
        <w:r>
          <w:rPr>
            <w:rStyle w:val="ClearFormattingChar"/>
          </w:rPr>
          <w:t>As the f</w:t>
        </w:r>
      </w:ins>
      <w:del w:id="30" w:author="Volker Greimann" w:date="2018-08-02T18:56:00Z">
        <w:r>
          <w:rPr>
            <w:rStyle w:val="ClearFormattingChar"/>
          </w:rPr>
          <w:delText>F</w:delText>
        </w:r>
      </w:del>
      <w:r>
        <w:rPr>
          <w:rStyle w:val="ClearFormattingChar"/>
        </w:rPr>
        <w:t>ailure rate is not currently being calculated or tracked</w:t>
      </w:r>
      <w:ins w:id="31" w:author="Volker Greimann" w:date="2018-08-02T18:56:00Z">
        <w:r>
          <w:rPr>
            <w:rStyle w:val="ClearFormattingChar"/>
          </w:rPr>
          <w:t xml:space="preserve">, </w:t>
        </w:r>
      </w:ins>
      <w:ins w:id="32" w:author="Volker Greimann" w:date="2018-08-02T18:56:00Z">
        <w:r>
          <w:rPr>
            <w:rStyle w:val="ClearFormattingChar"/>
          </w:rPr>
          <w:t>no information was available on failure causes and frequency of failures either</w:t>
        </w:r>
      </w:ins>
      <w:r>
        <w:rPr>
          <w:rStyle w:val="ClearFormattingChar"/>
        </w:rPr>
        <w:t>.</w:t>
      </w:r>
    </w:p>
    <w:p>
      <w:pPr>
        <w:pStyle w:val="LeftParagraph"/>
        <w:rPr>
          <w:rStyle w:val="ClearFormattingChar"/>
        </w:rPr>
      </w:pPr>
      <w:r>
        <w:rPr/>
      </w:r>
    </w:p>
    <w:p>
      <w:pPr>
        <w:pStyle w:val="LeftParagraph"/>
        <w:rPr>
          <w:rStyle w:val="ClearFormattingChar"/>
        </w:rPr>
      </w:pPr>
      <w:r>
        <w:rPr>
          <w:rStyle w:val="ClearFormattingChar"/>
        </w:rPr>
        <w:t>Users are encouraged to file a contractual complaint ticket if they identify any issues with the WHOIS record. A link to file a ticket is provided on the page where results are displayed.</w:t>
      </w:r>
    </w:p>
    <w:p>
      <w:pPr>
        <w:pStyle w:val="LeftParagraph"/>
        <w:rPr>
          <w:rStyle w:val="ClearFormattingChar"/>
        </w:rPr>
      </w:pPr>
      <w:r>
        <w:rPr/>
      </w:r>
    </w:p>
    <w:p>
      <w:pPr>
        <w:pStyle w:val="LeftParagraph"/>
        <w:rPr>
          <w:rStyle w:val="ClearFormattingChar"/>
        </w:rPr>
      </w:pPr>
      <w:r>
        <w:rPr>
          <w:rStyle w:val="ClearFormattingChar"/>
        </w:rPr>
        <w:t>ICANN Contractual Compliance proactively monitors registrar WHOIS availability and will send registrars a compliance notice if it is not available</w:t>
      </w:r>
      <w:ins w:id="33" w:author="Volker Greimann" w:date="2018-08-02T18:57:00Z">
        <w:r>
          <w:rPr>
            <w:rStyle w:val="ClearFormattingChar"/>
          </w:rPr>
          <w:t xml:space="preserve"> </w:t>
        </w:r>
      </w:ins>
      <w:ins w:id="34" w:author="Volker Greimann" w:date="2018-08-02T18:57:00Z">
        <w:r>
          <w:rPr>
            <w:rStyle w:val="ClearFormattingChar"/>
          </w:rPr>
          <w:t>within the required scope of the RDS SLAs</w:t>
        </w:r>
      </w:ins>
      <w:r>
        <w:rPr>
          <w:rStyle w:val="ClearFormattingChar"/>
        </w:rPr>
        <w:t>. Registrar and registry web-based WHOIS services are also tested during registry and registrar audits.</w:t>
      </w:r>
    </w:p>
    <w:p>
      <w:pPr>
        <w:pStyle w:val="LeftParagraph"/>
        <w:rPr>
          <w:rStyle w:val="ClearFormattingChar"/>
        </w:rPr>
      </w:pPr>
      <w:r>
        <w:rPr/>
      </w:r>
    </w:p>
    <w:p>
      <w:pPr>
        <w:pStyle w:val="LeftParagraph"/>
        <w:rPr/>
      </w:pPr>
      <w:r>
        <w:rPr>
          <w:rStyle w:val="ClearFormattingChar"/>
        </w:rPr>
        <w:t>If the result returned by the registry or registrar is blank or is a very small package of data then the web page could display blank fields. If the returned result is in a format that cannot be parsed this too could cause the web page to display blank fields. In either case, users could look at the raw record displayed below the form for more information. If users identify any issues with the WHOIS record, they are encouraged to file a contractual complaint ticket. A link to file a ticket is provided on the page where results are displayed.</w:t>
      </w:r>
    </w:p>
    <w:p>
      <w:pPr>
        <w:pStyle w:val="LeftParagraph"/>
        <w:rPr>
          <w:rStyle w:val="ClearFormattingChar"/>
        </w:rPr>
      </w:pPr>
      <w:ins w:id="35" w:author="Volker Greimann" w:date="2018-08-02T18:59:00Z">
        <w:r>
          <w:rPr/>
        </w:r>
      </w:ins>
    </w:p>
    <w:p>
      <w:pPr>
        <w:pStyle w:val="LeftParagraph"/>
        <w:rPr>
          <w:rStyle w:val="ClearFormattingChar"/>
        </w:rPr>
      </w:pPr>
      <w:r>
        <w:rPr/>
      </w:r>
    </w:p>
    <w:p>
      <w:pPr>
        <w:pStyle w:val="LeftParagraph"/>
        <w:rPr>
          <w:rStyle w:val="ClearFormattingChar"/>
        </w:rPr>
      </w:pPr>
      <w:r>
        <w:rPr/>
      </w:r>
    </w:p>
    <w:p>
      <w:pPr>
        <w:pStyle w:val="LeftParagraph"/>
        <w:rPr>
          <w:rStyle w:val="HighlightChar"/>
        </w:rPr>
      </w:pPr>
      <w:del w:id="36" w:author="Volker Greimann" w:date="2018-08-02T18:58:00Z">
        <w:r>
          <w:rPr>
            <w:rStyle w:val="HighlightChar"/>
          </w:rPr>
          <w:delText>[NEED TO SUMMARIZE KEY FINDINGS/ANALYSIS, LINKED TO SUBGROUP'S QUESTIONS]</w:delText>
        </w:r>
      </w:del>
    </w:p>
    <w:p>
      <w:pPr>
        <w:pStyle w:val="LeftParagraph"/>
        <w:rPr/>
      </w:pPr>
      <w:r>
        <w:rPr/>
      </w:r>
    </w:p>
    <w:p>
      <w:pPr>
        <w:pStyle w:val="Berschrift3"/>
        <w:numPr>
          <w:ilvl w:val="2"/>
          <w:numId w:val="4"/>
        </w:numPr>
        <w:ind w:left="1260" w:hanging="1260"/>
        <w:rPr/>
      </w:pPr>
      <w:commentRangeStart w:id="0"/>
      <w:r>
        <w:rPr/>
        <w:t>Problem/Issue</w:t>
      </w:r>
      <w:del w:id="37" w:author="Volker Greimann" w:date="2018-08-02T18:59:00Z">
        <w:commentRangeEnd w:id="0"/>
        <w:r>
          <w:commentReference w:id="0"/>
        </w:r>
        <w:r>
          <w:rPr/>
          <w:commentReference w:id="1"/>
        </w:r>
      </w:del>
    </w:p>
    <w:p>
      <w:pPr>
        <w:pStyle w:val="LeftParagraph"/>
        <w:rPr/>
      </w:pPr>
      <w:r>
        <w:rPr/>
      </w:r>
    </w:p>
    <w:p>
      <w:pPr>
        <w:pStyle w:val="LeftParagraph"/>
        <w:rPr/>
      </w:pPr>
      <w:r>
        <w:rPr/>
        <w:t>The common interface recommendation was intended to ensure that anyone looking up a WHOIS record could do that easily and from one source. The InterNIC was not overhauled, but a common interface was provided</w:t>
      </w:r>
      <w:ins w:id="38" w:author="Volker Greimann" w:date="2018-08-02T18:58:00Z">
        <w:r>
          <w:rPr/>
          <w:t xml:space="preserve"> </w:t>
        </w:r>
      </w:ins>
      <w:ins w:id="39" w:author="Volker Greimann" w:date="2018-08-02T18:58:00Z">
        <w:r>
          <w:rPr/>
          <w:t>as an additional resource</w:t>
        </w:r>
      </w:ins>
      <w:r>
        <w:rPr/>
        <w:t>.</w:t>
      </w:r>
    </w:p>
    <w:p>
      <w:pPr>
        <w:pStyle w:val="LeftParagraph"/>
        <w:rPr/>
      </w:pPr>
      <w:r>
        <w:rPr/>
      </w:r>
    </w:p>
    <w:p>
      <w:pPr>
        <w:pStyle w:val="LeftParagraph"/>
        <w:rPr/>
      </w:pPr>
      <w:r>
        <w:rPr/>
        <w:t xml:space="preserve">However, the common interface has no metrics that can be used to determine its </w:t>
      </w:r>
      <w:ins w:id="40" w:author="Volker Greimann" w:date="2018-08-02T19:28:00Z">
        <w:r>
          <w:rPr/>
          <w:t xml:space="preserve">overall </w:t>
        </w:r>
      </w:ins>
      <w:r>
        <w:rPr/>
        <w:t xml:space="preserve">effectiveness. Metrics and SLAs could be used to address this and also to proactively </w:t>
      </w:r>
      <w:del w:id="41" w:author="Volker Greimann" w:date="2018-08-02T19:28:00Z">
        <w:r>
          <w:rPr/>
          <w:delText>spot</w:delText>
        </w:r>
      </w:del>
      <w:ins w:id="42" w:author="Volker Greimann" w:date="2018-08-02T19:28:00Z">
        <w:r>
          <w:rPr/>
          <w:t>detect</w:t>
        </w:r>
      </w:ins>
      <w:r>
        <w:rPr/>
        <w:t xml:space="preserve"> non-compliance. Lack of tracked  metrics to ensure the tool provides the data it should or is consistent in providing the data is not </w:t>
      </w:r>
      <w:del w:id="43" w:author="Volker Greimann" w:date="2018-08-02T18:58:00Z">
        <w:r>
          <w:rPr/>
          <w:delText>acceptable</w:delText>
        </w:r>
      </w:del>
      <w:ins w:id="44" w:author="Volker Greimann" w:date="2018-08-02T18:58:00Z">
        <w:r>
          <w:rPr/>
          <w:t>helpful for a full assessment of the effectiveness of the implementation</w:t>
        </w:r>
      </w:ins>
      <w:r>
        <w:rPr/>
        <w:t>.</w:t>
      </w:r>
    </w:p>
    <w:p>
      <w:pPr>
        <w:pStyle w:val="LeftParagraph"/>
        <w:rPr/>
      </w:pPr>
      <w:ins w:id="45" w:author="Volker Greimann" w:date="2018-08-02T19:03:00Z">
        <w:r>
          <w:rPr/>
        </w:r>
      </w:ins>
    </w:p>
    <w:p>
      <w:pPr>
        <w:pStyle w:val="LeftParagraph"/>
        <w:rPr/>
      </w:pPr>
      <w:ins w:id="46" w:author="Volker Greimann" w:date="2018-08-02T19:03:00Z">
        <w:r>
          <w:rPr/>
          <w:t>The lack of metrics on failures and causes thereo</w:t>
        </w:r>
      </w:ins>
      <w:ins w:id="47" w:author="Volker Greimann" w:date="2018-08-02T19:04:00Z">
        <w:r>
          <w:rPr/>
          <w:t xml:space="preserve">f also did not allow any analysis of whether failure rates in lookup requests have increased in recent </w:t>
        </w:r>
      </w:ins>
      <w:ins w:id="48" w:author="Volker Greimann" w:date="2018-08-02T19:05:00Z">
        <w:r>
          <w:rPr/>
          <w:t>months.</w:t>
        </w:r>
      </w:ins>
    </w:p>
    <w:p>
      <w:pPr>
        <w:pStyle w:val="LeftParagraph"/>
        <w:rPr/>
      </w:pPr>
      <w:ins w:id="49" w:author="Volker Greimann" w:date="2018-08-02T19:28:00Z">
        <w:r>
          <w:rPr/>
        </w:r>
      </w:ins>
    </w:p>
    <w:p>
      <w:pPr>
        <w:pStyle w:val="LeftParagraph"/>
        <w:rPr/>
      </w:pPr>
      <w:ins w:id="50" w:author="Volker Greimann" w:date="2018-08-02T19:28:00Z">
        <w:r>
          <w:rPr/>
          <w:t xml:space="preserve">The RT </w:t>
        </w:r>
      </w:ins>
      <w:ins w:id="51" w:author="Volker Greimann" w:date="2018-08-02T19:29:00Z">
        <w:r>
          <w:rPr/>
          <w:t xml:space="preserve">also noted that contracted parties can have valid reasons to implement reasonable limitations in the ability of third parties, including ICANN, </w:t>
        </w:r>
      </w:ins>
      <w:ins w:id="52" w:author="Volker Greimann" w:date="2018-08-02T19:30:00Z">
        <w:r>
          <w:rPr/>
          <w:t>to access their RDS data such as prevention of abusive harvesting by third parties, ensure the stability of their service and other such reasons as may evolve over time.</w:t>
        </w:r>
      </w:ins>
      <w:ins w:id="53" w:author="Volker Greimann" w:date="2018-08-02T19:31:00Z">
        <w:r>
          <w:rPr/>
          <w:t xml:space="preserve"> </w:t>
        </w:r>
      </w:ins>
      <w:ins w:id="54" w:author="Volker Greimann" w:date="2018-08-02T19:32:00Z">
        <w:r>
          <w:rPr/>
          <w:t xml:space="preserve">Limiting this ability of contracted parties may be too restrictive and prevent adoption of necessary measures to discourage or prevent abuse. </w:t>
        </w:r>
      </w:ins>
    </w:p>
    <w:p>
      <w:pPr>
        <w:pStyle w:val="LeftParagraph"/>
        <w:rPr/>
      </w:pPr>
      <w:r>
        <w:rPr/>
      </w:r>
    </w:p>
    <w:p>
      <w:pPr>
        <w:pStyle w:val="LeftParagraph"/>
        <w:rPr/>
      </w:pPr>
      <w:del w:id="55" w:author="Volker Greimann" w:date="2018-08-02T19:01:00Z">
        <w:r>
          <w:rPr/>
          <w:delText>Service level agreements could be put in place to ensure the interface works reliably.  Specific metrics should be tracked:</w:delText>
        </w:r>
      </w:del>
    </w:p>
    <w:p>
      <w:pPr>
        <w:pStyle w:val="ListBulletSimple"/>
        <w:numPr>
          <w:ilvl w:val="0"/>
          <w:numId w:val="2"/>
        </w:numPr>
        <w:rPr/>
      </w:pPr>
      <w:del w:id="56" w:author="Volker Greimann" w:date="2018-08-02T19:01:00Z">
        <w:r>
          <w:rPr/>
          <w:tab/>
          <w:delText>How often are fields returned blank?</w:delText>
        </w:r>
      </w:del>
    </w:p>
    <w:p>
      <w:pPr>
        <w:pStyle w:val="ListBulletSimple"/>
        <w:numPr>
          <w:ilvl w:val="0"/>
          <w:numId w:val="2"/>
        </w:numPr>
        <w:rPr/>
      </w:pPr>
      <w:del w:id="57" w:author="Volker Greimann" w:date="2018-08-02T19:01:00Z">
        <w:r>
          <w:rPr/>
          <w:tab/>
          <w:delText>Is data displayed consistently?</w:delText>
        </w:r>
      </w:del>
    </w:p>
    <w:p>
      <w:pPr>
        <w:pStyle w:val="ListBulletSimple"/>
        <w:numPr>
          <w:ilvl w:val="0"/>
          <w:numId w:val="2"/>
        </w:numPr>
        <w:rPr/>
      </w:pPr>
      <w:del w:id="58" w:author="Volker Greimann" w:date="2018-08-02T19:01:00Z">
        <w:r>
          <w:rPr/>
          <w:tab/>
          <w:delText xml:space="preserve">Do all gTLDs return results consistently? </w:delText>
        </w:r>
      </w:del>
    </w:p>
    <w:p>
      <w:pPr>
        <w:pStyle w:val="ListBulletSimple"/>
        <w:numPr>
          <w:ilvl w:val="0"/>
          <w:numId w:val="2"/>
        </w:numPr>
        <w:rPr/>
      </w:pPr>
      <w:del w:id="59" w:author="Volker Greimann" w:date="2018-08-02T19:01:00Z">
        <w:r>
          <w:rPr/>
          <w:tab/>
          <w:delText xml:space="preserve">How often does the tool not return results for specific gTLDs? </w:delText>
        </w:r>
      </w:del>
    </w:p>
    <w:p>
      <w:pPr>
        <w:pStyle w:val="LeftParagraph"/>
        <w:rPr/>
      </w:pPr>
      <w:del w:id="60" w:author="Volker Greimann" w:date="2018-08-02T19:01:00Z">
        <w:r>
          <w:rPr/>
          <w:tab/>
          <w:delText xml:space="preserve">How big or small is this problem? </w:delText>
        </w:r>
      </w:del>
    </w:p>
    <w:p>
      <w:pPr>
        <w:pStyle w:val="LeftParagraph"/>
        <w:rPr/>
      </w:pPr>
      <w:r>
        <w:rPr/>
      </w:r>
    </w:p>
    <w:p>
      <w:pPr>
        <w:pStyle w:val="Normal"/>
        <w:rPr/>
      </w:pPr>
      <w:del w:id="61" w:author="Volker Greimann" w:date="2018-08-02T19:31:00Z">
        <w:r>
          <w:rPr/>
          <w:delText>Furthermore</w:delText>
        </w:r>
      </w:del>
      <w:del w:id="62" w:author="Volker Greimann" w:date="2018-08-02T19:31:00Z">
        <w:r>
          <w:rPr/>
          <w:delText xml:space="preserve">, </w:delText>
        </w:r>
      </w:del>
      <w:ins w:id="63" w:author="Volker Greimann" w:date="2018-08-02T19:31:00Z">
        <w:r>
          <w:rPr/>
          <w:t>T</w:t>
        </w:r>
      </w:ins>
      <w:ins w:id="64" w:author="Volker Greimann" w:date="2018-08-02T19:22:00Z">
        <w:r>
          <w:rPr/>
          <w:t xml:space="preserve">he RT further noted that </w:t>
        </w:r>
      </w:ins>
      <w:ins w:id="65" w:author="Lisa Phifer" w:date="2018-07-29T23:34:00Z">
        <w:r>
          <w:rPr/>
          <w:t xml:space="preserve">as a result of </w:t>
        </w:r>
      </w:ins>
      <w:ins w:id="66" w:author="Volker Greimann" w:date="2018-08-02T18:40:00Z">
        <w:r>
          <w:rPr/>
          <w:t xml:space="preserve">the implementations of the </w:t>
        </w:r>
      </w:ins>
      <w:ins w:id="67" w:author="Lisa Phifer" w:date="2018-07-29T23:34:00Z">
        <w:r>
          <w:rPr/>
          <w:t xml:space="preserve">GDPR </w:t>
        </w:r>
      </w:ins>
      <w:ins w:id="68" w:author="Lisa Phifer" w:date="2018-07-29T23:35:00Z">
        <w:r>
          <w:rPr/>
          <w:t>Temporary Specification</w:t>
        </w:r>
      </w:ins>
      <w:ins w:id="69" w:author="Volker Greimann" w:date="2018-08-02T18:40:00Z">
        <w:r>
          <w:rPr/>
          <w:t xml:space="preserve"> </w:t>
        </w:r>
      </w:ins>
      <w:ins w:id="70" w:author="Volker Greimann" w:date="2018-08-02T18:40:00Z">
        <w:r>
          <w:rPr/>
          <w:t>by contracted parties</w:t>
        </w:r>
      </w:ins>
      <w:del w:id="71" w:author="Volker Greimann" w:date="2018-08-02T18:40:00Z">
        <w:r>
          <w:rPr/>
          <w:delText xml:space="preserve"> </w:delText>
        </w:r>
      </w:del>
      <w:del w:id="72" w:author="Volker Greimann" w:date="2018-08-02T18:40:00Z">
        <w:r>
          <w:rPr/>
          <w:delText>implementation</w:delText>
        </w:r>
      </w:del>
      <w:ins w:id="73" w:author="Lisa Phifer" w:date="2018-07-29T23:34:00Z">
        <w:r>
          <w:rPr/>
          <w:t xml:space="preserve">, registrar and registry interpretations may </w:t>
        </w:r>
      </w:ins>
      <w:ins w:id="74" w:author="Lisa Phifer" w:date="2018-07-29T23:35:00Z">
        <w:r>
          <w:rPr/>
          <w:t xml:space="preserve">now </w:t>
        </w:r>
      </w:ins>
      <w:ins w:id="75" w:author="Lisa Phifer" w:date="2018-07-29T23:34:00Z">
        <w:r>
          <w:rPr/>
          <w:t xml:space="preserve">result in different registration data returned by WHOIS for the same domain name (e.g., the registry may redact data that the registrar </w:t>
        </w:r>
      </w:ins>
      <w:ins w:id="76" w:author="Volker Greimann" w:date="2018-08-02T19:14:00Z">
        <w:r>
          <w:rPr/>
          <w:t xml:space="preserve">may </w:t>
        </w:r>
      </w:ins>
      <w:ins w:id="77" w:author="Lisa Phifer" w:date="2018-07-29T23:34:00Z">
        <w:r>
          <w:rPr/>
          <w:t>display</w:t>
        </w:r>
      </w:ins>
      <w:del w:id="78" w:author="Volker Greimann" w:date="2018-08-02T19:14:00Z">
        <w:r>
          <w:rPr/>
          <w:delText>s</w:delText>
        </w:r>
      </w:del>
      <w:ins w:id="79" w:author="Volker Greimann" w:date="2018-08-02T18:41:00Z">
        <w:r>
          <w:rPr/>
          <w:t xml:space="preserve"> </w:t>
        </w:r>
      </w:ins>
      <w:ins w:id="80" w:author="Volker Greimann" w:date="2018-08-02T18:41:00Z">
        <w:r>
          <w:rPr/>
          <w:t>and the registrar must provide contact details that the registry does not have or show</w:t>
        </w:r>
      </w:ins>
      <w:ins w:id="81" w:author="Lisa Phifer" w:date="2018-07-29T23:34:00Z">
        <w:r>
          <w:rPr/>
          <w:t>.</w:t>
        </w:r>
      </w:ins>
      <w:ins w:id="82" w:author="Volker Greimann" w:date="2018-08-02T18:41:00Z">
        <w:r>
          <w:rPr/>
          <w:t xml:space="preserve"> </w:t>
        </w:r>
      </w:ins>
      <w:ins w:id="83" w:author="Volker Greimann" w:date="2018-08-02T18:41:00Z">
        <w:r>
          <w:rPr/>
          <w:t>As a result, access to RD</w:t>
        </w:r>
      </w:ins>
      <w:ins w:id="84" w:author="Volker Greimann" w:date="2018-08-02T18:42:00Z">
        <w:r>
          <w:rPr/>
          <w:t>S data in the common interface has become less reliable as only one of the two possible results is displayed.</w:t>
        </w:r>
      </w:ins>
    </w:p>
    <w:p>
      <w:pPr>
        <w:pStyle w:val="LeftParagraph"/>
        <w:rPr/>
      </w:pPr>
      <w:ins w:id="85" w:author="Lisa Phifer" w:date="2018-07-29T23:34:00Z">
        <w:r>
          <w:rPr/>
        </w:r>
      </w:ins>
    </w:p>
    <w:p>
      <w:pPr>
        <w:pStyle w:val="LeftParagraph"/>
        <w:rPr/>
      </w:pPr>
      <w:del w:id="86" w:author="Volker Greimann" w:date="2018-08-02T19:21:00Z">
        <w:r>
          <w:rPr/>
          <w:delText>Finally, in any further recommendations made by this subgroup, the recommendation should be more explicit about intent of common interface (i.e., one stop access to data, across all gTLDs and registrars/resellers). Any such recommendation should also apply to either the current common interface or any future replacement for it.</w:delText>
        </w:r>
      </w:del>
    </w:p>
    <w:p>
      <w:pPr>
        <w:pStyle w:val="LeftParagraph"/>
        <w:rPr/>
      </w:pPr>
      <w:r>
        <w:rPr/>
      </w:r>
    </w:p>
    <w:p>
      <w:pPr>
        <w:pStyle w:val="Berschrift3"/>
        <w:numPr>
          <w:ilvl w:val="2"/>
          <w:numId w:val="4"/>
        </w:numPr>
        <w:ind w:left="1260" w:hanging="1260"/>
        <w:rPr/>
      </w:pPr>
      <w:bookmarkStart w:id="7" w:name="_Toc520717888"/>
      <w:r>
        <w:rPr/>
        <w:t>Recommendations</w:t>
      </w:r>
      <w:del w:id="87" w:author="Volker Greimann" w:date="2018-08-02T19:02:00Z">
        <w:bookmarkEnd w:id="7"/>
        <w:r>
          <w:rPr/>
          <w:delText xml:space="preserve"> (if any)</w:delText>
        </w:r>
      </w:del>
    </w:p>
    <w:p>
      <w:pPr>
        <w:pStyle w:val="LeftParagraph"/>
        <w:rPr/>
      </w:pPr>
      <w:r>
        <w:rPr/>
      </w:r>
    </w:p>
    <w:p>
      <w:pPr>
        <w:pStyle w:val="LeftParagraph"/>
        <w:rPr/>
      </w:pPr>
      <w:r>
        <w:rPr>
          <w:rStyle w:val="ClearFormattingChar"/>
        </w:rPr>
        <w:t>Based on its analysis, members of this subgroup agree that this WHOIS1 recommendation has been fully-implemented.</w:t>
      </w:r>
      <w:r>
        <w:rPr/>
        <w:t xml:space="preserve"> </w:t>
      </w:r>
      <w:ins w:id="88" w:author="Volker Greimann" w:date="2018-08-02T19:02:00Z">
        <w:r>
          <w:rPr/>
          <w:t>However, to address the issues identified above and to ensure future usability, the recommendations below are provided</w:t>
        </w:r>
      </w:ins>
      <w:ins w:id="89" w:author="Volker Greimann" w:date="2018-08-02T19:21:00Z">
        <w:r>
          <w:rPr/>
          <w:t xml:space="preserve">. </w:t>
        </w:r>
      </w:ins>
      <w:del w:id="90" w:author="Volker Greimann" w:date="2018-08-02T19:02:00Z">
        <w:r>
          <w:rPr/>
          <w:delText xml:space="preserve">One further recommendation is provided here </w:delText>
        </w:r>
      </w:del>
      <w:del w:id="91" w:author="Volker Greimann" w:date="2018-08-02T19:05:00Z">
        <w:r>
          <w:rPr/>
          <w:delText>to address the problems/issues identified above.</w:delText>
        </w:r>
      </w:del>
      <w:ins w:id="92" w:author="Volker Greimann" w:date="2018-08-02T19:21:00Z">
        <w:r>
          <w:rPr/>
          <w:t xml:space="preserve"> A recommendations should apply to the current common interface as well as any future replacements for it.</w:t>
        </w:r>
      </w:ins>
    </w:p>
    <w:p>
      <w:pPr>
        <w:pStyle w:val="JustifiedParagraph"/>
        <w:rPr/>
      </w:pPr>
      <w:r>
        <w:rPr/>
      </w:r>
    </w:p>
    <w:p>
      <w:pPr>
        <w:pStyle w:val="Normal"/>
        <w:rPr/>
      </w:pPr>
      <w:r>
        <w:rPr>
          <w:rStyle w:val="BoldChar"/>
        </w:rPr>
        <w:t>Recommendation R11.1</w:t>
      </w:r>
      <w:r>
        <w:rPr/>
        <w:t xml:space="preserve">: </w:t>
      </w:r>
      <w:ins w:id="93" w:author="Lisa Phifer" w:date="2018-07-29T23:30:00Z">
        <w:r>
          <w:rPr/>
          <w:t>The ICANN Board should direct the ICANN Organization to d</w:t>
        </w:r>
      </w:ins>
      <w:del w:id="94" w:author="Lisa Phifer" w:date="2018-07-29T23:30:00Z">
        <w:r>
          <w:rPr/>
          <w:delText>D</w:delText>
        </w:r>
      </w:del>
      <w:r>
        <w:rPr/>
        <w:t>efine metrics or SLA’s to be tracked and evaluated to determine consistency of results of queries and use of any common interface (existing or future) used to provide one-stop access to registration data across all gTLDs and registrars/resellers. Specific metrics that should be tracked for any such common interface include:</w:t>
      </w:r>
    </w:p>
    <w:p>
      <w:pPr>
        <w:pStyle w:val="Normal"/>
        <w:rPr/>
      </w:pPr>
      <w:r>
        <w:rPr/>
      </w:r>
    </w:p>
    <w:p>
      <w:pPr>
        <w:pStyle w:val="ListBulletSimple"/>
        <w:numPr>
          <w:ilvl w:val="0"/>
          <w:numId w:val="2"/>
        </w:numPr>
        <w:rPr/>
      </w:pPr>
      <w:r>
        <w:rPr/>
        <w:t>How often are fields returned blank?</w:t>
      </w:r>
    </w:p>
    <w:p>
      <w:pPr>
        <w:pStyle w:val="ListBulletSimple"/>
        <w:numPr>
          <w:ilvl w:val="0"/>
          <w:numId w:val="2"/>
        </w:numPr>
        <w:rPr/>
      </w:pPr>
      <w:r>
        <w:rPr/>
        <w:t xml:space="preserve">How often is data displayed inconsistently </w:t>
      </w:r>
      <w:bookmarkStart w:id="8" w:name="__DdeLink__6678_211192018"/>
      <w:r>
        <w:rPr/>
        <w:t>(</w:t>
      </w:r>
      <w:ins w:id="95" w:author="Lisa Phifer" w:date="2018-07-29T23:31:00Z">
        <w:r>
          <w:rPr/>
          <w:t xml:space="preserve">for the same domain name), </w:t>
        </w:r>
      </w:ins>
      <w:r>
        <w:rPr/>
        <w:t>overall and per gTLD)</w:t>
      </w:r>
      <w:bookmarkEnd w:id="8"/>
      <w:r>
        <w:rPr/>
        <w:t>?</w:t>
      </w:r>
    </w:p>
    <w:p>
      <w:pPr>
        <w:pStyle w:val="ListBulletSimple"/>
        <w:numPr>
          <w:ilvl w:val="0"/>
          <w:numId w:val="2"/>
        </w:numPr>
        <w:rPr/>
      </w:pPr>
      <w:r>
        <w:rPr/>
        <w:t>How often does the tool not return any results</w:t>
      </w:r>
      <w:del w:id="96" w:author="Lisa Phifer" w:date="2018-07-29T23:31:00Z">
        <w:r>
          <w:rPr/>
          <w:delText xml:space="preserve"> (</w:delText>
        </w:r>
      </w:del>
      <w:ins w:id="97" w:author="Lisa Phifer" w:date="2018-07-29T23:31:00Z">
        <w:r>
          <w:rPr/>
          <w:t xml:space="preserve">, </w:t>
        </w:r>
      </w:ins>
      <w:r>
        <w:rPr/>
        <w:t xml:space="preserve">overall and per gTLD)? </w:t>
      </w:r>
    </w:p>
    <w:p>
      <w:pPr>
        <w:pStyle w:val="ListBulletSimple"/>
        <w:numPr>
          <w:ilvl w:val="0"/>
          <w:numId w:val="2"/>
        </w:numPr>
        <w:rPr/>
      </w:pPr>
      <w:ins w:id="98" w:author="Volker Greimann" w:date="2018-08-02T19:17:00Z">
        <w:r>
          <w:rPr/>
          <w:t>What are the causes for the above results?</w:t>
        </w:r>
      </w:ins>
    </w:p>
    <w:p>
      <w:pPr>
        <w:pStyle w:val="ListBulletSimple"/>
        <w:numPr>
          <w:ilvl w:val="0"/>
          <w:numId w:val="2"/>
        </w:numPr>
        <w:rPr/>
      </w:pPr>
      <w:del w:id="99" w:author="Lisa Phifer" w:date="2018-07-29T23:32:00Z">
        <w:r>
          <w:rPr/>
          <w:tab/>
          <w:delText>What error messages are received that could cause the above metrics?</w:delText>
        </w:r>
      </w:del>
    </w:p>
    <w:p>
      <w:pPr>
        <w:pStyle w:val="LeftParagraph"/>
        <w:rPr/>
      </w:pPr>
      <w:r>
        <w:rPr/>
      </w:r>
    </w:p>
    <w:p>
      <w:pPr>
        <w:pStyle w:val="LeftParagraph"/>
        <w:rPr/>
      </w:pPr>
      <w:r>
        <w:rPr>
          <w:rStyle w:val="BoldChar"/>
        </w:rPr>
        <w:t>Findings</w:t>
      </w:r>
      <w:r>
        <w:rPr/>
        <w:t xml:space="preserve">: The current common interface (whois.icann.org) has no metrics that can be used to determine its effectiveness. It is therefore difficult to determine if effectiveness can and/or needs to be improved and what specific steps would be necessary for such improvement.  </w:t>
      </w:r>
    </w:p>
    <w:p>
      <w:pPr>
        <w:pStyle w:val="LeftParagraph"/>
        <w:rPr/>
      </w:pPr>
      <w:r>
        <w:rPr/>
      </w:r>
    </w:p>
    <w:p>
      <w:pPr>
        <w:pStyle w:val="LeftParagraph"/>
        <w:rPr/>
      </w:pPr>
      <w:r>
        <w:rPr>
          <w:rStyle w:val="BoldChar"/>
        </w:rPr>
        <w:t>Rationale</w:t>
      </w:r>
      <w:r>
        <w:rPr/>
        <w:t>: Metrics and SLAs could be used to address this and also to proactively spot non-compliance or implementation issues that affect the provision of the service.</w:t>
      </w:r>
    </w:p>
    <w:p>
      <w:pPr>
        <w:pStyle w:val="LeftParagraph"/>
        <w:rPr/>
      </w:pPr>
      <w:r>
        <w:rPr/>
        <w:t xml:space="preserve"> </w:t>
      </w:r>
    </w:p>
    <w:p>
      <w:pPr>
        <w:pStyle w:val="LeftParagraph"/>
        <w:rPr>
          <w:rStyle w:val="ClearFormattingChar"/>
        </w:rPr>
      </w:pPr>
      <w:r>
        <w:rPr>
          <w:rStyle w:val="ClearFormattingChar"/>
        </w:rPr>
        <w:t xml:space="preserve">The significance of the recommendation can only be appropriately assessed after its implementation as the prevalence of lookup failures is currently unknown. Anecdotal evidence suggests the existence of lookup issues.   By generating metrics that will assist in recognizing systemic issues or noncompliance, the recommendation aligns well with </w:t>
      </w:r>
    </w:p>
    <w:p>
      <w:pPr>
        <w:pStyle w:val="LeftParagraph"/>
        <w:rPr>
          <w:rStyle w:val="ClearFormattingChar"/>
        </w:rPr>
      </w:pPr>
      <w:r>
        <w:rPr>
          <w:rStyle w:val="ClearFormattingChar"/>
        </w:rPr>
        <w:t>ICANN’s Strategic Plan and Mission as it helps foster a healthy, resilient and secure identifier ecosystem. The recommendation is in compliance with scope Review Team set</w:t>
      </w:r>
    </w:p>
    <w:p>
      <w:pPr>
        <w:pStyle w:val="LeftParagraph"/>
        <w:rPr>
          <w:rStyle w:val="ClearFormattingChar"/>
        </w:rPr>
      </w:pPr>
      <w:r>
        <w:rPr/>
      </w:r>
    </w:p>
    <w:p>
      <w:pPr>
        <w:pStyle w:val="LeftParagraph"/>
        <w:rPr>
          <w:rStyle w:val="ClearFormattingChar"/>
        </w:rPr>
      </w:pPr>
      <w:r>
        <w:rPr>
          <w:rStyle w:val="BoldChar"/>
        </w:rPr>
        <w:t>Impact of Recommendation:</w:t>
      </w:r>
      <w:r>
        <w:rPr>
          <w:rStyle w:val="ClearFormattingChar"/>
        </w:rPr>
        <w:t xml:space="preserve"> This recommendation will impact WHOIS service SLAs and data accessibility by identifying potential issues with service delivery by contracted parties. ICANN compliance will be impacted by receiving an additional tool to verify compliance with contractual service levels. Users of the WHOIS service will be positively impact by reductions in lookup failures as a result of appropriate use of these metrics.  </w:t>
      </w:r>
    </w:p>
    <w:p>
      <w:pPr>
        <w:pStyle w:val="LeftParagraph"/>
        <w:rPr>
          <w:rStyle w:val="ClearFormattingChar"/>
        </w:rPr>
      </w:pPr>
      <w:r>
        <w:rPr/>
      </w:r>
    </w:p>
    <w:p>
      <w:pPr>
        <w:pStyle w:val="LeftParagraph"/>
        <w:rPr>
          <w:rStyle w:val="ClearFormattingChar"/>
        </w:rPr>
      </w:pPr>
      <w:r>
        <w:rPr>
          <w:rStyle w:val="BoldChar"/>
        </w:rPr>
        <w:t>Feasibility of Recommendation</w:t>
      </w:r>
      <w:r>
        <w:rPr>
          <w:rStyle w:val="ClearFormattingChar"/>
        </w:rPr>
        <w:t>: The RT believes this recommendation is feasible as basic log data for analysis is already being collected and generation of metrics from this data should not create a significant operational or technical impact.</w:t>
      </w:r>
    </w:p>
    <w:p>
      <w:pPr>
        <w:pStyle w:val="LeftParagraph"/>
        <w:rPr>
          <w:rStyle w:val="ClearFormattingChar"/>
        </w:rPr>
      </w:pPr>
      <w:r>
        <w:rPr/>
      </w:r>
    </w:p>
    <w:p>
      <w:pPr>
        <w:pStyle w:val="LeftParagraph"/>
        <w:rPr>
          <w:rStyle w:val="BoldChar"/>
        </w:rPr>
      </w:pPr>
      <w:r>
        <w:rPr>
          <w:rStyle w:val="BoldChar"/>
        </w:rPr>
        <w:t>Implementation:</w:t>
      </w:r>
    </w:p>
    <w:p>
      <w:pPr>
        <w:pStyle w:val="LeftParagraph"/>
        <w:rPr>
          <w:rStyle w:val="ClearFormattingChar"/>
        </w:rPr>
      </w:pPr>
      <w:r>
        <w:rPr>
          <w:rStyle w:val="ClearFormattingChar"/>
        </w:rPr>
        <w:t xml:space="preserve">Initially, the ICANN community should define (by public comment or other mechanisms) what metrics should be tracked. Based on this determination ICANN org should analyze whether the logs currently generated for the service provide sufficient data for these metrics, and if necessary (and legally possible) expand the logs generated. Building upon the logs, ICANN should create the recommended metrics in regular intervals for analysis by ICANN compliance to allow them to proactively investigate failure causes and - if possible – create or suggest remedies. </w:t>
      </w:r>
    </w:p>
    <w:p>
      <w:pPr>
        <w:pStyle w:val="LeftParagraph"/>
        <w:rPr/>
      </w:pPr>
      <w:r>
        <w:rPr/>
      </w:r>
    </w:p>
    <w:p>
      <w:pPr>
        <w:pStyle w:val="LeftParagraph"/>
        <w:rPr>
          <w:rStyle w:val="HighlightChar"/>
        </w:rPr>
      </w:pPr>
      <w:r>
        <w:rPr>
          <w:rStyle w:val="BoldChar"/>
        </w:rPr>
        <w:t>Priority:</w:t>
      </w:r>
      <w:r>
        <w:rPr/>
        <w:t xml:space="preserve"> This recommendation has a low priority and should be implemented by existing teams. </w:t>
      </w:r>
    </w:p>
    <w:p>
      <w:pPr>
        <w:pStyle w:val="LeftParagraph"/>
        <w:rPr/>
      </w:pPr>
      <w:r>
        <w:rPr/>
      </w:r>
    </w:p>
    <w:p>
      <w:pPr>
        <w:pStyle w:val="LeftParagraph"/>
        <w:rPr>
          <w:rStyle w:val="BoldChar"/>
        </w:rPr>
      </w:pPr>
      <w:r>
        <w:rPr>
          <w:rStyle w:val="BoldChar"/>
        </w:rPr>
        <w:t xml:space="preserve">Level of Consensus: </w:t>
      </w:r>
      <w:del w:id="100" w:author="Lisa Phifer" w:date="2018-07-29T23:48:00Z">
        <w:r>
          <w:rPr>
            <w:rStyle w:val="BoldChar"/>
          </w:rPr>
          <w:delText>[</w:delText>
        </w:r>
      </w:del>
      <w:del w:id="101" w:author="Lisa Phifer" w:date="2018-07-29T23:48:00Z">
        <w:r>
          <w:rPr>
            <w:rStyle w:val="BoldChar"/>
            <w:highlight w:val="yellow"/>
          </w:rPr>
          <w:delText>TO BE PROVIDED</w:delText>
        </w:r>
      </w:del>
      <w:del w:id="102" w:author="Lisa Phifer" w:date="2018-07-29T23:48:00Z">
        <w:r>
          <w:rPr>
            <w:rStyle w:val="BoldChar"/>
          </w:rPr>
          <w:delText>]</w:delText>
        </w:r>
      </w:del>
      <w:ins w:id="103" w:author="Lisa Phifer" w:date="2018-07-29T23:48:00Z">
        <w:r>
          <w:rPr>
            <w:rStyle w:val="ClearFormattingChar"/>
          </w:rPr>
          <w:t>No F2F3 objections</w:t>
        </w:r>
      </w:ins>
    </w:p>
    <w:p>
      <w:pPr>
        <w:pStyle w:val="LeftParagraph"/>
        <w:rPr>
          <w:rStyle w:val="BoldChar"/>
        </w:rPr>
      </w:pPr>
      <w:r>
        <w:rPr/>
      </w:r>
    </w:p>
    <w:p>
      <w:pPr>
        <w:pStyle w:val="LeftParagraph"/>
        <w:rPr/>
      </w:pPr>
      <w:ins w:id="104" w:author="Lisa Phifer" w:date="2018-07-29T23:39:00Z">
        <w:commentRangeStart w:id="2"/>
        <w:r>
          <w:rPr>
            <w:rStyle w:val="BoldChar"/>
          </w:rPr>
          <w:t>Recommendation R11.2</w:t>
        </w:r>
      </w:ins>
      <w:ins w:id="105" w:author="Volker Greimann" w:date="2018-08-02T19:16:00Z">
        <w:r>
          <w:rPr>
            <w:rStyle w:val="BoldChar"/>
          </w:rPr>
          <w:t>:</w:t>
        </w:r>
      </w:ins>
      <w:del w:id="106" w:author="Volker Greimann" w:date="2018-08-02T19:15:00Z">
        <w:r>
          <w:rPr>
            <w:rStyle w:val="BoldChar"/>
          </w:rPr>
          <w:delText>:</w:delText>
        </w:r>
      </w:del>
      <w:del w:id="107" w:author="Volker Greimann" w:date="2018-08-02T19:16:00Z">
        <w:commentRangeEnd w:id="2"/>
        <w:r>
          <w:commentReference w:id="2"/>
        </w:r>
        <w:r>
          <w:rPr>
            <w:rStyle w:val="BoldChar"/>
          </w:rPr>
          <w:commentReference w:id="3"/>
        </w:r>
      </w:del>
    </w:p>
    <w:p>
      <w:pPr>
        <w:pStyle w:val="Normal"/>
        <w:rPr/>
      </w:pPr>
      <w:ins w:id="108" w:author="Lisa Phifer" w:date="2018-07-29T23:39:00Z">
        <w:r>
          <w:rPr/>
          <w:t xml:space="preserve">The ICANN Board should direct the ICANN Organization to </w:t>
        </w:r>
      </w:ins>
      <w:ins w:id="109" w:author="Volker Greimann" w:date="2018-08-02T19:06:00Z">
        <w:r>
          <w:rPr/>
          <w:t xml:space="preserve">continue to </w:t>
        </w:r>
      </w:ins>
      <w:ins w:id="110" w:author="Lisa Phifer" w:date="2018-07-29T23:39:00Z">
        <w:r>
          <w:rPr/>
          <w:t xml:space="preserve">maintain the common interface to </w:t>
        </w:r>
      </w:ins>
      <w:ins w:id="111" w:author="Volker Greimann" w:date="2018-08-02T19:06:00Z">
        <w:r>
          <w:rPr/>
          <w:t>keep up to date with new policy developments or contractual changes for contracted parties t</w:t>
        </w:r>
      </w:ins>
      <w:ins w:id="112" w:author="Volker Greimann" w:date="2018-08-02T19:07:00Z">
        <w:r>
          <w:rPr/>
          <w:t xml:space="preserve">o ensure that the common interface will </w:t>
        </w:r>
      </w:ins>
      <w:ins w:id="113" w:author="Lisa Phifer" w:date="2018-07-29T23:39:00Z">
        <w:r>
          <w:rPr/>
          <w:t xml:space="preserve">display all publicly-available WHOIS output for each gTLD domain name </w:t>
        </w:r>
      </w:ins>
      <w:ins w:id="114" w:author="Volker Greimann" w:date="2018-08-02T19:07:00Z">
        <w:r>
          <w:rPr/>
          <w:t xml:space="preserve">registration available from contracted parties, </w:t>
        </w:r>
      </w:ins>
      <w:del w:id="115" w:author="Volker Greimann" w:date="2018-08-02T19:07:00Z">
        <w:r>
          <w:rPr/>
          <w:delText>(</w:delText>
        </w:r>
      </w:del>
      <w:ins w:id="116" w:author="Lisa Phifer" w:date="2018-07-29T23:39:00Z">
        <w:r>
          <w:rPr/>
          <w:t>i.e., both the registry and registrar WHOIS output</w:t>
        </w:r>
      </w:ins>
      <w:ins w:id="117" w:author="Volker Greimann" w:date="2018-08-02T19:07:00Z">
        <w:r>
          <w:rPr/>
          <w:t xml:space="preserve"> </w:t>
        </w:r>
      </w:ins>
      <w:ins w:id="118" w:author="Volker Greimann" w:date="2018-08-02T19:07:00Z">
        <w:r>
          <w:rPr/>
          <w:t>port 43 could be shown</w:t>
        </w:r>
      </w:ins>
      <w:ins w:id="119" w:author="Volker Greimann" w:date="2018-08-02T19:08:00Z">
        <w:r>
          <w:rPr/>
          <w:t xml:space="preserve"> in parallel</w:t>
        </w:r>
      </w:ins>
      <w:del w:id="120" w:author="Volker Greimann" w:date="2018-08-02T19:08:00Z">
        <w:r>
          <w:rPr/>
          <w:delText>)</w:delText>
        </w:r>
      </w:del>
      <w:ins w:id="121" w:author="Lisa Phifer" w:date="2018-07-29T23:40:00Z">
        <w:r>
          <w:rPr/>
          <w:t>.</w:t>
        </w:r>
      </w:ins>
      <w:r>
        <w:rPr/>
        <w:t xml:space="preserve"> </w:t>
      </w:r>
    </w:p>
    <w:p>
      <w:pPr>
        <w:pStyle w:val="Normal"/>
        <w:rPr/>
      </w:pPr>
      <w:ins w:id="122" w:author="Lisa Phifer" w:date="2018-07-29T19:54:00Z">
        <w:r>
          <w:rPr/>
        </w:r>
      </w:ins>
    </w:p>
    <w:p>
      <w:pPr>
        <w:pStyle w:val="JustifiedParagraph"/>
        <w:rPr/>
      </w:pPr>
      <w:ins w:id="123" w:author="Lisa Phifer" w:date="2018-07-29T19:55:00Z">
        <w:r>
          <w:rPr>
            <w:rStyle w:val="BoldChar"/>
          </w:rPr>
          <w:t>Findings:</w:t>
        </w:r>
      </w:ins>
      <w:ins w:id="124" w:author="Lisa Phifer" w:date="2018-07-29T19:55:00Z">
        <w:r>
          <w:rPr>
            <w:rStyle w:val="ClearFormattingChar"/>
          </w:rPr>
          <w:t xml:space="preserve"> </w:t>
        </w:r>
      </w:ins>
      <w:ins w:id="125" w:author="Lisa Phifer" w:date="2018-07-29T23:44:00Z">
        <w:r>
          <w:rPr>
            <w:rStyle w:val="ClearFormattingChar"/>
          </w:rPr>
          <w:t xml:space="preserve">As noted above, registry and registrar interpretations of GDPR </w:t>
        </w:r>
      </w:ins>
      <w:ins w:id="126" w:author="Volker Greimann" w:date="2018-08-02T19:09:00Z">
        <w:r>
          <w:rPr>
            <w:rStyle w:val="ClearFormattingChar"/>
          </w:rPr>
          <w:t xml:space="preserve">and the differential requirements for registries and registrars under the Temporary Specification, RDS lookups at registries and registrars </w:t>
        </w:r>
      </w:ins>
      <w:ins w:id="127" w:author="Lisa Phifer" w:date="2018-07-29T23:44:00Z">
        <w:r>
          <w:rPr>
            <w:rStyle w:val="ClearFormattingChar"/>
          </w:rPr>
          <w:t xml:space="preserve">may </w:t>
        </w:r>
      </w:ins>
      <w:del w:id="128" w:author="Volker Greimann" w:date="2018-08-02T19:09:00Z">
        <w:r>
          <w:rPr>
            <w:rStyle w:val="ClearFormattingChar"/>
          </w:rPr>
          <w:delText xml:space="preserve">now </w:delText>
        </w:r>
      </w:del>
      <w:ins w:id="129" w:author="Lisa Phifer" w:date="2018-07-29T23:44:00Z">
        <w:r>
          <w:rPr>
            <w:rStyle w:val="ClearFormattingChar"/>
          </w:rPr>
          <w:t>result in different registration data returned by WHOIS for the same domain name</w:t>
        </w:r>
      </w:ins>
      <w:ins w:id="130" w:author="Volker Greimann" w:date="2018-08-02T19:10:00Z">
        <w:r>
          <w:rPr>
            <w:rStyle w:val="ClearFormattingChar"/>
          </w:rPr>
          <w:t xml:space="preserve"> </w:t>
        </w:r>
      </w:ins>
      <w:ins w:id="131" w:author="Volker Greimann" w:date="2018-08-02T19:10:00Z">
        <w:r>
          <w:rPr>
            <w:rStyle w:val="ClearFormattingChar"/>
          </w:rPr>
          <w:t>depending on where the lookup is performed</w:t>
        </w:r>
      </w:ins>
      <w:ins w:id="132" w:author="Lisa Phifer" w:date="2018-07-29T23:45:00Z">
        <w:r>
          <w:rPr>
            <w:rStyle w:val="ClearFormattingChar"/>
          </w:rPr>
          <w:t>.</w:t>
        </w:r>
      </w:ins>
    </w:p>
    <w:p>
      <w:pPr>
        <w:pStyle w:val="JustifiedParagraph"/>
        <w:rPr>
          <w:rStyle w:val="ClearFormattingChar"/>
        </w:rPr>
      </w:pPr>
      <w:ins w:id="133" w:author="Lisa Phifer" w:date="2018-07-29T23:44:00Z">
        <w:r>
          <w:rPr>
            <w:rStyle w:val="ClearFormattingChar"/>
          </w:rPr>
          <w:t xml:space="preserve"> </w:t>
        </w:r>
      </w:ins>
    </w:p>
    <w:p>
      <w:pPr>
        <w:pStyle w:val="JustifiedParagraph"/>
        <w:rPr>
          <w:rStyle w:val="ClearFormattingChar"/>
          <w:ins w:id="140" w:author="Lisa Phifer" w:date="2018-07-29T23:47:00Z"/>
        </w:rPr>
      </w:pPr>
      <w:ins w:id="134" w:author="Lisa Phifer" w:date="2018-07-29T19:55:00Z">
        <w:r>
          <w:rPr>
            <w:rStyle w:val="BoldChar"/>
          </w:rPr>
          <w:t>Rationale:</w:t>
        </w:r>
      </w:ins>
      <w:ins w:id="135" w:author="Lisa Phifer" w:date="2018-07-29T19:55:00Z">
        <w:r>
          <w:rPr>
            <w:rStyle w:val="ClearFormattingChar"/>
          </w:rPr>
          <w:t xml:space="preserve"> </w:t>
        </w:r>
      </w:ins>
      <w:ins w:id="136" w:author="Lisa Phifer" w:date="2018-07-29T23:45:00Z">
        <w:r>
          <w:rPr>
            <w:rStyle w:val="ClearFormattingChar"/>
          </w:rPr>
          <w:t>The common interface must be maintained to adapt to such changes, to ensure that it continue to display all publicly-available WHOIS output</w:t>
        </w:r>
      </w:ins>
      <w:ins w:id="137" w:author="Volker Greimann" w:date="2018-08-02T19:10:00Z">
        <w:r>
          <w:rPr>
            <w:rStyle w:val="ClearFormattingChar"/>
          </w:rPr>
          <w:t xml:space="preserve"> </w:t>
        </w:r>
      </w:ins>
      <w:ins w:id="138" w:author="Volker Greimann" w:date="2018-08-02T19:10:00Z">
        <w:r>
          <w:rPr>
            <w:rStyle w:val="ClearFormattingChar"/>
          </w:rPr>
          <w:t>regardless of which source is more complete or more authoritative</w:t>
        </w:r>
      </w:ins>
      <w:ins w:id="139" w:author="Lisa Phifer" w:date="2018-07-29T23:45:00Z">
        <w:r>
          <w:rPr>
            <w:rStyle w:val="ClearFormattingChar"/>
          </w:rPr>
          <w:t>.</w:t>
        </w:r>
      </w:ins>
    </w:p>
    <w:p>
      <w:pPr>
        <w:pStyle w:val="JustifiedParagraph"/>
        <w:rPr>
          <w:rStyle w:val="BoldChar"/>
        </w:rPr>
      </w:pPr>
      <w:ins w:id="141" w:author="Lisa Phifer" w:date="2018-07-29T19:55:00Z">
        <w:r>
          <w:rPr/>
        </w:r>
      </w:ins>
    </w:p>
    <w:p>
      <w:pPr>
        <w:pStyle w:val="JustifiedParagraph"/>
        <w:rPr>
          <w:rStyle w:val="HighlightChar"/>
          <w:ins w:id="146" w:author="Lisa Phifer" w:date="2018-07-29T19:55:00Z"/>
        </w:rPr>
      </w:pPr>
      <w:ins w:id="142" w:author="Lisa Phifer" w:date="2018-07-29T19:55:00Z">
        <w:r>
          <w:rPr>
            <w:rStyle w:val="BoldChar"/>
          </w:rPr>
          <w:t xml:space="preserve">Impact of Recommendation: </w:t>
        </w:r>
      </w:ins>
      <w:ins w:id="143" w:author="Volker Greimann" w:date="2018-08-02T19:10:00Z">
        <w:r>
          <w:rPr>
            <w:rStyle w:val="BoldChar"/>
          </w:rPr>
          <w:t xml:space="preserve"> </w:t>
        </w:r>
      </w:ins>
      <w:ins w:id="144" w:author="Volker Greimann" w:date="2018-08-02T19:10:00Z">
        <w:r>
          <w:rPr>
            <w:rStyle w:val="BoldChar"/>
          </w:rPr>
          <w:t xml:space="preserve">A display of divergent results between registry and registrar may cause some level of confusion in users, but ultimately having more complete information available will benefit the users of the common interface. </w:t>
        </w:r>
      </w:ins>
      <w:del w:id="145" w:author="Volker Greimann" w:date="2018-08-02T19:10:00Z">
        <w:r>
          <w:rPr>
            <w:rStyle w:val="HighlightChar"/>
          </w:rPr>
          <w:delText>To be provided</w:delText>
        </w:r>
      </w:del>
    </w:p>
    <w:p>
      <w:pPr>
        <w:pStyle w:val="JustifiedParagraph"/>
        <w:rPr>
          <w:rStyle w:val="BoldChar"/>
          <w:ins w:id="148" w:author="Lisa Phifer" w:date="2018-07-29T23:49:00Z"/>
        </w:rPr>
      </w:pPr>
      <w:ins w:id="147" w:author="Lisa Phifer" w:date="2018-07-29T23:49:00Z">
        <w:r>
          <w:rPr/>
        </w:r>
      </w:ins>
    </w:p>
    <w:p>
      <w:pPr>
        <w:pStyle w:val="LeftParagraph"/>
        <w:rPr>
          <w:rStyle w:val="HighlightChar"/>
        </w:rPr>
      </w:pPr>
      <w:ins w:id="149" w:author="Lisa Phifer" w:date="2018-07-29T19:55:00Z">
        <w:r>
          <w:rPr>
            <w:rStyle w:val="BoldChar"/>
          </w:rPr>
          <w:t>Feasibility of Recommendation:</w:t>
        </w:r>
      </w:ins>
      <w:ins w:id="150" w:author="Lisa Phifer" w:date="2018-07-29T19:55:00Z">
        <w:r>
          <w:rPr>
            <w:rStyle w:val="ClearFormattingChar"/>
          </w:rPr>
          <w:t xml:space="preserve"> </w:t>
        </w:r>
      </w:ins>
      <w:ins w:id="151" w:author="Lisa Phifer" w:date="2018-07-29T23:49:00Z">
        <w:r>
          <w:rPr>
            <w:rStyle w:val="ClearFormattingChar"/>
          </w:rPr>
          <w:t>This recommendation will need to be assessed for compliance with applicable laws.</w:t>
        </w:r>
      </w:ins>
    </w:p>
    <w:p>
      <w:pPr>
        <w:pStyle w:val="JustifiedParagraph"/>
        <w:rPr>
          <w:rStyle w:val="BoldChar"/>
        </w:rPr>
      </w:pPr>
      <w:ins w:id="152" w:author="Lisa Phifer" w:date="2018-07-29T19:55:00Z">
        <w:r>
          <w:rPr/>
        </w:r>
      </w:ins>
    </w:p>
    <w:p>
      <w:pPr>
        <w:pStyle w:val="JustifiedParagraph"/>
        <w:rPr>
          <w:rStyle w:val="HighlightChar"/>
        </w:rPr>
      </w:pPr>
      <w:ins w:id="153" w:author="Lisa Phifer" w:date="2018-07-29T19:55:00Z">
        <w:r>
          <w:rPr>
            <w:rStyle w:val="BoldChar"/>
          </w:rPr>
          <w:t xml:space="preserve">Implementation: </w:t>
        </w:r>
      </w:ins>
      <w:ins w:id="154" w:author="Volker Greimann" w:date="2018-08-02T19:18:00Z">
        <w:r>
          <w:rPr>
            <w:rStyle w:val="BoldChar"/>
          </w:rPr>
          <w:t>This recommendation can be directly implemented by ICANN after the legal assessment is completed</w:t>
        </w:r>
      </w:ins>
      <w:ins w:id="155" w:author="Volker Greimann" w:date="2018-08-02T19:14:00Z">
        <w:r>
          <w:rPr>
            <w:rStyle w:val="BoldChar"/>
          </w:rPr>
          <w:t xml:space="preserve"> </w:t>
        </w:r>
      </w:ins>
      <w:del w:id="156" w:author="Volker Greimann" w:date="2018-08-02T19:14:00Z">
        <w:r>
          <w:rPr>
            <w:rStyle w:val="HighlightChar"/>
          </w:rPr>
          <w:delText>To be provided</w:delText>
        </w:r>
      </w:del>
    </w:p>
    <w:p>
      <w:pPr>
        <w:pStyle w:val="JustifiedParagraph"/>
        <w:rPr/>
      </w:pPr>
      <w:ins w:id="157" w:author="Lisa Phifer" w:date="2018-07-29T19:55:00Z">
        <w:r>
          <w:rPr>
            <w:rStyle w:val="BoldChar"/>
          </w:rPr>
          <w:t xml:space="preserve">Priority: </w:t>
        </w:r>
      </w:ins>
      <w:del w:id="158" w:author="Volker Greimann" w:date="2018-08-02T19:14:00Z">
        <w:r>
          <w:rPr>
            <w:rStyle w:val="HighlightChar"/>
          </w:rPr>
          <w:delText>To be provided</w:delText>
        </w:r>
      </w:del>
      <w:ins w:id="159" w:author="Volker Greimann" w:date="2018-08-02T19:17:00Z">
        <w:r>
          <w:rPr>
            <w:rStyle w:val="BoldChar"/>
          </w:rPr>
          <w:t xml:space="preserve">This recommendation has a high priority and should be implemented by the </w:t>
        </w:r>
      </w:ins>
      <w:ins w:id="160" w:author="Volker Greimann" w:date="2018-08-02T19:18:00Z">
        <w:r>
          <w:rPr>
            <w:rStyle w:val="BoldChar"/>
          </w:rPr>
          <w:t>existing teams for the maintenance of the common interface.</w:t>
        </w:r>
      </w:ins>
    </w:p>
    <w:p>
      <w:pPr>
        <w:pStyle w:val="Normal"/>
        <w:rPr/>
      </w:pPr>
      <w:ins w:id="161" w:author="Lisa Phifer" w:date="2018-07-29T19:55:00Z">
        <w:r>
          <w:rPr>
            <w:rStyle w:val="BoldChar"/>
          </w:rPr>
          <w:t>Level of Consensus:</w:t>
        </w:r>
      </w:ins>
      <w:ins w:id="162" w:author="Lisa Phifer" w:date="2018-07-29T23:48:00Z">
        <w:r>
          <w:rPr>
            <w:rStyle w:val="ClearFormattingChar"/>
          </w:rPr>
          <w:t xml:space="preserve"> No F2F3 objections</w:t>
        </w:r>
      </w:ins>
    </w:p>
    <w:p>
      <w:pPr>
        <w:pStyle w:val="LeftParagraph"/>
        <w:rPr/>
      </w:pPr>
      <w:ins w:id="163" w:author="Lisa Phifer" w:date="2018-07-29T23:39:00Z">
        <w:r>
          <w:rPr/>
        </w:r>
      </w:ins>
    </w:p>
    <w:p>
      <w:pPr>
        <w:pStyle w:val="JustifiedParagraph"/>
        <w:rPr/>
      </w:pPr>
      <w:r>
        <w:rPr/>
      </w:r>
    </w:p>
    <w:p>
      <w:pPr>
        <w:pStyle w:val="Berschrift3"/>
        <w:numPr>
          <w:ilvl w:val="2"/>
          <w:numId w:val="4"/>
        </w:numPr>
        <w:ind w:left="1260" w:hanging="1260"/>
        <w:rPr/>
      </w:pPr>
      <w:bookmarkStart w:id="9" w:name="_Toc520717889"/>
      <w:r>
        <w:rPr/>
        <w:t>Possible impact of GDPR and other applicable laws</w:t>
      </w:r>
      <w:bookmarkEnd w:id="9"/>
      <w:r>
        <w:rPr/>
        <w:t xml:space="preserve"> </w:t>
      </w:r>
    </w:p>
    <w:p>
      <w:pPr>
        <w:sectPr>
          <w:headerReference w:type="default" r:id="rId19"/>
          <w:footerReference w:type="default" r:id="rId20"/>
          <w:type w:val="nextPage"/>
          <w:pgSz w:w="11906" w:h="16838"/>
          <w:pgMar w:left="1440" w:right="1440" w:header="720" w:top="1440" w:footer="504" w:bottom="1440" w:gutter="0"/>
          <w:pgNumType w:fmt="decimal"/>
          <w:formProt w:val="false"/>
          <w:textDirection w:val="lrTb"/>
          <w:docGrid w:type="default" w:linePitch="360" w:charSpace="4294965247"/>
        </w:sectPr>
        <w:pStyle w:val="LeftParagraph"/>
        <w:rPr/>
      </w:pPr>
      <w:del w:id="164" w:author="Volker Greimann" w:date="2018-08-02T19:33:00Z">
        <w:r>
          <w:rPr>
            <w:rStyle w:val="HighlightChar"/>
          </w:rPr>
          <w:delText>[TO BE PROVIDED]</w:delText>
        </w:r>
      </w:del>
      <w:ins w:id="165" w:author="Volker Greimann" w:date="2018-08-02T19:33:00Z">
        <w:r>
          <w:rPr>
            <w:rStyle w:val="HighlightChar"/>
          </w:rPr>
          <w:br/>
        </w:r>
      </w:ins>
      <w:ins w:id="166" w:author="Volker Greimann" w:date="2018-08-02T19:34:00Z">
        <w:r>
          <w:rPr>
            <w:rStyle w:val="HighlightChar"/>
          </w:rPr>
          <w:t>GDPR and other applicable laws may result in legal issues for ICANN with regard to the public display of personal</w:t>
        </w:r>
      </w:ins>
      <w:ins w:id="167" w:author="Volker Greimann" w:date="2018-08-02T19:35:00Z">
        <w:r>
          <w:rPr>
            <w:rStyle w:val="HighlightChar"/>
          </w:rPr>
          <w:t xml:space="preserve"> information through its common interface portal. As described above, certain impacts, such as inconsistent </w:t>
        </w:r>
      </w:ins>
      <w:ins w:id="168" w:author="Volker Greimann" w:date="2018-08-02T19:36:00Z">
        <w:r>
          <w:rPr>
            <w:rStyle w:val="HighlightChar"/>
          </w:rPr>
          <w:t>results from registries and registrars already exist. This underlines the necessity for ICANN to keep abreast of current and future legal and technical requirements and k</w:t>
        </w:r>
      </w:ins>
      <w:ins w:id="169" w:author="Volker Greimann" w:date="2018-08-02T19:37:00Z">
        <w:r>
          <w:rPr>
            <w:rStyle w:val="HighlightChar"/>
          </w:rPr>
          <w:t xml:space="preserve">eep the common portal usable for its users </w:t>
        </w:r>
      </w:ins>
    </w:p>
    <w:p>
      <w:pPr>
        <w:pStyle w:val="LeftParagraph"/>
        <w:rPr/>
      </w:pPr>
      <w:r>
        <w:rPr/>
      </w:r>
    </w:p>
    <w:sectPr>
      <w:headerReference w:type="default" r:id="rId21"/>
      <w:footerReference w:type="default" r:id="rId22"/>
      <w:type w:val="nextPage"/>
      <w:pgSz w:w="11906" w:h="16838"/>
      <w:pgMar w:left="1440" w:right="1440" w:header="720" w:top="1440" w:footer="504" w:bottom="1440" w:gutter="0"/>
      <w:pgNumType w:start="1" w:fmt="decimal"/>
      <w:formProt w:val="false"/>
      <w:textDirection w:val="lrTb"/>
      <w:docGrid w:type="default" w:linePitch="360" w:charSpace="4294965247"/>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comment w:id="1" w:author="LP" w:date="2018-07-29T20:51:00Z" w:initials="LP">
    <w:p>
      <w:r>
        <w:rPr>
          <w:rFonts w:ascii="Liberation Serif" w:hAnsi="Liberation Serif" w:eastAsia="Segoe UI" w:cs="Tahoma"/>
          <w:sz w:val="24"/>
          <w:szCs w:val="24"/>
          <w:lang w:val="en-US" w:eastAsia="en-US" w:bidi="en-US"/>
        </w:rPr>
        <w:t>Problems raised by Compliance Subgroup for discussion here:</w:t>
      </w:r>
    </w:p>
    <w:p>
      <w:r>
        <w:rPr>
          <w:rFonts w:ascii="Liberation Serif" w:hAnsi="Liberation Serif" w:eastAsia="Segoe UI" w:cs="Tahoma"/>
          <w:sz w:val="24"/>
          <w:szCs w:val="24"/>
          <w:lang w:val="en-US" w:eastAsia="en-US" w:bidi="en-US"/>
        </w:rPr>
      </w:r>
    </w:p>
    <w:p>
      <w:r>
        <w:rPr>
          <w:rFonts w:ascii="Liberation Serif" w:hAnsi="Liberation Serif" w:eastAsia="Segoe UI" w:cs="Tahoma"/>
          <w:sz w:val="24"/>
          <w:szCs w:val="24"/>
          <w:lang w:val="en-US" w:eastAsia="en-US" w:bidi="en-US"/>
        </w:rPr>
        <w:t>(1) As a result of GDPR implementation, RR and Ry interpretations may result in different registration data returned by WHOIS for the same domain name (e.g., the Ry may redact data that the RR displays)</w:t>
      </w:r>
    </w:p>
    <w:p>
      <w:r>
        <w:rPr>
          <w:rFonts w:ascii="Liberation Serif" w:hAnsi="Liberation Serif" w:eastAsia="Segoe UI" w:cs="Tahoma"/>
          <w:sz w:val="24"/>
          <w:szCs w:val="24"/>
          <w:lang w:val="en-US" w:eastAsia="en-US" w:bidi="en-US"/>
        </w:rPr>
      </w:r>
    </w:p>
    <w:p>
      <w:r>
        <w:rPr>
          <w:rFonts w:ascii="Liberation Serif" w:hAnsi="Liberation Serif" w:eastAsia="Segoe UI" w:cs="Tahoma"/>
          <w:sz w:val="24"/>
          <w:szCs w:val="24"/>
          <w:lang w:val="en-US" w:eastAsia="en-US" w:bidi="en-US"/>
        </w:rPr>
        <w:t>(2) WHOIS access through the common interface has become less reliable (e.g., timeouts more frequent)</w:t>
      </w:r>
    </w:p>
    <w:p>
      <w:r>
        <w:rPr>
          <w:rFonts w:ascii="Liberation Serif" w:hAnsi="Liberation Serif" w:eastAsia="Segoe UI" w:cs="Tahoma"/>
          <w:sz w:val="24"/>
          <w:szCs w:val="24"/>
          <w:lang w:val="en-US" w:eastAsia="en-US" w:bidi="en-US"/>
        </w:rPr>
      </w:r>
    </w:p>
    <w:p>
      <w:r>
        <w:rPr>
          <w:rFonts w:ascii="Liberation Serif" w:hAnsi="Liberation Serif" w:eastAsia="Segoe UI" w:cs="Tahoma"/>
          <w:sz w:val="24"/>
          <w:szCs w:val="24"/>
          <w:lang w:val="en-US" w:eastAsia="en-US" w:bidi="en-US"/>
        </w:rPr>
        <w:t xml:space="preserve">From Staff: References that may be helpful: </w:t>
      </w:r>
    </w:p>
    <w:p>
      <w:r>
        <w:rPr>
          <w:rFonts w:ascii="Liberation Serif" w:hAnsi="Liberation Serif" w:eastAsia="Segoe UI" w:cs="Tahoma"/>
          <w:sz w:val="24"/>
          <w:szCs w:val="24"/>
          <w:lang w:val="en-US" w:eastAsia="en-US" w:bidi="en-US"/>
        </w:rPr>
        <w:t>SAC101: WHOIS Rate Limit Testing Results https://www.icann.org/resources/files/1216233-2018-06-11-en</w:t>
      </w:r>
    </w:p>
    <w:p>
      <w:r>
        <w:rPr>
          <w:rFonts w:ascii="Liberation Serif" w:hAnsi="Liberation Serif" w:eastAsia="Segoe UI" w:cs="Tahoma"/>
          <w:sz w:val="24"/>
          <w:szCs w:val="24"/>
          <w:lang w:val="en-US" w:eastAsia="en-US" w:bidi="en-US"/>
        </w:rPr>
        <w:t>SAC101 Advisory</w:t>
      </w:r>
    </w:p>
    <w:p>
      <w:r>
        <w:rPr>
          <w:rFonts w:ascii="Liberation Serif" w:hAnsi="Liberation Serif" w:eastAsia="Segoe UI" w:cs="Tahoma"/>
          <w:sz w:val="24"/>
          <w:szCs w:val="24"/>
          <w:lang w:val="en-US" w:eastAsia="en-US" w:bidi="en-US"/>
        </w:rPr>
        <w:t>https://www.icann.org/en/system/files/files/sac-101-en.pdf</w:t>
      </w:r>
    </w:p>
    <w:p>
      <w:r>
        <w:rPr>
          <w:rFonts w:ascii="Liberation Serif" w:hAnsi="Liberation Serif" w:eastAsia="Segoe UI" w:cs="Tahoma"/>
          <w:sz w:val="24"/>
          <w:szCs w:val="24"/>
          <w:lang w:val="en-US" w:eastAsia="en-US" w:bidi="en-US"/>
        </w:rPr>
      </w:r>
    </w:p>
  </w:comment>
  <w:comment w:id="3" w:author="Lisa Phifer" w:date="2018-07-29T20:51:00Z" w:initials="LAP">
    <w:p>
      <w:r>
        <w:rPr>
          <w:rFonts w:ascii="Liberation Serif" w:hAnsi="Liberation Serif" w:eastAsia="Segoe UI" w:cs="Tahoma"/>
          <w:sz w:val="24"/>
          <w:szCs w:val="24"/>
          <w:lang w:val="en-US" w:eastAsia="en-US" w:bidi="en-US"/>
        </w:rPr>
        <w:t>ACTION ITEM - Volker to finalize text for new recommendation R11.2 to make clear what publicly-available output is expected - for example, whether it is just port 43 output or web output in cases where port 43 is redacted. Volker to note under feasibility that this recommendation will need to be assessed for compliance with applicable laws.</w:t>
      </w:r>
    </w:p>
    <w:p>
      <w:r>
        <w:rPr>
          <w:rFonts w:ascii="Liberation Serif" w:hAnsi="Liberation Serif" w:eastAsia="Segoe UI" w:cs="Tahoma"/>
          <w:sz w:val="24"/>
          <w:szCs w:val="24"/>
          <w:lang w:val="en-US" w:eastAsia="en-US" w:bidi="en-US"/>
        </w:rPr>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ucida Grande">
    <w:charset w:val="00"/>
    <w:family w:val="roman"/>
    <w:pitch w:val="variable"/>
  </w:font>
  <w:font w:name="Calibri">
    <w:charset w:val="00"/>
    <w:family w:val="roman"/>
    <w:pitch w:val="variable"/>
  </w:font>
  <w:font w:name="Liberation Sans">
    <w:altName w:val="Arial"/>
    <w:charset w:val="00"/>
    <w:family w:val="swiss"/>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476" w:type="dxa"/>
      <w:jc w:val="left"/>
      <w:tblInd w:w="-666" w:type="dxa"/>
      <w:tblBorders/>
      <w:tblCellMar>
        <w:top w:w="0" w:type="dxa"/>
        <w:left w:w="0" w:type="dxa"/>
        <w:bottom w:w="0" w:type="dxa"/>
        <w:right w:w="0" w:type="dxa"/>
      </w:tblCellMar>
      <w:tblLook w:firstRow="1" w:noVBand="1" w:lastRow="0" w:firstColumn="1" w:lastColumn="0" w:noHBand="0" w:val="04a0"/>
    </w:tblPr>
    <w:tblGrid>
      <w:gridCol w:w="778"/>
      <w:gridCol w:w="8815"/>
      <w:gridCol w:w="883"/>
    </w:tblGrid>
    <w:tr>
      <w:trPr>
        <w:trHeight w:val="648" w:hRule="exact"/>
      </w:trPr>
      <w:tc>
        <w:tcPr>
          <w:tcW w:w="778" w:type="dxa"/>
          <w:tcBorders/>
          <w:shd w:fill="auto" w:val="clear"/>
        </w:tcPr>
        <w:p>
          <w:pPr>
            <w:pStyle w:val="FooterICANN3spacing"/>
            <w:rPr/>
          </w:pPr>
          <w:r>
            <w:drawing>
              <wp:anchor behindDoc="1" distT="0" distB="6350" distL="114300" distR="115570" simplePos="0" locked="0" layoutInCell="1" allowOverlap="1" relativeHeight="10">
                <wp:simplePos x="0" y="0"/>
                <wp:positionH relativeFrom="column">
                  <wp:posOffset>-556895</wp:posOffset>
                </wp:positionH>
                <wp:positionV relativeFrom="paragraph">
                  <wp:posOffset>926465</wp:posOffset>
                </wp:positionV>
                <wp:extent cx="7556500" cy="10692130"/>
                <wp:effectExtent l="0" t="0" r="0" b="0"/>
                <wp:wrapNone/>
                <wp:docPr id="2"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9" descr=""/>
                        <pic:cNvPicPr>
                          <a:picLocks noChangeAspect="1" noChangeArrowheads="1"/>
                        </pic:cNvPicPr>
                      </pic:nvPicPr>
                      <pic:blipFill>
                        <a:blip r:embed="rId1"/>
                        <a:stretch>
                          <a:fillRect/>
                        </a:stretch>
                      </pic:blipFill>
                      <pic:spPr bwMode="auto">
                        <a:xfrm>
                          <a:off x="0" y="0"/>
                          <a:ext cx="7556500" cy="10692130"/>
                        </a:xfrm>
                        <a:prstGeom prst="rect">
                          <a:avLst/>
                        </a:prstGeom>
                      </pic:spPr>
                    </pic:pic>
                  </a:graphicData>
                </a:graphic>
              </wp:anchor>
            </w:drawing>
          </w:r>
          <w:r>
            <w:rPr/>
            <w:t>I</w:t>
          </w:r>
          <w:r>
            <w:rPr/>
            <w:t>CANN |</w:t>
          </w:r>
        </w:p>
      </w:tc>
      <w:tc>
        <w:tcPr>
          <w:tcW w:w="8815" w:type="dxa"/>
          <w:tcBorders>
            <w:right w:val="single" w:sz="48" w:space="0" w:color="FFFFFF"/>
            <w:insideV w:val="single" w:sz="48" w:space="0" w:color="FFFFFF"/>
          </w:tcBorders>
          <w:shd w:fill="auto" w:val="clear"/>
        </w:tcPr>
        <w:p>
          <w:pPr>
            <w:pStyle w:val="FooterNotCaps"/>
            <w:rPr/>
          </w:pPr>
          <w:sdt>
            <w:sdtPr>
              <w:text/>
              <w:dataBinding w:prefixMappings="xmlns:ns0='http://purl.org/dc/elements/1.1/' xmlns:ns1='http://schemas.openxmlformats.org/package/2006/metadata/core-properties' " w:xpath="/ns1:coreProperties[1]/ns0:title[1]" w:storeItemID="{6C3C8BC8-F283-45AE-878A-BAB7291924A1}"/>
              <w:alias w:val="Title"/>
            </w:sdtPr>
            <w:sdtContent>
              <w:r>
                <w:rPr/>
                <w:t xml:space="preserve">Registration Directory Service </w:t>
              </w:r>
              <w:r>
                <w:rPr/>
                <w:t>(RDS-WHOIS2) Review</w:t>
              </w:r>
            </w:sdtContent>
          </w:sdt>
          <w:r>
            <w:rPr/>
            <w:t xml:space="preserve"> | </w:t>
          </w:r>
          <w:sdt>
            <w:sdtPr>
              <w:id w:val="1194770433"/>
              <w:dataBinding w:prefixMappings="xmlns:ns0='http://schemas.microsoft.com/office/2006/coverPageProps' " w:xpath="/ns0:CoverPageProperties[1]/ns0:PublishDate[1]" w:storeItemID="{55AF091B-3C7A-41E3-B477-F2FDAA23CFDA}"/>
              <w:alias w:val="Publish Date"/>
            </w:sdtPr>
            <w:sdtContent>
              <w:r>
                <w:rPr/>
                <w:t>July 2018</w:t>
              </w:r>
            </w:sdtContent>
          </w:sdt>
          <w:r>
            <w:rPr/>
            <w:tab/>
          </w:r>
        </w:p>
      </w:tc>
      <w:tc>
        <w:tcPr>
          <w:tcW w:w="883" w:type="dxa"/>
          <w:tcBorders>
            <w:left w:val="single" w:sz="48" w:space="0" w:color="FFFFFF"/>
          </w:tcBorders>
          <w:shd w:fill="auto" w:val="clear"/>
          <w:tcMar>
            <w:left w:w="-60" w:type="dxa"/>
          </w:tcMar>
        </w:tcPr>
        <w:p>
          <w:pPr>
            <w:pStyle w:val="Fuzeile"/>
            <w:rPr/>
          </w:pPr>
          <w:r>
            <w:rPr/>
            <w:t xml:space="preserve">| </w:t>
          </w:r>
          <w:r>
            <w:rPr/>
            <w:fldChar w:fldCharType="begin"/>
          </w:r>
          <w:r>
            <w:instrText> PAGE </w:instrText>
          </w:r>
          <w:r>
            <w:fldChar w:fldCharType="separate"/>
          </w:r>
          <w:r>
            <w:t>6</w:t>
          </w:r>
          <w:r>
            <w:fldChar w:fldCharType="end"/>
          </w:r>
        </w:p>
      </w:tc>
    </w:tr>
  </w:tbl>
  <w:p>
    <w:pPr>
      <w:pStyle w:val="FooterSpac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drawing>
        <wp:anchor behindDoc="1" distT="0" distB="0" distL="114300" distR="115570" simplePos="0" locked="0" layoutInCell="1" allowOverlap="1" relativeHeight="4">
          <wp:simplePos x="0" y="0"/>
          <wp:positionH relativeFrom="page">
            <wp:align>center</wp:align>
          </wp:positionH>
          <wp:positionV relativeFrom="page">
            <wp:align>center</wp:align>
          </wp:positionV>
          <wp:extent cx="7560310" cy="10689590"/>
          <wp:effectExtent l="0" t="0" r="0" b="0"/>
          <wp:wrapNone/>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1"/>
                  <a:stretch>
                    <a:fillRect/>
                  </a:stretch>
                </pic:blipFill>
                <pic:spPr bwMode="auto">
                  <a:xfrm>
                    <a:off x="0" y="0"/>
                    <a:ext cx="7560310" cy="10689590"/>
                  </a:xfrm>
                  <a:prstGeom prst="rect">
                    <a:avLst/>
                  </a:prstGeom>
                </pic:spPr>
              </pic:pic>
            </a:graphicData>
          </a:graphic>
        </wp:anchor>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tabs>
        <w:tab w:val="center" w:pos="4680" w:leader="none"/>
        <w:tab w:val="right" w:pos="9360" w:leader="none"/>
      </w:tabs>
      <w:spacing w:before="160" w:after="440"/>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tabs>
        <w:tab w:val="center" w:pos="4680" w:leader="none"/>
        <w:tab w:val="right" w:pos="9360" w:leader="none"/>
      </w:tabs>
      <w:spacing w:before="160" w:after="440"/>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Berschrift1"/>
      <w:numFmt w:val="decimal"/>
      <w:lvlText w:val="%1"/>
      <w:lvlJc w:val="left"/>
      <w:pPr>
        <w:ind w:left="432" w:hanging="432"/>
      </w:pPr>
    </w:lvl>
    <w:lvl w:ilvl="1">
      <w:start w:val="1"/>
      <w:pStyle w:val="Berschrift2"/>
      <w:numFmt w:val="decimal"/>
      <w:lvlText w:val="%1.%2"/>
      <w:lvlJc w:val="left"/>
      <w:pPr>
        <w:ind w:left="756" w:hanging="576"/>
      </w:pPr>
    </w:lvl>
    <w:lvl w:ilvl="2">
      <w:start w:val="1"/>
      <w:pStyle w:val="Berschrift3"/>
      <w:numFmt w:val="decimal"/>
      <w:lvlText w:val="%1.%2.%3"/>
      <w:lvlJc w:val="left"/>
      <w:pPr>
        <w:ind w:left="720" w:hanging="720"/>
      </w:pPr>
    </w:lvl>
    <w:lvl w:ilvl="3">
      <w:start w:val="1"/>
      <w:pStyle w:val="Berschrift4"/>
      <w:numFmt w:val="decimal"/>
      <w:lvlText w:val="%1.%2.%3.%4"/>
      <w:lvlJc w:val="left"/>
      <w:pPr>
        <w:ind w:left="864" w:hanging="864"/>
      </w:pPr>
    </w:lvl>
    <w:lvl w:ilvl="4">
      <w:start w:val="1"/>
      <w:pStyle w:val="Berschrift5"/>
      <w:numFmt w:val="decimal"/>
      <w:lvlText w:val="%1.%2.%3.%4.%5"/>
      <w:lvlJc w:val="left"/>
      <w:pPr>
        <w:ind w:left="1008" w:hanging="1008"/>
      </w:pPr>
    </w:lvl>
    <w:lvl w:ilvl="5">
      <w:start w:val="1"/>
      <w:pStyle w:val="Berschrift6"/>
      <w:numFmt w:val="decimal"/>
      <w:lvlText w:val="%1.%2.%3.%4.%5.%6"/>
      <w:lvlJc w:val="left"/>
      <w:pPr>
        <w:ind w:left="1152" w:hanging="1152"/>
      </w:pPr>
    </w:lvl>
    <w:lvl w:ilvl="6">
      <w:start w:val="1"/>
      <w:pStyle w:val="Berschrift7"/>
      <w:numFmt w:val="decimal"/>
      <w:lvlText w:val="%1.%2.%3.%4.%5.%6.%7"/>
      <w:lvlJc w:val="left"/>
      <w:pPr>
        <w:ind w:left="1296" w:hanging="1296"/>
      </w:pPr>
    </w:lvl>
    <w:lvl w:ilvl="7">
      <w:start w:val="1"/>
      <w:pStyle w:val="Berschrift8"/>
      <w:numFmt w:val="decimal"/>
      <w:lvlText w:val="%1.%2.%3.%4.%5.%6.%7.%8"/>
      <w:lvlJc w:val="left"/>
      <w:pPr>
        <w:ind w:left="1440" w:hanging="1440"/>
      </w:pPr>
    </w:lvl>
    <w:lvl w:ilvl="8">
      <w:start w:val="1"/>
      <w:pStyle w:val="Berschrift9"/>
      <w:numFmt w:val="decimal"/>
      <w:lvlText w:val="%1.%2.%3.%4.%5.%6.%7.%8.%9"/>
      <w:lvlJc w:val="left"/>
      <w:pPr>
        <w:ind w:left="1584" w:hanging="1584"/>
      </w:pPr>
    </w:lvl>
  </w:abstractNum>
  <w:abstractNum w:abstractNumId="2">
    <w:lvl w:ilvl="0">
      <w:start w:val="1"/>
      <w:numFmt w:val="bullet"/>
      <w:lvlText w:val=""/>
      <w:lvlJc w:val="left"/>
      <w:pPr>
        <w:ind w:left="720" w:hanging="360"/>
      </w:pPr>
      <w:rPr>
        <w:rFonts w:ascii="Wingdings" w:hAnsi="Wingdings" w:cs="Wingdings" w:hint="default"/>
        <w:color w:val="0D436C"/>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decimal"/>
      <w:lvlText w:val="%1"/>
      <w:lvlJc w:val="left"/>
      <w:pPr>
        <w:ind w:left="432" w:hanging="432"/>
      </w:pPr>
    </w:lvl>
    <w:lvl w:ilvl="1">
      <w:start w:val="1"/>
      <w:numFmt w:val="decimal"/>
      <w:lvlText w:val="%1.%2"/>
      <w:lvlJc w:val="left"/>
      <w:pPr>
        <w:ind w:left="75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73"/>
  <w:trackRevisions/>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uiPriority="59" w:semiHidden="0"/>
    <w:lsdException w:name="List Number" w:uiPriority="64" w:semiHidden="0"/>
    <w:lsdException w:name="List Bullet 2" w:uiPriority="59" w:semiHidden="0"/>
    <w:lsdException w:name="List Bullet 3" w:uiPriority="59" w:semiHidden="0" w:unhideWhenUsed="0"/>
    <w:lsdException w:name="List Bullet 4" w:uiPriority="59" w:semiHidden="0"/>
    <w:lsdException w:name="List Bullet 5" w:uiPriority="59" w:semiHidden="0"/>
    <w:lsdException w:name="List Number 2" w:semiHidden="0" w:unhideWhenUsed="0"/>
    <w:lsdException w:name="List Number 3" w:semiHidden="0" w:unhideWhenUsed="0"/>
    <w:lsdException w:name="List Number 4" w:semiHidden="0"/>
    <w:lsdException w:name="List Number 5" w:semiHidden="0"/>
    <w:lsdException w:name="Title" w:uiPriority="0" w:semiHidden="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uiPriority="60" w:semiHidden="0" w:unhideWhenUsed="0"/>
    <w:lsdException w:name="Light List" w:uiPriority="61" w:semiHidden="0" w:unhideWhenUsed="0"/>
    <w:lsdException w:name="Light Grid" w:locked="1" w:uiPriority="62" w:semiHidden="0" w:unhideWhenUsed="0"/>
    <w:lsdException w:name="Medium Shading 1" w:locked="1" w:uiPriority="63" w:semiHidden="0" w:unhideWhenUsed="0"/>
    <w:lsdException w:name="Medium Shading 2" w:locked="1" w:uiPriority="64" w:semiHidden="0" w:unhideWhenUsed="0"/>
    <w:lsdException w:name="Medium List 1" w:locked="1" w:uiPriority="65" w:semiHidden="0" w:unhideWhenUsed="0"/>
    <w:lsdException w:name="Medium List 2" w:locked="1" w:uiPriority="66" w:semiHidden="0" w:unhideWhenUsed="0"/>
    <w:lsdException w:name="Medium Grid 1" w:locked="1" w:uiPriority="67" w:semiHidden="0" w:unhideWhenUsed="0"/>
    <w:lsdException w:name="Medium Grid 2" w:locked="1" w:uiPriority="68" w:semiHidden="0" w:unhideWhenUsed="0"/>
    <w:lsdException w:name="Medium Grid 3" w:locked="1" w:uiPriority="69" w:semiHidden="0" w:unhideWhenUsed="0"/>
    <w:lsdException w:name="Dark List" w:locked="1" w:uiPriority="70" w:semiHidden="0" w:unhideWhenUsed="0"/>
    <w:lsdException w:name="Colorful Shading" w:locked="1" w:uiPriority="71" w:semiHidden="0" w:unhideWhenUsed="0"/>
    <w:lsdException w:name="Colorful List" w:locked="1" w:uiPriority="72" w:semiHidden="0" w:unhideWhenUsed="0"/>
    <w:lsdException w:name="Colorful Grid" w:locked="1" w:uiPriority="73" w:semiHidden="0" w:unhideWhenUsed="0"/>
    <w:lsdException w:name="Light Shading Accent 1" w:uiPriority="60" w:semiHidden="0" w:unhideWhenUsed="0"/>
    <w:lsdException w:name="Light List Accent 1" w:uiPriority="61" w:semiHidden="0" w:unhideWhenUsed="0"/>
    <w:lsdException w:name="Light Grid Accent 1" w:locked="1" w:uiPriority="62" w:semiHidden="0" w:unhideWhenUsed="0"/>
    <w:lsdException w:name="Medium Shading 1 Accent 1" w:locked="1" w:uiPriority="63" w:semiHidden="0" w:unhideWhenUsed="0"/>
    <w:lsdException w:name="Medium Shading 2 Accent 1" w:locked="1" w:uiPriority="64" w:semiHidden="0" w:unhideWhenUsed="0"/>
    <w:lsdException w:name="Medium List 1 Accent 1" w:locked="1" w:uiPriority="65" w:semiHidden="0" w:unhideWhenUsed="0"/>
    <w:lsdException w:name="Revision" w:uiPriority="71" w:unhideWhenUsed="0"/>
    <w:lsdException w:name="List Paragraph" w:uiPriority="34" w:semiHidden="0" w:unhideWhenUsed="0" w:qFormat="1"/>
    <w:lsdException w:name="Quote" w:locked="1" w:semiHidden="0" w:unhideWhenUsed="0" w:qFormat="1"/>
    <w:lsdException w:name="Intense Quote" w:locked="1" w:semiHidden="0" w:unhideWhenUsed="0" w:qFormat="1"/>
    <w:lsdException w:name="Medium List 2 Accent 1" w:locked="1" w:uiPriority="66" w:semiHidden="0" w:unhideWhenUsed="0"/>
    <w:lsdException w:name="Medium Grid 1 Accent 1" w:locked="1" w:uiPriority="67" w:semiHidden="0" w:unhideWhenUsed="0"/>
    <w:lsdException w:name="Medium Grid 2 Accent 1" w:locked="1" w:uiPriority="68" w:semiHidden="0" w:unhideWhenUsed="0"/>
    <w:lsdException w:name="Medium Grid 3 Accent 1" w:locked="1" w:uiPriority="69" w:semiHidden="0" w:unhideWhenUsed="0"/>
    <w:lsdException w:name="Dark List Accent 1" w:locked="1" w:uiPriority="70" w:semiHidden="0" w:unhideWhenUsed="0"/>
    <w:lsdException w:name="Colorful Shading Accent 1" w:locked="1" w:uiPriority="71" w:semiHidden="0" w:unhideWhenUsed="0"/>
    <w:lsdException w:name="Colorful List Accent 1" w:locked="1" w:uiPriority="72" w:semiHidden="0" w:unhideWhenUsed="0"/>
    <w:lsdException w:name="Colorful Grid Accent 1" w:locked="1" w:uiPriority="73" w:semiHidden="0" w:unhideWhenUsed="0"/>
    <w:lsdException w:name="Light Shading Accent 2" w:uiPriority="60" w:semiHidden="0" w:unhideWhenUsed="0"/>
    <w:lsdException w:name="Light List Accent 2" w:uiPriority="61" w:semiHidden="0" w:unhideWhenUsed="0"/>
    <w:lsdException w:name="Light Grid Accent 2" w:locked="1" w:uiPriority="62" w:semiHidden="0" w:unhideWhenUsed="0"/>
    <w:lsdException w:name="Medium Shading 1 Accent 2" w:locked="1" w:uiPriority="63" w:semiHidden="0" w:unhideWhenUsed="0"/>
    <w:lsdException w:name="Medium Shading 2 Accent 2" w:locked="1" w:uiPriority="64" w:semiHidden="0" w:unhideWhenUsed="0"/>
    <w:lsdException w:name="Medium List 1 Accent 2" w:locked="1" w:uiPriority="65" w:semiHidden="0" w:unhideWhenUsed="0"/>
    <w:lsdException w:name="Medium List 2 Accent 2" w:locked="1" w:uiPriority="66" w:semiHidden="0" w:unhideWhenUsed="0"/>
    <w:lsdException w:name="Medium Grid 1 Accent 2" w:locked="1" w:uiPriority="67" w:semiHidden="0" w:unhideWhenUsed="0"/>
    <w:lsdException w:name="Medium Grid 2 Accent 2" w:locked="1" w:uiPriority="68" w:semiHidden="0" w:unhideWhenUsed="0"/>
    <w:lsdException w:name="Medium Grid 3 Accent 2" w:locked="1" w:uiPriority="69" w:semiHidden="0" w:unhideWhenUsed="0"/>
    <w:lsdException w:name="Dark List Accent 2" w:locked="1" w:uiPriority="70" w:semiHidden="0" w:unhideWhenUsed="0"/>
    <w:lsdException w:name="Colorful Shading Accent 2" w:locked="1" w:uiPriority="71" w:semiHidden="0" w:unhideWhenUsed="0"/>
    <w:lsdException w:name="Colorful List Accent 2" w:locked="1" w:uiPriority="72" w:semiHidden="0" w:unhideWhenUsed="0"/>
    <w:lsdException w:name="Colorful Grid Accent 2" w:locked="1" w:uiPriority="73" w:semiHidden="0" w:unhideWhenUsed="0"/>
    <w:lsdException w:name="Light Shading Accent 3" w:uiPriority="60" w:semiHidden="0" w:unhideWhenUsed="0"/>
    <w:lsdException w:name="Light List Accent 3" w:uiPriority="61" w:semiHidden="0" w:unhideWhenUsed="0"/>
    <w:lsdException w:name="Light Grid Accent 3" w:locked="1" w:uiPriority="62" w:semiHidden="0" w:unhideWhenUsed="0"/>
    <w:lsdException w:name="Medium Shading 1 Accent 3" w:locked="1" w:uiPriority="63" w:semiHidden="0" w:unhideWhenUsed="0"/>
    <w:lsdException w:name="Medium Shading 2 Accent 3" w:locked="1" w:uiPriority="64" w:semiHidden="0" w:unhideWhenUsed="0"/>
    <w:lsdException w:name="Medium List 1 Accent 3" w:locked="1" w:uiPriority="65" w:semiHidden="0" w:unhideWhenUsed="0"/>
    <w:lsdException w:name="Medium List 2 Accent 3" w:locked="1" w:uiPriority="66" w:semiHidden="0" w:unhideWhenUsed="0"/>
    <w:lsdException w:name="Medium Grid 1 Accent 3" w:locked="1" w:uiPriority="67" w:semiHidden="0" w:unhideWhenUsed="0"/>
    <w:lsdException w:name="Medium Grid 2 Accent 3" w:locked="1" w:uiPriority="68" w:semiHidden="0" w:unhideWhenUsed="0"/>
    <w:lsdException w:name="Medium Grid 3 Accent 3" w:locked="1" w:uiPriority="69" w:semiHidden="0" w:unhideWhenUsed="0"/>
    <w:lsdException w:name="Dark List Accent 3" w:locked="1" w:uiPriority="70" w:semiHidden="0" w:unhideWhenUsed="0"/>
    <w:lsdException w:name="Colorful Shading Accent 3" w:locked="1" w:uiPriority="71" w:semiHidden="0" w:unhideWhenUsed="0"/>
    <w:lsdException w:name="Colorful List Accent 3" w:locked="1" w:uiPriority="72" w:semiHidden="0" w:unhideWhenUsed="0"/>
    <w:lsdException w:name="Colorful Grid Accent 3" w:locked="1" w:uiPriority="73" w:semiHidden="0" w:unhideWhenUsed="0"/>
    <w:lsdException w:name="Light Shading Accent 4" w:uiPriority="60" w:semiHidden="0" w:unhideWhenUsed="0"/>
    <w:lsdException w:name="Light List Accent 4" w:uiPriority="61" w:semiHidden="0" w:unhideWhenUsed="0"/>
    <w:lsdException w:name="Light Grid Accent 4" w:locked="1" w:uiPriority="62" w:semiHidden="0" w:unhideWhenUsed="0"/>
    <w:lsdException w:name="Medium Shading 1 Accent 4" w:locked="1" w:uiPriority="63" w:semiHidden="0" w:unhideWhenUsed="0"/>
    <w:lsdException w:name="Medium Shading 2 Accent 4" w:locked="1" w:uiPriority="64" w:semiHidden="0" w:unhideWhenUsed="0"/>
    <w:lsdException w:name="Medium List 1 Accent 4" w:locked="1" w:uiPriority="65" w:semiHidden="0" w:unhideWhenUsed="0"/>
    <w:lsdException w:name="Medium List 2 Accent 4" w:locked="1" w:uiPriority="66" w:semiHidden="0" w:unhideWhenUsed="0"/>
    <w:lsdException w:name="Medium Grid 1 Accent 4" w:locked="1" w:uiPriority="67" w:semiHidden="0" w:unhideWhenUsed="0"/>
    <w:lsdException w:name="Medium Grid 2 Accent 4" w:locked="1" w:uiPriority="68" w:semiHidden="0" w:unhideWhenUsed="0"/>
    <w:lsdException w:name="Medium Grid 3 Accent 4" w:locked="1" w:uiPriority="69" w:semiHidden="0" w:unhideWhenUsed="0"/>
    <w:lsdException w:name="Dark List Accent 4" w:locked="1" w:uiPriority="70" w:semiHidden="0" w:unhideWhenUsed="0"/>
    <w:lsdException w:name="Colorful Shading Accent 4" w:locked="1" w:uiPriority="71" w:semiHidden="0" w:unhideWhenUsed="0"/>
    <w:lsdException w:name="Colorful List Accent 4" w:locked="1" w:uiPriority="72" w:semiHidden="0" w:unhideWhenUsed="0"/>
    <w:lsdException w:name="Colorful Grid Accent 4" w:locked="1" w:uiPriority="73" w:semiHidden="0" w:unhideWhenUsed="0"/>
    <w:lsdException w:name="Light Shading Accent 5" w:uiPriority="60" w:semiHidden="0" w:unhideWhenUsed="0"/>
    <w:lsdException w:name="Light List Accent 5" w:uiPriority="61" w:semiHidden="0" w:unhideWhenUsed="0"/>
    <w:lsdException w:name="Light Grid Accent 5" w:locked="1" w:uiPriority="62" w:semiHidden="0" w:unhideWhenUsed="0"/>
    <w:lsdException w:name="Medium Shading 1 Accent 5" w:locked="1" w:uiPriority="63" w:semiHidden="0" w:unhideWhenUsed="0"/>
    <w:lsdException w:name="Medium Shading 2 Accent 5" w:locked="1" w:uiPriority="64" w:semiHidden="0" w:unhideWhenUsed="0"/>
    <w:lsdException w:name="Medium List 1 Accent 5" w:locked="1" w:uiPriority="65" w:semiHidden="0" w:unhideWhenUsed="0"/>
    <w:lsdException w:name="Medium List 2 Accent 5" w:locked="1" w:uiPriority="66" w:semiHidden="0" w:unhideWhenUsed="0"/>
    <w:lsdException w:name="Medium Grid 1 Accent 5" w:locked="1" w:uiPriority="67" w:semiHidden="0" w:unhideWhenUsed="0"/>
    <w:lsdException w:name="Medium Grid 2 Accent 5" w:locked="1" w:uiPriority="68" w:semiHidden="0" w:unhideWhenUsed="0"/>
    <w:lsdException w:name="Medium Grid 3 Accent 5" w:locked="1" w:uiPriority="69" w:semiHidden="0" w:unhideWhenUsed="0"/>
    <w:lsdException w:name="Dark List Accent 5" w:locked="1" w:uiPriority="70" w:semiHidden="0" w:unhideWhenUsed="0"/>
    <w:lsdException w:name="Colorful Shading Accent 5" w:locked="1" w:uiPriority="71" w:semiHidden="0" w:unhideWhenUsed="0"/>
    <w:lsdException w:name="Colorful List Accent 5" w:locked="1" w:uiPriority="72" w:semiHidden="0" w:unhideWhenUsed="0"/>
    <w:lsdException w:name="Colorful Grid Accent 5" w:locked="1" w:uiPriority="73" w:semiHidden="0" w:unhideWhenUsed="0"/>
    <w:lsdException w:name="Light Shading Accent 6" w:uiPriority="60" w:semiHidden="0" w:unhideWhenUsed="0"/>
    <w:lsdException w:name="Light List Accent 6" w:uiPriority="61" w:semiHidden="0" w:unhideWhenUsed="0"/>
    <w:lsdException w:name="Light Grid Accent 6" w:locked="1" w:uiPriority="62" w:semiHidden="0" w:unhideWhenUsed="0"/>
    <w:lsdException w:name="Medium Shading 1 Accent 6" w:locked="1" w:uiPriority="63" w:semiHidden="0" w:unhideWhenUsed="0"/>
    <w:lsdException w:name="Medium Shading 2 Accent 6" w:locked="1" w:uiPriority="64" w:semiHidden="0" w:unhideWhenUsed="0"/>
    <w:lsdException w:name="Medium List 1 Accent 6" w:locked="1" w:uiPriority="65" w:semiHidden="0" w:unhideWhenUsed="0"/>
    <w:lsdException w:name="Medium List 2 Accent 6" w:locked="1" w:uiPriority="66" w:semiHidden="0" w:unhideWhenUsed="0"/>
    <w:lsdException w:name="Medium Grid 1 Accent 6" w:locked="1" w:uiPriority="67" w:semiHidden="0" w:unhideWhenUsed="0"/>
    <w:lsdException w:name="Medium Grid 2 Accent 6" w:locked="1" w:uiPriority="68" w:semiHidden="0" w:unhideWhenUsed="0"/>
    <w:lsdException w:name="Medium Grid 3 Accent 6" w:locked="1" w:uiPriority="69" w:semiHidden="0" w:unhideWhenUsed="0"/>
    <w:lsdException w:name="Dark List Accent 6" w:locked="1" w:uiPriority="70" w:semiHidden="0" w:unhideWhenUsed="0"/>
    <w:lsdException w:name="Colorful Shading Accent 6" w:locked="1" w:uiPriority="71" w:semiHidden="0" w:unhideWhenUsed="0"/>
    <w:lsdException w:name="Colorful List Accent 6" w:locked="1" w:uiPriority="72" w:semiHidden="0" w:unhideWhenUsed="0"/>
    <w:lsdException w:name="Colorful Grid Accent 6" w:locked="1" w:uiPriority="73" w:semiHidden="0"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styleId="Normal" w:default="1">
    <w:name w:val="Normal"/>
    <w:uiPriority w:val="99"/>
    <w:qFormat/>
    <w:rsid w:val="001a23c2"/>
    <w:pPr>
      <w:widowControl/>
      <w:bidi w:val="0"/>
      <w:jc w:val="left"/>
    </w:pPr>
    <w:rPr>
      <w:rFonts w:ascii="Arial" w:hAnsi="Arial" w:eastAsia="Arial" w:cs="" w:asciiTheme="minorHAnsi" w:cstheme="minorBidi" w:eastAsiaTheme="minorHAnsi" w:hAnsiTheme="minorHAnsi"/>
      <w:color w:val="auto"/>
      <w:sz w:val="22"/>
      <w:szCs w:val="22"/>
      <w:lang w:val="en-US" w:eastAsia="en-US" w:bidi="ar-SA"/>
    </w:rPr>
  </w:style>
  <w:style w:type="paragraph" w:styleId="Berschrift1">
    <w:name w:val="Heading 1"/>
    <w:link w:val="Heading1Char"/>
    <w:uiPriority w:val="9"/>
    <w:qFormat/>
    <w:rsid w:val="00ee1f4f"/>
    <w:pPr>
      <w:keepNext/>
      <w:keepLines/>
      <w:widowControl w:val="false"/>
      <w:numPr>
        <w:ilvl w:val="0"/>
        <w:numId w:val="1"/>
      </w:numPr>
      <w:ind w:left="720" w:hanging="720"/>
      <w:outlineLvl w:val="0"/>
      <w:outlineLvl w:val="0"/>
    </w:pPr>
    <w:rPr>
      <w:rFonts w:ascii="Arial" w:hAnsi="Arial" w:asciiTheme="majorHAnsi" w:hAnsiTheme="majorHAnsi" w:eastAsia="Arial" w:cs=""/>
      <w:b/>
      <w:bCs/>
      <w:color w:val="0D436C" w:themeColor="accent2"/>
      <w:sz w:val="44"/>
      <w:szCs w:val="32"/>
      <w:lang w:val="en-US" w:eastAsia="en-US" w:bidi="ar-SA"/>
    </w:rPr>
  </w:style>
  <w:style w:type="paragraph" w:styleId="Berschrift2">
    <w:name w:val="Heading 2"/>
    <w:link w:val="Heading2Char"/>
    <w:uiPriority w:val="38"/>
    <w:qFormat/>
    <w:rsid w:val="00ee1f4f"/>
    <w:pPr>
      <w:keepNext/>
      <w:keepLines/>
      <w:widowControl w:val="false"/>
      <w:numPr>
        <w:ilvl w:val="1"/>
        <w:numId w:val="1"/>
      </w:numPr>
      <w:ind w:left="1260" w:hanging="1260"/>
      <w:outlineLvl w:val="1"/>
      <w:outlineLvl w:val="1"/>
    </w:pPr>
    <w:rPr>
      <w:rFonts w:ascii="Arial" w:hAnsi="Arial" w:asciiTheme="majorHAnsi" w:hAnsiTheme="majorHAnsi" w:eastAsia="Arial" w:cs=""/>
      <w:b/>
      <w:bCs/>
      <w:color w:val="0D436C" w:themeColor="accent2"/>
      <w:sz w:val="36"/>
      <w:szCs w:val="26"/>
      <w:lang w:val="en-US" w:eastAsia="en-US" w:bidi="ar-SA"/>
    </w:rPr>
  </w:style>
  <w:style w:type="paragraph" w:styleId="Berschrift3">
    <w:name w:val="Heading 3"/>
    <w:link w:val="Heading3Char"/>
    <w:uiPriority w:val="38"/>
    <w:qFormat/>
    <w:rsid w:val="00ee1f4f"/>
    <w:pPr>
      <w:widowControl w:val="false"/>
      <w:numPr>
        <w:ilvl w:val="2"/>
        <w:numId w:val="1"/>
      </w:numPr>
      <w:ind w:left="1260" w:hanging="1260"/>
      <w:outlineLvl w:val="2"/>
      <w:outlineLvl w:val="2"/>
    </w:pPr>
    <w:rPr>
      <w:rFonts w:ascii="Arial" w:hAnsi="Arial" w:eastAsia="ＭＳ Ｐゴシック" w:asciiTheme="majorHAnsi" w:eastAsiaTheme="minorEastAsia" w:hAnsiTheme="majorHAnsi" w:cs=""/>
      <w:color w:val="0D436C" w:themeColor="accent2"/>
      <w:sz w:val="36"/>
      <w:szCs w:val="44"/>
      <w:lang w:val="en-US" w:eastAsia="en-US" w:bidi="ar-SA"/>
    </w:rPr>
  </w:style>
  <w:style w:type="paragraph" w:styleId="Berschrift4">
    <w:name w:val="Heading 4"/>
    <w:link w:val="Heading4Char"/>
    <w:uiPriority w:val="38"/>
    <w:qFormat/>
    <w:rsid w:val="00ee1f4f"/>
    <w:pPr>
      <w:widowControl w:val="false"/>
      <w:numPr>
        <w:ilvl w:val="3"/>
        <w:numId w:val="1"/>
      </w:numPr>
      <w:ind w:left="1620" w:hanging="1620"/>
      <w:outlineLvl w:val="3"/>
      <w:outlineLvl w:val="3"/>
    </w:pPr>
    <w:rPr>
      <w:rFonts w:ascii="Arial" w:hAnsi="Arial" w:eastAsia="ＭＳ Ｐゴシック" w:asciiTheme="majorHAnsi" w:eastAsiaTheme="minorEastAsia" w:hAnsiTheme="majorHAnsi" w:cs=""/>
      <w:color w:val="0D436C" w:themeColor="accent2"/>
      <w:sz w:val="32"/>
      <w:szCs w:val="44"/>
      <w:lang w:val="en-US" w:eastAsia="en-US" w:bidi="ar-SA"/>
    </w:rPr>
  </w:style>
  <w:style w:type="paragraph" w:styleId="Berschrift5">
    <w:name w:val="Heading 5"/>
    <w:link w:val="Heading5Char"/>
    <w:uiPriority w:val="38"/>
    <w:qFormat/>
    <w:rsid w:val="00ee1f4f"/>
    <w:pPr>
      <w:widowControl w:val="false"/>
      <w:numPr>
        <w:ilvl w:val="4"/>
        <w:numId w:val="1"/>
      </w:numPr>
      <w:ind w:left="1620" w:hanging="1620"/>
      <w:outlineLvl w:val="4"/>
      <w:outlineLvl w:val="4"/>
    </w:pPr>
    <w:rPr>
      <w:rFonts w:ascii="Arial" w:hAnsi="Arial" w:eastAsia="ＭＳ Ｐゴシック" w:asciiTheme="majorHAnsi" w:eastAsiaTheme="minorEastAsia" w:hAnsiTheme="majorHAnsi" w:cs=""/>
      <w:color w:val="0D436C" w:themeColor="accent2"/>
      <w:sz w:val="28"/>
      <w:szCs w:val="36"/>
      <w:lang w:val="en-US" w:eastAsia="en-US" w:bidi="ar-SA"/>
    </w:rPr>
  </w:style>
  <w:style w:type="paragraph" w:styleId="Berschrift6">
    <w:name w:val="Heading 6"/>
    <w:basedOn w:val="Normal"/>
    <w:next w:val="Normal"/>
    <w:link w:val="Heading6Char"/>
    <w:uiPriority w:val="9"/>
    <w:semiHidden/>
    <w:qFormat/>
    <w:rsid w:val="0062279c"/>
    <w:pPr>
      <w:keepNext/>
      <w:keepLines/>
      <w:numPr>
        <w:ilvl w:val="5"/>
        <w:numId w:val="1"/>
      </w:numPr>
      <w:spacing w:before="40" w:after="0"/>
      <w:outlineLvl w:val="5"/>
      <w:outlineLvl w:val="5"/>
    </w:pPr>
    <w:rPr>
      <w:rFonts w:ascii="Arial" w:hAnsi="Arial" w:eastAsia="ＭＳ Ｐゴシック" w:cs="" w:asciiTheme="majorHAnsi" w:cstheme="majorBidi" w:eastAsiaTheme="majorEastAsia" w:hAnsiTheme="majorHAnsi"/>
      <w:color w:val="0D4264" w:themeColor="accent1" w:themeShade="7f"/>
    </w:rPr>
  </w:style>
  <w:style w:type="paragraph" w:styleId="Berschrift7">
    <w:name w:val="Heading 7"/>
    <w:basedOn w:val="Normal"/>
    <w:next w:val="Normal"/>
    <w:link w:val="Heading7Char"/>
    <w:uiPriority w:val="9"/>
    <w:semiHidden/>
    <w:qFormat/>
    <w:rsid w:val="0062279c"/>
    <w:pPr>
      <w:keepNext/>
      <w:keepLines/>
      <w:numPr>
        <w:ilvl w:val="6"/>
        <w:numId w:val="1"/>
      </w:numPr>
      <w:spacing w:before="40" w:after="0"/>
      <w:outlineLvl w:val="6"/>
      <w:outlineLvl w:val="6"/>
    </w:pPr>
    <w:rPr>
      <w:rFonts w:ascii="Arial" w:hAnsi="Arial" w:eastAsia="ＭＳ Ｐゴシック" w:cs="" w:asciiTheme="majorHAnsi" w:cstheme="majorBidi" w:eastAsiaTheme="majorEastAsia" w:hAnsiTheme="majorHAnsi"/>
      <w:i/>
      <w:iCs/>
      <w:color w:val="0D4264" w:themeColor="accent1" w:themeShade="7f"/>
    </w:rPr>
  </w:style>
  <w:style w:type="paragraph" w:styleId="Berschrift8">
    <w:name w:val="Heading 8"/>
    <w:basedOn w:val="Normal"/>
    <w:next w:val="Normal"/>
    <w:link w:val="Heading8Char"/>
    <w:uiPriority w:val="9"/>
    <w:semiHidden/>
    <w:qFormat/>
    <w:rsid w:val="0062279c"/>
    <w:pPr>
      <w:keepNext/>
      <w:keepLines/>
      <w:numPr>
        <w:ilvl w:val="7"/>
        <w:numId w:val="1"/>
      </w:numPr>
      <w:spacing w:before="40" w:after="0"/>
      <w:outlineLvl w:val="7"/>
      <w:outlineLvl w:val="7"/>
    </w:pPr>
    <w:rPr>
      <w:rFonts w:ascii="Arial" w:hAnsi="Arial" w:eastAsia="ＭＳ Ｐゴシック" w:cs="" w:asciiTheme="majorHAnsi" w:cstheme="majorBidi" w:eastAsiaTheme="majorEastAsia" w:hAnsiTheme="majorHAnsi"/>
      <w:color w:val="194E5B" w:themeColor="text1" w:themeTint="d8"/>
      <w:sz w:val="21"/>
      <w:szCs w:val="21"/>
    </w:rPr>
  </w:style>
  <w:style w:type="paragraph" w:styleId="Berschrift9">
    <w:name w:val="Heading 9"/>
    <w:basedOn w:val="Normal"/>
    <w:next w:val="Normal"/>
    <w:link w:val="Heading9Char"/>
    <w:uiPriority w:val="9"/>
    <w:semiHidden/>
    <w:qFormat/>
    <w:rsid w:val="0062279c"/>
    <w:pPr>
      <w:keepNext/>
      <w:keepLines/>
      <w:numPr>
        <w:ilvl w:val="8"/>
        <w:numId w:val="1"/>
      </w:numPr>
      <w:spacing w:before="40" w:after="0"/>
      <w:outlineLvl w:val="8"/>
      <w:outlineLvl w:val="8"/>
    </w:pPr>
    <w:rPr>
      <w:rFonts w:ascii="Arial" w:hAnsi="Arial" w:eastAsia="ＭＳ Ｐゴシック" w:cs="" w:asciiTheme="majorHAnsi" w:cstheme="majorBidi" w:eastAsiaTheme="majorEastAsia" w:hAnsiTheme="majorHAnsi"/>
      <w:i/>
      <w:iCs/>
      <w:color w:val="194E5B" w:themeColor="text1" w:themeTint="d8"/>
      <w:sz w:val="21"/>
      <w:szCs w:val="21"/>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85"/>
    <w:qFormat/>
    <w:rsid w:val="004825c7"/>
    <w:rPr>
      <w:rFonts w:eastAsia="ＭＳ Ｐゴシック" w:cs="" w:cstheme="majorBidi" w:eastAsiaTheme="majorEastAsia"/>
    </w:rPr>
  </w:style>
  <w:style w:type="character" w:styleId="FooterChar" w:customStyle="1">
    <w:name w:val="Footer Char"/>
    <w:basedOn w:val="DefaultParagraphFont"/>
    <w:link w:val="Footer"/>
    <w:uiPriority w:val="79"/>
    <w:qFormat/>
    <w:rsid w:val="004825c7"/>
    <w:rPr>
      <w:rFonts w:ascii="Arial" w:hAnsi="Arial" w:eastAsia="ＭＳ Ｐゴシック" w:cs="Arial" w:eastAsiaTheme="majorEastAsia"/>
      <w:caps/>
      <w:sz w:val="18"/>
      <w:szCs w:val="18"/>
    </w:rPr>
  </w:style>
  <w:style w:type="character" w:styleId="Pagenumber">
    <w:name w:val="page number"/>
    <w:basedOn w:val="DefaultParagraphFont"/>
    <w:uiPriority w:val="99"/>
    <w:semiHidden/>
    <w:unhideWhenUsed/>
    <w:qFormat/>
    <w:rsid w:val="000d1d81"/>
    <w:rPr/>
  </w:style>
  <w:style w:type="character" w:styleId="Heading1Char" w:customStyle="1">
    <w:name w:val="Heading 1 Char"/>
    <w:basedOn w:val="DefaultParagraphFont"/>
    <w:link w:val="Heading1"/>
    <w:uiPriority w:val="9"/>
    <w:qFormat/>
    <w:rsid w:val="00647830"/>
    <w:rPr>
      <w:rFonts w:ascii="Arial" w:hAnsi="Arial" w:eastAsia="ＭＳ Ｐゴシック" w:cs="" w:asciiTheme="majorHAnsi" w:cstheme="majorBidi" w:eastAsiaTheme="majorEastAsia" w:hAnsiTheme="majorHAnsi"/>
      <w:b/>
      <w:bCs/>
      <w:color w:val="0D436C" w:themeColor="accent2"/>
      <w:sz w:val="44"/>
      <w:szCs w:val="32"/>
    </w:rPr>
  </w:style>
  <w:style w:type="character" w:styleId="Heading2Char" w:customStyle="1">
    <w:name w:val="Heading 2 Char"/>
    <w:basedOn w:val="DefaultParagraphFont"/>
    <w:link w:val="Heading2"/>
    <w:uiPriority w:val="38"/>
    <w:qFormat/>
    <w:rsid w:val="00647830"/>
    <w:rPr>
      <w:rFonts w:ascii="Arial" w:hAnsi="Arial" w:eastAsia="ＭＳ Ｐゴシック" w:cs="" w:asciiTheme="majorHAnsi" w:cstheme="majorBidi" w:eastAsiaTheme="majorEastAsia" w:hAnsiTheme="majorHAnsi"/>
      <w:b/>
      <w:bCs/>
      <w:color w:val="0D436C" w:themeColor="accent2"/>
      <w:sz w:val="36"/>
      <w:szCs w:val="26"/>
    </w:rPr>
  </w:style>
  <w:style w:type="character" w:styleId="Heading3Char" w:customStyle="1">
    <w:name w:val="Heading 3 Char"/>
    <w:basedOn w:val="DefaultParagraphFont"/>
    <w:link w:val="Heading3"/>
    <w:uiPriority w:val="38"/>
    <w:qFormat/>
    <w:rsid w:val="00647830"/>
    <w:rPr>
      <w:rFonts w:ascii="Arial" w:hAnsi="Arial" w:eastAsia="ＭＳ Ｐゴシック" w:cs="" w:asciiTheme="majorHAnsi" w:cstheme="majorBidi" w:eastAsiaTheme="minorEastAsia" w:hAnsiTheme="majorHAnsi"/>
      <w:color w:val="0D436C" w:themeColor="accent2"/>
      <w:sz w:val="36"/>
      <w:szCs w:val="44"/>
    </w:rPr>
  </w:style>
  <w:style w:type="character" w:styleId="Heading4Char" w:customStyle="1">
    <w:name w:val="Heading 4 Char"/>
    <w:basedOn w:val="DefaultParagraphFont"/>
    <w:link w:val="Heading4"/>
    <w:uiPriority w:val="38"/>
    <w:qFormat/>
    <w:rsid w:val="00647830"/>
    <w:rPr>
      <w:rFonts w:ascii="Arial" w:hAnsi="Arial" w:eastAsia="ＭＳ Ｐゴシック" w:cs="" w:asciiTheme="majorHAnsi" w:cstheme="majorBidi" w:eastAsiaTheme="minorEastAsia" w:hAnsiTheme="majorHAnsi"/>
      <w:color w:val="0D436C" w:themeColor="accent2"/>
      <w:sz w:val="32"/>
      <w:szCs w:val="44"/>
    </w:rPr>
  </w:style>
  <w:style w:type="character" w:styleId="Heading5Char" w:customStyle="1">
    <w:name w:val="Heading 5 Char"/>
    <w:basedOn w:val="DefaultParagraphFont"/>
    <w:link w:val="Heading5"/>
    <w:uiPriority w:val="38"/>
    <w:qFormat/>
    <w:rsid w:val="00647830"/>
    <w:rPr>
      <w:rFonts w:ascii="Arial" w:hAnsi="Arial" w:eastAsia="ＭＳ Ｐゴシック" w:cs="" w:asciiTheme="majorHAnsi" w:cstheme="majorBidi" w:eastAsiaTheme="minorEastAsia" w:hAnsiTheme="majorHAnsi"/>
      <w:color w:val="0D436C" w:themeColor="accent2"/>
      <w:sz w:val="28"/>
      <w:szCs w:val="36"/>
    </w:rPr>
  </w:style>
  <w:style w:type="character" w:styleId="Footnotereference">
    <w:name w:val="footnote reference"/>
    <w:uiPriority w:val="83"/>
    <w:qFormat/>
    <w:rsid w:val="004003ce"/>
    <w:rPr>
      <w:rFonts w:ascii="Arial" w:hAnsi="Arial" w:asciiTheme="minorHAnsi" w:hAnsiTheme="minorHAnsi"/>
      <w:vertAlign w:val="superscript"/>
    </w:rPr>
  </w:style>
  <w:style w:type="character" w:styleId="FootnoteTextChar" w:customStyle="1">
    <w:name w:val="Footnote Text Char"/>
    <w:basedOn w:val="DefaultParagraphFont"/>
    <w:link w:val="FootnoteText"/>
    <w:uiPriority w:val="84"/>
    <w:qFormat/>
    <w:rsid w:val="004769a2"/>
    <w:rPr>
      <w:rFonts w:eastAsia="ＭＳ Ｐゴシック" w:eastAsiaTheme="minorEastAsia"/>
      <w:color w:val="808080" w:themeColor="background1" w:themeShade="80"/>
      <w:sz w:val="18"/>
    </w:rPr>
  </w:style>
  <w:style w:type="character" w:styleId="TitleChar" w:customStyle="1">
    <w:name w:val="Title Char"/>
    <w:basedOn w:val="DefaultParagraphFont"/>
    <w:link w:val="Title"/>
    <w:uiPriority w:val="34"/>
    <w:qFormat/>
    <w:rsid w:val="00717b2d"/>
    <w:rPr>
      <w:rFonts w:ascii="Arial" w:hAnsi="Arial" w:eastAsia="ＭＳ Ｐゴシック" w:cs="" w:asciiTheme="majorHAnsi" w:cstheme="majorBidi" w:eastAsiaTheme="minorEastAsia" w:hAnsiTheme="majorHAnsi"/>
      <w:color w:val="1768B1" w:themeColor="accent6"/>
      <w:sz w:val="64"/>
      <w:szCs w:val="24"/>
    </w:rPr>
  </w:style>
  <w:style w:type="character" w:styleId="Internetlink">
    <w:name w:val="Internetlink"/>
    <w:basedOn w:val="DefaultParagraphFont"/>
    <w:uiPriority w:val="99"/>
    <w:rsid w:val="00d607e3"/>
    <w:rPr>
      <w:color w:val="1D98D3" w:themeColor="hyperlink"/>
      <w:u w:val="single"/>
    </w:rPr>
  </w:style>
  <w:style w:type="character" w:styleId="PlaceholderText">
    <w:name w:val="Placeholder Text"/>
    <w:basedOn w:val="DefaultParagraphFont"/>
    <w:uiPriority w:val="99"/>
    <w:semiHidden/>
    <w:qFormat/>
    <w:rsid w:val="005e160c"/>
    <w:rPr>
      <w:color w:val="808080"/>
    </w:rPr>
  </w:style>
  <w:style w:type="character" w:styleId="BoldChar" w:customStyle="1">
    <w:name w:val="Bold_Char"/>
    <w:basedOn w:val="DefaultParagraphFont"/>
    <w:uiPriority w:val="24"/>
    <w:qFormat/>
    <w:rsid w:val="00e06546"/>
    <w:rPr>
      <w:b/>
    </w:rPr>
  </w:style>
  <w:style w:type="character" w:styleId="ItalicChar" w:customStyle="1">
    <w:name w:val="Italic_Char"/>
    <w:basedOn w:val="BoldChar"/>
    <w:uiPriority w:val="25"/>
    <w:qFormat/>
    <w:rsid w:val="00e06546"/>
    <w:rPr>
      <w:b w:val="false"/>
      <w:i/>
    </w:rPr>
  </w:style>
  <w:style w:type="character" w:styleId="UnderlineChar" w:customStyle="1">
    <w:name w:val="Underline_Char"/>
    <w:basedOn w:val="ItalicChar"/>
    <w:uiPriority w:val="27"/>
    <w:qFormat/>
    <w:rsid w:val="00c6701b"/>
    <w:rPr>
      <w:b w:val="false"/>
      <w:i w:val="false"/>
      <w:u w:val="single"/>
    </w:rPr>
  </w:style>
  <w:style w:type="character" w:styleId="BoldItalicChar" w:customStyle="1">
    <w:name w:val="Bold+Italic_Char"/>
    <w:basedOn w:val="UnderlineChar"/>
    <w:uiPriority w:val="26"/>
    <w:qFormat/>
    <w:rsid w:val="00cd4274"/>
    <w:rPr>
      <w:b/>
      <w:i/>
      <w:u w:val="none"/>
    </w:rPr>
  </w:style>
  <w:style w:type="character" w:styleId="Color1Char" w:customStyle="1">
    <w:name w:val="Color 1_Char"/>
    <w:basedOn w:val="DefaultParagraphFont"/>
    <w:uiPriority w:val="42"/>
    <w:qFormat/>
    <w:rsid w:val="00e06546"/>
    <w:rPr>
      <w:color w:val="1A87C9" w:themeColor="accent1"/>
    </w:rPr>
  </w:style>
  <w:style w:type="character" w:styleId="Color2Char" w:customStyle="1">
    <w:name w:val="Color 2_Char"/>
    <w:basedOn w:val="DefaultParagraphFont"/>
    <w:uiPriority w:val="42"/>
    <w:qFormat/>
    <w:rsid w:val="00e06546"/>
    <w:rPr>
      <w:color w:val="0D436C" w:themeColor="accent2"/>
    </w:rPr>
  </w:style>
  <w:style w:type="character" w:styleId="Color3Char" w:customStyle="1">
    <w:name w:val="Color 3_Char"/>
    <w:basedOn w:val="DefaultParagraphFont"/>
    <w:uiPriority w:val="42"/>
    <w:qFormat/>
    <w:rsid w:val="00e06546"/>
    <w:rPr>
      <w:color w:val="1B6F74" w:themeColor="accent3"/>
    </w:rPr>
  </w:style>
  <w:style w:type="character" w:styleId="Color4Char" w:customStyle="1">
    <w:name w:val="Color 4_Char"/>
    <w:basedOn w:val="DefaultParagraphFont"/>
    <w:uiPriority w:val="42"/>
    <w:qFormat/>
    <w:rsid w:val="00e06546"/>
    <w:rPr>
      <w:color w:val="EA903A" w:themeColor="accent4"/>
    </w:rPr>
  </w:style>
  <w:style w:type="character" w:styleId="Color5Char" w:customStyle="1">
    <w:name w:val="Color 5_Char"/>
    <w:basedOn w:val="DefaultParagraphFont"/>
    <w:uiPriority w:val="42"/>
    <w:qFormat/>
    <w:rsid w:val="00e06546"/>
    <w:rPr>
      <w:color w:val="DB6033" w:themeColor="accent5"/>
    </w:rPr>
  </w:style>
  <w:style w:type="character" w:styleId="Color6Char" w:customStyle="1">
    <w:name w:val="Color 6_Char"/>
    <w:basedOn w:val="DefaultParagraphFont"/>
    <w:uiPriority w:val="42"/>
    <w:qFormat/>
    <w:rsid w:val="00e06546"/>
    <w:rPr>
      <w:color w:val="1768B1" w:themeColor="accent6"/>
    </w:rPr>
  </w:style>
  <w:style w:type="character" w:styleId="CoverTitleWhiteChar" w:customStyle="1">
    <w:name w:val="Cover Title White Char"/>
    <w:basedOn w:val="DefaultParagraphFont"/>
    <w:link w:val="CoverTitleWhite"/>
    <w:uiPriority w:val="73"/>
    <w:semiHidden/>
    <w:qFormat/>
    <w:rsid w:val="00f40dac"/>
    <w:rPr>
      <w:rFonts w:eastAsia="ＭＳ Ｐゴシック" w:cs="" w:cstheme="majorBidi" w:eastAsiaTheme="majorEastAsia"/>
      <w:b/>
      <w:color w:val="FFFFFF" w:themeColor="background1"/>
      <w:sz w:val="78"/>
      <w:szCs w:val="32"/>
    </w:rPr>
  </w:style>
  <w:style w:type="character" w:styleId="CoverSubtitlesWhiteChar" w:customStyle="1">
    <w:name w:val="Cover Subtitles White Char"/>
    <w:basedOn w:val="DefaultParagraphFont"/>
    <w:link w:val="CoverSubtitlesWhite"/>
    <w:uiPriority w:val="71"/>
    <w:semiHidden/>
    <w:qFormat/>
    <w:rsid w:val="00f40dac"/>
    <w:rPr>
      <w:rFonts w:eastAsia="ＭＳ Ｐゴシック" w:cs="" w:cstheme="majorBidi" w:eastAsiaTheme="majorEastAsia"/>
      <w:color w:val="FFFFFF" w:themeColor="background1"/>
      <w:sz w:val="32"/>
      <w:szCs w:val="32"/>
    </w:rPr>
  </w:style>
  <w:style w:type="character" w:styleId="CoverTitleBlueChar" w:customStyle="1">
    <w:name w:val="Cover Title Blue Char"/>
    <w:basedOn w:val="DefaultParagraphFont"/>
    <w:link w:val="CoverTitleBlue0"/>
    <w:uiPriority w:val="72"/>
    <w:semiHidden/>
    <w:qFormat/>
    <w:rsid w:val="00d74638"/>
    <w:rPr>
      <w:rFonts w:eastAsia="ＭＳ Ｐゴシック" w:cs="" w:cstheme="majorBidi" w:eastAsiaTheme="majorEastAsia"/>
      <w:b/>
      <w:color w:val="0A1F24" w:themeColor="text1"/>
      <w:sz w:val="78"/>
    </w:rPr>
  </w:style>
  <w:style w:type="character" w:styleId="CoverSubtitleBlueChar" w:customStyle="1">
    <w:name w:val="Cover Subtitle Blue Char"/>
    <w:basedOn w:val="DefaultParagraphFont"/>
    <w:link w:val="CoverSubtitleBlue0"/>
    <w:uiPriority w:val="70"/>
    <w:semiHidden/>
    <w:qFormat/>
    <w:rsid w:val="008e0863"/>
    <w:rPr>
      <w:rFonts w:eastAsia="ＭＳ Ｐゴシック" w:cs="" w:cstheme="majorBidi" w:eastAsiaTheme="majorEastAsia"/>
      <w:color w:val="0A1F24" w:themeColor="text1"/>
      <w:sz w:val="32"/>
    </w:rPr>
  </w:style>
  <w:style w:type="character" w:styleId="Heading6Char" w:customStyle="1">
    <w:name w:val="Heading 6 Char"/>
    <w:basedOn w:val="DefaultParagraphFont"/>
    <w:link w:val="Heading6"/>
    <w:uiPriority w:val="9"/>
    <w:semiHidden/>
    <w:qFormat/>
    <w:rsid w:val="0062279c"/>
    <w:rPr>
      <w:rFonts w:ascii="Arial" w:hAnsi="Arial" w:eastAsia="ＭＳ Ｐゴシック" w:cs="" w:asciiTheme="majorHAnsi" w:cstheme="majorBidi" w:eastAsiaTheme="majorEastAsia" w:hAnsiTheme="majorHAnsi"/>
      <w:color w:val="0D4264" w:themeColor="accent1" w:themeShade="7f"/>
    </w:rPr>
  </w:style>
  <w:style w:type="character" w:styleId="Heading7Char" w:customStyle="1">
    <w:name w:val="Heading 7 Char"/>
    <w:basedOn w:val="DefaultParagraphFont"/>
    <w:link w:val="Heading7"/>
    <w:uiPriority w:val="9"/>
    <w:semiHidden/>
    <w:qFormat/>
    <w:rsid w:val="0062279c"/>
    <w:rPr>
      <w:rFonts w:ascii="Arial" w:hAnsi="Arial" w:eastAsia="ＭＳ Ｐゴシック" w:cs="" w:asciiTheme="majorHAnsi" w:cstheme="majorBidi" w:eastAsiaTheme="majorEastAsia" w:hAnsiTheme="majorHAnsi"/>
      <w:i/>
      <w:iCs/>
      <w:color w:val="0D4264" w:themeColor="accent1" w:themeShade="7f"/>
    </w:rPr>
  </w:style>
  <w:style w:type="character" w:styleId="Heading8Char" w:customStyle="1">
    <w:name w:val="Heading 8 Char"/>
    <w:basedOn w:val="DefaultParagraphFont"/>
    <w:link w:val="Heading8"/>
    <w:uiPriority w:val="9"/>
    <w:semiHidden/>
    <w:qFormat/>
    <w:rsid w:val="0062279c"/>
    <w:rPr>
      <w:rFonts w:ascii="Arial" w:hAnsi="Arial" w:eastAsia="ＭＳ Ｐゴシック" w:cs="" w:asciiTheme="majorHAnsi" w:cstheme="majorBidi" w:eastAsiaTheme="majorEastAsia" w:hAnsiTheme="majorHAnsi"/>
      <w:color w:val="194E5B" w:themeColor="text1" w:themeTint="d8"/>
      <w:sz w:val="21"/>
      <w:szCs w:val="21"/>
    </w:rPr>
  </w:style>
  <w:style w:type="character" w:styleId="Heading9Char" w:customStyle="1">
    <w:name w:val="Heading 9 Char"/>
    <w:basedOn w:val="DefaultParagraphFont"/>
    <w:link w:val="Heading9"/>
    <w:uiPriority w:val="9"/>
    <w:semiHidden/>
    <w:qFormat/>
    <w:rsid w:val="0062279c"/>
    <w:rPr>
      <w:rFonts w:ascii="Arial" w:hAnsi="Arial" w:eastAsia="ＭＳ Ｐゴシック" w:cs="" w:asciiTheme="majorHAnsi" w:cstheme="majorBidi" w:eastAsiaTheme="majorEastAsia" w:hAnsiTheme="majorHAnsi"/>
      <w:i/>
      <w:iCs/>
      <w:color w:val="194E5B" w:themeColor="text1" w:themeTint="d8"/>
      <w:sz w:val="21"/>
      <w:szCs w:val="21"/>
    </w:rPr>
  </w:style>
  <w:style w:type="character" w:styleId="TOC1Char" w:customStyle="1">
    <w:name w:val="TOC 1 Char"/>
    <w:basedOn w:val="DefaultParagraphFont"/>
    <w:link w:val="TOC1"/>
    <w:uiPriority w:val="87"/>
    <w:qFormat/>
    <w:rsid w:val="00a42c3c"/>
    <w:rPr>
      <w:rFonts w:eastAsia="ＭＳ Ｐゴシック" w:cs="Arial" w:cstheme="minorHAnsi" w:eastAsiaTheme="majorEastAsia"/>
      <w:b/>
      <w:bCs/>
      <w:caps/>
    </w:rPr>
  </w:style>
  <w:style w:type="character" w:styleId="HighlightChar" w:customStyle="1">
    <w:name w:val="Highlight_Char"/>
    <w:basedOn w:val="DefaultParagraphFont"/>
    <w:uiPriority w:val="29"/>
    <w:qFormat/>
    <w:rsid w:val="00ce19ec"/>
    <w:rPr>
      <w:shd w:fill="FFFF00" w:val="clear"/>
    </w:rPr>
  </w:style>
  <w:style w:type="character" w:styleId="ClearFormattingChar" w:customStyle="1">
    <w:name w:val="Clear Formatting_Char"/>
    <w:basedOn w:val="DefaultParagraphFont"/>
    <w:qFormat/>
    <w:rsid w:val="00ce19ec"/>
    <w:rPr>
      <w:shd w:fill="FFFFFF" w:val="clear"/>
    </w:rPr>
  </w:style>
  <w:style w:type="character" w:styleId="CoverTitleblueChar1" w:customStyle="1">
    <w:name w:val="Cover Title blue Char"/>
    <w:basedOn w:val="DefaultParagraphFont"/>
    <w:link w:val="CoverTitleblue1"/>
    <w:uiPriority w:val="72"/>
    <w:semiHidden/>
    <w:qFormat/>
    <w:rsid w:val="00d74638"/>
    <w:rPr>
      <w:rFonts w:eastAsia="ＭＳ Ｐゴシック" w:cs="" w:cstheme="majorBidi" w:eastAsiaTheme="majorEastAsia"/>
      <w:b/>
      <w:color w:val="0A1F24" w:themeColor="text1"/>
      <w:sz w:val="78"/>
    </w:rPr>
  </w:style>
  <w:style w:type="character" w:styleId="CoverSubtitleblueChar1" w:customStyle="1">
    <w:name w:val="Cover Subtitle blue Char"/>
    <w:basedOn w:val="DefaultParagraphFont"/>
    <w:link w:val="CoverSubtitleblue1"/>
    <w:uiPriority w:val="70"/>
    <w:semiHidden/>
    <w:qFormat/>
    <w:rsid w:val="008e0863"/>
    <w:rPr>
      <w:rFonts w:eastAsia="ＭＳ Ｐゴシック" w:cs="" w:cstheme="majorBidi" w:eastAsiaTheme="majorEastAsia"/>
      <w:color w:val="0A1F24" w:themeColor="text1"/>
      <w:sz w:val="32"/>
    </w:rPr>
  </w:style>
  <w:style w:type="character" w:styleId="LeftParagraphChar" w:customStyle="1">
    <w:name w:val="Left Paragraph Char"/>
    <w:basedOn w:val="DefaultParagraphFont"/>
    <w:link w:val="LeftParagraph"/>
    <w:qFormat/>
    <w:rsid w:val="006e7165"/>
    <w:rPr>
      <w:rFonts w:eastAsia="ＭＳ Ｐゴシック" w:cs="" w:cstheme="majorBidi" w:eastAsiaTheme="majorEastAsia"/>
    </w:rPr>
  </w:style>
  <w:style w:type="character" w:styleId="CoverTitlewhiteChar1" w:customStyle="1">
    <w:name w:val="Cover Title white Char"/>
    <w:basedOn w:val="DefaultParagraphFont"/>
    <w:link w:val="CoverTitlewhite0"/>
    <w:uiPriority w:val="73"/>
    <w:semiHidden/>
    <w:qFormat/>
    <w:rsid w:val="00d74638"/>
    <w:rPr>
      <w:rFonts w:eastAsia="ＭＳ Ｐゴシック" w:cs="" w:cstheme="majorBidi" w:eastAsiaTheme="majorEastAsia"/>
      <w:b/>
      <w:color w:val="FFFFFF" w:themeColor="background1"/>
      <w:sz w:val="78"/>
      <w:szCs w:val="32"/>
    </w:rPr>
  </w:style>
  <w:style w:type="character" w:styleId="CoverSubtitleswhiteChar1" w:customStyle="1">
    <w:name w:val="Cover Subtitles white Char"/>
    <w:basedOn w:val="DefaultParagraphFont"/>
    <w:link w:val="CoverSubtitleswhite0"/>
    <w:uiPriority w:val="71"/>
    <w:semiHidden/>
    <w:qFormat/>
    <w:rsid w:val="008e0863"/>
    <w:rPr>
      <w:rFonts w:eastAsia="ＭＳ Ｐゴシック" w:cs="" w:cstheme="majorBidi" w:eastAsiaTheme="majorEastAsia"/>
      <w:color w:val="FFFFFF" w:themeColor="background1"/>
      <w:sz w:val="32"/>
      <w:szCs w:val="32"/>
    </w:rPr>
  </w:style>
  <w:style w:type="character" w:styleId="CoverTitleblueChar2" w:customStyle="1">
    <w:name w:val="+Cover Title blue Char"/>
    <w:basedOn w:val="DefaultParagraphFont"/>
    <w:link w:val="CoverTitleblue"/>
    <w:uiPriority w:val="99"/>
    <w:qFormat/>
    <w:rsid w:val="00e45b64"/>
    <w:rPr>
      <w:rFonts w:eastAsia="ＭＳ Ｐゴシック" w:cs="" w:cstheme="majorBidi" w:eastAsiaTheme="majorEastAsia"/>
      <w:b/>
      <w:color w:val="0A1F24" w:themeColor="text1"/>
      <w:sz w:val="78"/>
    </w:rPr>
  </w:style>
  <w:style w:type="character" w:styleId="CoverSubtitleblueChar2" w:customStyle="1">
    <w:name w:val="+Cover Subtitle blue Char"/>
    <w:basedOn w:val="DefaultParagraphFont"/>
    <w:link w:val="CoverSubtitleblue"/>
    <w:uiPriority w:val="99"/>
    <w:qFormat/>
    <w:rsid w:val="00e45b64"/>
    <w:rPr>
      <w:rFonts w:eastAsia="ＭＳ Ｐゴシック" w:cs="" w:cstheme="majorBidi" w:eastAsiaTheme="majorEastAsia"/>
      <w:color w:val="0A1F24" w:themeColor="text1"/>
      <w:sz w:val="32"/>
    </w:rPr>
  </w:style>
  <w:style w:type="character" w:styleId="CoverTitlewhiteChar2" w:customStyle="1">
    <w:name w:val="+Cover Title white Char"/>
    <w:basedOn w:val="DefaultParagraphFont"/>
    <w:link w:val="CoverTitlewhite1"/>
    <w:uiPriority w:val="99"/>
    <w:qFormat/>
    <w:rsid w:val="00392dc6"/>
    <w:rPr>
      <w:rFonts w:eastAsia="ＭＳ Ｐゴシック" w:cs="" w:cstheme="majorBidi" w:eastAsiaTheme="majorEastAsia"/>
      <w:b/>
      <w:color w:val="FFFFFF" w:themeColor="background1"/>
      <w:sz w:val="78"/>
      <w:szCs w:val="32"/>
    </w:rPr>
  </w:style>
  <w:style w:type="character" w:styleId="CoverSubtitleswhiteChar2" w:customStyle="1">
    <w:name w:val="+Cover Subtitles white Char"/>
    <w:basedOn w:val="DefaultParagraphFont"/>
    <w:link w:val="CoverSubtitleswhite1"/>
    <w:uiPriority w:val="99"/>
    <w:qFormat/>
    <w:rsid w:val="00e45b64"/>
    <w:rPr>
      <w:rFonts w:eastAsia="ＭＳ Ｐゴシック" w:cs="" w:cstheme="majorBidi" w:eastAsiaTheme="majorEastAsia"/>
      <w:color w:val="FFFFFF" w:themeColor="background1"/>
      <w:sz w:val="32"/>
      <w:szCs w:val="32"/>
    </w:rPr>
  </w:style>
  <w:style w:type="character" w:styleId="BalloonTextChar" w:customStyle="1">
    <w:name w:val="Balloon Text Char"/>
    <w:basedOn w:val="DefaultParagraphFont"/>
    <w:link w:val="BalloonText"/>
    <w:uiPriority w:val="99"/>
    <w:semiHidden/>
    <w:qFormat/>
    <w:rsid w:val="00451618"/>
    <w:rPr>
      <w:rFonts w:ascii="Lucida Grande" w:hAnsi="Lucida Grande" w:cs="Lucida Grande"/>
      <w:sz w:val="18"/>
      <w:szCs w:val="18"/>
    </w:rPr>
  </w:style>
  <w:style w:type="character" w:styleId="Annotationreference">
    <w:name w:val="annotation reference"/>
    <w:uiPriority w:val="99"/>
    <w:semiHidden/>
    <w:unhideWhenUsed/>
    <w:qFormat/>
    <w:rsid w:val="00f20327"/>
    <w:rPr>
      <w:sz w:val="16"/>
      <w:szCs w:val="16"/>
    </w:rPr>
  </w:style>
  <w:style w:type="character" w:styleId="CommentTextChar" w:customStyle="1">
    <w:name w:val="Comment Text Char"/>
    <w:basedOn w:val="DefaultParagraphFont"/>
    <w:link w:val="CommentText"/>
    <w:uiPriority w:val="99"/>
    <w:semiHidden/>
    <w:qFormat/>
    <w:rsid w:val="00f20327"/>
    <w:rPr>
      <w:rFonts w:ascii="Calibri" w:hAnsi="Calibri" w:eastAsia="Calibri" w:cs="Times New Roman"/>
      <w:sz w:val="20"/>
      <w:szCs w:val="20"/>
    </w:rPr>
  </w:style>
  <w:style w:type="character" w:styleId="CommentSubjectChar" w:customStyle="1">
    <w:name w:val="Comment Subject Char"/>
    <w:basedOn w:val="CommentTextChar"/>
    <w:link w:val="CommentSubject"/>
    <w:uiPriority w:val="99"/>
    <w:semiHidden/>
    <w:qFormat/>
    <w:rsid w:val="00f20327"/>
    <w:rPr>
      <w:rFonts w:ascii="Calibri" w:hAnsi="Calibri" w:eastAsia="Calibri" w:cs="Times New Roman"/>
      <w:b/>
      <w:bCs/>
      <w:sz w:val="20"/>
      <w:szCs w:val="20"/>
      <w:lang w:val="x-none" w:eastAsia="x-none"/>
    </w:rPr>
  </w:style>
  <w:style w:type="character" w:styleId="FollowedHyperlink">
    <w:name w:val="FollowedHyperlink"/>
    <w:uiPriority w:val="99"/>
    <w:semiHidden/>
    <w:unhideWhenUsed/>
    <w:qFormat/>
    <w:rsid w:val="00f20327"/>
    <w:rPr>
      <w:color w:val="800080"/>
      <w:u w:val="single"/>
    </w:rPr>
  </w:style>
  <w:style w:type="character" w:styleId="Strong">
    <w:name w:val="Strong"/>
    <w:basedOn w:val="DefaultParagraphFont"/>
    <w:uiPriority w:val="99"/>
    <w:semiHidden/>
    <w:qFormat/>
    <w:locked/>
    <w:rsid w:val="00f20327"/>
    <w:rPr>
      <w:b/>
      <w:bCs/>
    </w:rPr>
  </w:style>
  <w:style w:type="character" w:styleId="Betont">
    <w:name w:val="Betont"/>
    <w:basedOn w:val="DefaultParagraphFont"/>
    <w:uiPriority w:val="99"/>
    <w:semiHidden/>
    <w:qFormat/>
    <w:locked/>
    <w:rsid w:val="00f20327"/>
    <w:rPr>
      <w:i/>
      <w:iCs/>
    </w:rPr>
  </w:style>
  <w:style w:type="character" w:styleId="UnresolvedMention1" w:customStyle="1">
    <w:name w:val="Unresolved Mention1"/>
    <w:basedOn w:val="DefaultParagraphFont"/>
    <w:uiPriority w:val="99"/>
    <w:qFormat/>
    <w:rsid w:val="00e41bee"/>
    <w:rPr>
      <w:color w:val="808080"/>
      <w:shd w:fill="E6E6E6" w:val="clear"/>
    </w:rPr>
  </w:style>
  <w:style w:type="character" w:styleId="UnresolvedMention2" w:customStyle="1">
    <w:name w:val="Unresolved Mention2"/>
    <w:basedOn w:val="DefaultParagraphFont"/>
    <w:uiPriority w:val="99"/>
    <w:semiHidden/>
    <w:unhideWhenUsed/>
    <w:qFormat/>
    <w:rsid w:val="00e46b3e"/>
    <w:rPr>
      <w:color w:val="605E5C"/>
      <w:shd w:fill="E1DFDD" w:val="clear"/>
    </w:rPr>
  </w:style>
  <w:style w:type="character" w:styleId="UnresolvedMention" w:customStyle="1">
    <w:name w:val="Unresolved Mention"/>
    <w:basedOn w:val="DefaultParagraphFont"/>
    <w:uiPriority w:val="99"/>
    <w:semiHidden/>
    <w:unhideWhenUsed/>
    <w:qFormat/>
    <w:rsid w:val="00324f0a"/>
    <w:rPr>
      <w:color w:val="605E5C"/>
      <w:shd w:fill="E1DFDD" w:val="clear"/>
    </w:rPr>
  </w:style>
  <w:style w:type="character" w:styleId="ListLabel1">
    <w:name w:val="ListLabel 1"/>
    <w:qFormat/>
    <w:rPr>
      <w:color w:val="0D436C"/>
    </w:rPr>
  </w:style>
  <w:style w:type="character" w:styleId="ListLabel2">
    <w:name w:val="ListLabel 2"/>
    <w:qFormat/>
    <w:rPr>
      <w:b w:val="false"/>
      <w:bCs w:val="false"/>
      <w:i w:val="false"/>
      <w:iCs w:val="false"/>
    </w:rPr>
  </w:style>
  <w:style w:type="character" w:styleId="ListLabel3">
    <w:name w:val="ListLabel 3"/>
    <w:qFormat/>
    <w:rPr>
      <w:b w:val="false"/>
      <w:bCs w:val="false"/>
      <w:i w:val="false"/>
      <w:iCs w:val="false"/>
    </w:rPr>
  </w:style>
  <w:style w:type="character" w:styleId="ListLabel4">
    <w:name w:val="ListLabel 4"/>
    <w:qFormat/>
    <w:rPr>
      <w:b w:val="false"/>
      <w:bCs w:val="false"/>
      <w:i w:val="false"/>
      <w:iCs w:val="false"/>
    </w:rPr>
  </w:style>
  <w:style w:type="character" w:styleId="ListLabel5">
    <w:name w:val="ListLabel 5"/>
    <w:qFormat/>
    <w:rPr>
      <w:color w:val="0C3063"/>
    </w:rPr>
  </w:style>
  <w:style w:type="character" w:styleId="ListLabel6">
    <w:name w:val="ListLabel 6"/>
    <w:qFormat/>
    <w:rPr>
      <w:color w:val="0D436C"/>
    </w:rPr>
  </w:style>
  <w:style w:type="character" w:styleId="ListLabel7">
    <w:name w:val="ListLabel 7"/>
    <w:qFormat/>
    <w:rPr>
      <w:color w:val="0D436C"/>
    </w:rPr>
  </w:style>
  <w:style w:type="character" w:styleId="ListLabel8">
    <w:name w:val="ListLabel 8"/>
    <w:qFormat/>
    <w:rPr>
      <w:b w:val="false"/>
      <w:bCs w:val="false"/>
      <w:i w:val="false"/>
      <w:iCs w:val="false"/>
      <w:color w:val="0D436C"/>
    </w:rPr>
  </w:style>
  <w:style w:type="character" w:styleId="ListLabel9">
    <w:name w:val="ListLabel 9"/>
    <w:qFormat/>
    <w:rPr>
      <w:b w:val="false"/>
      <w:bCs w:val="false"/>
      <w:i w:val="false"/>
      <w:iCs w:val="false"/>
      <w:color w:val="0D436C"/>
    </w:rPr>
  </w:style>
  <w:style w:type="character" w:styleId="ListLabel10">
    <w:name w:val="ListLabel 10"/>
    <w:qFormat/>
    <w:rPr>
      <w:b w:val="false"/>
      <w:bCs w:val="false"/>
      <w:i w:val="false"/>
      <w:iCs w:val="false"/>
      <w:color w:val="0D436C"/>
    </w:rPr>
  </w:style>
  <w:style w:type="character" w:styleId="ListLabel11">
    <w:name w:val="ListLabel 11"/>
    <w:qFormat/>
    <w:rPr>
      <w:color w:val="0D436C"/>
    </w:rPr>
  </w:style>
  <w:style w:type="character" w:styleId="ListLabel12">
    <w:name w:val="ListLabel 12"/>
    <w:qFormat/>
    <w:rPr>
      <w:color w:val="0D436C"/>
    </w:rPr>
  </w:style>
  <w:style w:type="character" w:styleId="ListLabel13">
    <w:name w:val="ListLabel 13"/>
    <w:qFormat/>
    <w:rPr>
      <w:color w:val="0D436C"/>
    </w:rPr>
  </w:style>
  <w:style w:type="character" w:styleId="ListLabel14">
    <w:name w:val="ListLabel 14"/>
    <w:qFormat/>
    <w:rPr>
      <w:b w:val="false"/>
      <w:bCs w:val="false"/>
      <w:i w:val="false"/>
      <w:iCs w:val="false"/>
    </w:rPr>
  </w:style>
  <w:style w:type="character" w:styleId="ListLabel15">
    <w:name w:val="ListLabel 15"/>
    <w:qFormat/>
    <w:rPr>
      <w:b w:val="false"/>
      <w:bCs w:val="false"/>
      <w:i w:val="false"/>
      <w:iCs w:val="false"/>
    </w:rPr>
  </w:style>
  <w:style w:type="character" w:styleId="ListLabel16">
    <w:name w:val="ListLabel 16"/>
    <w:qFormat/>
    <w:rPr>
      <w:b w:val="false"/>
      <w:bCs w:val="false"/>
      <w:i w:val="false"/>
      <w:iCs w:val="false"/>
    </w:rPr>
  </w:style>
  <w:style w:type="character" w:styleId="ListLabel17">
    <w:name w:val="ListLabel 17"/>
    <w:qFormat/>
    <w:rPr>
      <w:rFonts w:eastAsia="Arial" w:cs="Arial"/>
    </w:rPr>
  </w:style>
  <w:style w:type="character" w:styleId="ListLabel18">
    <w:name w:val="ListLabel 18"/>
    <w:qFormat/>
    <w:rPr>
      <w:rFonts w:eastAsia="Source Sans Pro" w:cs="Source Sans Pro"/>
    </w:rPr>
  </w:style>
  <w:style w:type="character" w:styleId="ListLabel19">
    <w:name w:val="ListLabel 19"/>
    <w:qFormat/>
    <w:rPr>
      <w:rFonts w:eastAsia="Source Sans Pro" w:cs="Source Sans Pro"/>
    </w:rPr>
  </w:style>
  <w:style w:type="character" w:styleId="ListLabel20">
    <w:name w:val="ListLabel 20"/>
    <w:qFormat/>
    <w:rPr>
      <w:rFonts w:eastAsia="Source Sans Pro" w:cs="Source Sans Pro"/>
      <w:b w:val="false"/>
      <w:i w:val="false"/>
    </w:rPr>
  </w:style>
  <w:style w:type="character" w:styleId="ListLabel21">
    <w:name w:val="ListLabel 21"/>
    <w:qFormat/>
    <w:rPr>
      <w:rFonts w:eastAsia="Source Sans Pro" w:cs="Source Sans Pro"/>
      <w:b w:val="false"/>
      <w:i w:val="false"/>
    </w:rPr>
  </w:style>
  <w:style w:type="character" w:styleId="ListLabel22">
    <w:name w:val="ListLabel 22"/>
    <w:qFormat/>
    <w:rPr>
      <w:rFonts w:eastAsia="Source Sans Pro" w:cs="Source Sans Pro"/>
      <w:b w:val="false"/>
      <w:i w:val="false"/>
    </w:rPr>
  </w:style>
  <w:style w:type="character" w:styleId="ListLabel23">
    <w:name w:val="ListLabel 23"/>
    <w:qFormat/>
    <w:rPr>
      <w:rFonts w:eastAsia="Source Sans Pro Light" w:cs="Source Sans Pro Light"/>
    </w:rPr>
  </w:style>
  <w:style w:type="character" w:styleId="ListLabel24">
    <w:name w:val="ListLabel 24"/>
    <w:qFormat/>
    <w:rPr>
      <w:rFonts w:eastAsia="Source Sans Pro Light" w:cs="Source Sans Pro Light"/>
    </w:rPr>
  </w:style>
  <w:style w:type="character" w:styleId="ListLabel25">
    <w:name w:val="ListLabel 25"/>
    <w:qFormat/>
    <w:rPr>
      <w:rFonts w:eastAsia="Source Sans Pro Light" w:cs="Source Sans Pro Light"/>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eastAsia="Arial" w:cs="Arial"/>
      <w:color w:val="333333"/>
      <w:sz w:val="21"/>
      <w:szCs w:val="21"/>
      <w:u w:val="none"/>
    </w:rPr>
  </w:style>
  <w:style w:type="character" w:styleId="ListLabel33">
    <w:name w:val="ListLabel 33"/>
    <w:qFormat/>
    <w:rPr>
      <w:rFonts w:eastAsia="Arial" w:cs="Arial"/>
      <w:color w:val="333333"/>
      <w:sz w:val="21"/>
      <w:szCs w:val="21"/>
      <w:u w:val="none"/>
    </w:rPr>
  </w:style>
  <w:style w:type="character" w:styleId="ListLabel34">
    <w:name w:val="ListLabel 34"/>
    <w:qFormat/>
    <w:rPr>
      <w:u w:val="none"/>
    </w:rPr>
  </w:style>
  <w:style w:type="character" w:styleId="ListLabel35">
    <w:name w:val="ListLabel 35"/>
    <w:qFormat/>
    <w:rPr>
      <w:u w:val="none"/>
    </w:rPr>
  </w:style>
  <w:style w:type="character" w:styleId="ListLabel36">
    <w:name w:val="ListLabel 36"/>
    <w:qFormat/>
    <w:rPr>
      <w:u w:val="none"/>
    </w:rPr>
  </w:style>
  <w:style w:type="character" w:styleId="ListLabel37">
    <w:name w:val="ListLabel 37"/>
    <w:qFormat/>
    <w:rPr>
      <w:u w:val="none"/>
    </w:rPr>
  </w:style>
  <w:style w:type="character" w:styleId="ListLabel38">
    <w:name w:val="ListLabel 38"/>
    <w:qFormat/>
    <w:rPr>
      <w:u w:val="none"/>
    </w:rPr>
  </w:style>
  <w:style w:type="character" w:styleId="ListLabel39">
    <w:name w:val="ListLabel 39"/>
    <w:qFormat/>
    <w:rPr>
      <w:u w:val="none"/>
    </w:rPr>
  </w:style>
  <w:style w:type="character" w:styleId="ListLabel40">
    <w:name w:val="ListLabel 40"/>
    <w:qFormat/>
    <w:rPr>
      <w:u w:val="none"/>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Courier New"/>
    </w:rPr>
  </w:style>
  <w:style w:type="character" w:styleId="ListLabel53">
    <w:name w:val="ListLabel 53"/>
    <w:qFormat/>
    <w:rPr>
      <w:rFonts w:cs="Courier New"/>
    </w:rPr>
  </w:style>
  <w:style w:type="character" w:styleId="ListLabel54">
    <w:name w:val="ListLabel 54"/>
    <w:qFormat/>
    <w:rPr>
      <w:rFonts w:cs="Courier New"/>
    </w:rPr>
  </w:style>
  <w:style w:type="character" w:styleId="ListLabel55">
    <w:name w:val="ListLabel 55"/>
    <w:qFormat/>
    <w:rPr>
      <w:rFonts w:cs="Courier New"/>
    </w:rPr>
  </w:style>
  <w:style w:type="character" w:styleId="ListLabel56">
    <w:name w:val="ListLabel 56"/>
    <w:qFormat/>
    <w:rPr>
      <w:rFonts w:cs="Courier New"/>
    </w:rPr>
  </w:style>
  <w:style w:type="character" w:styleId="ListLabel57">
    <w:name w:val="ListLabel 57"/>
    <w:qFormat/>
    <w:rPr>
      <w:rFonts w:cs="Courier New"/>
    </w:rPr>
  </w:style>
  <w:style w:type="character" w:styleId="ListLabel58">
    <w:name w:val="ListLabel 58"/>
    <w:qFormat/>
    <w:rPr>
      <w:rFonts w:cs="Courier New"/>
    </w:rPr>
  </w:style>
  <w:style w:type="character" w:styleId="ListLabel59">
    <w:name w:val="ListLabel 59"/>
    <w:qFormat/>
    <w:rPr>
      <w:rFonts w:eastAsia="Times New Roman" w:cs="Arial"/>
    </w:rPr>
  </w:style>
  <w:style w:type="character" w:styleId="ListLabel60">
    <w:name w:val="ListLabel 60"/>
    <w:qFormat/>
    <w:rPr>
      <w:rFonts w:cs="Courier New"/>
    </w:rPr>
  </w:style>
  <w:style w:type="character" w:styleId="ListLabel61">
    <w:name w:val="ListLabel 61"/>
    <w:qFormat/>
    <w:rPr>
      <w:rFonts w:cs="Courier New"/>
    </w:rPr>
  </w:style>
  <w:style w:type="character" w:styleId="ListLabel62">
    <w:name w:val="ListLabel 62"/>
    <w:qFormat/>
    <w:rPr>
      <w:rFonts w:cs="Courier New"/>
    </w:rPr>
  </w:style>
  <w:style w:type="character" w:styleId="ListLabel63">
    <w:name w:val="ListLabel 63"/>
    <w:qFormat/>
    <w:rPr>
      <w:rFonts w:eastAsia="MS Mincho"/>
      <w:color w:val="0A1F24"/>
    </w:rPr>
  </w:style>
  <w:style w:type="character" w:styleId="ListLabel64">
    <w:name w:val="ListLabel 64"/>
    <w:qFormat/>
    <w:rPr>
      <w:rFonts w:cs="Courier New"/>
    </w:rPr>
  </w:style>
  <w:style w:type="character" w:styleId="ListLabel65">
    <w:name w:val="ListLabel 65"/>
    <w:qFormat/>
    <w:rPr>
      <w:rFonts w:cs="Courier New"/>
    </w:rPr>
  </w:style>
  <w:style w:type="character" w:styleId="ListLabel66">
    <w:name w:val="ListLabel 66"/>
    <w:qFormat/>
    <w:rPr>
      <w:rFonts w:cs="Courier New"/>
    </w:rPr>
  </w:style>
  <w:style w:type="character" w:styleId="ListLabel67">
    <w:name w:val="ListLabel 67"/>
    <w:qFormat/>
    <w:rPr>
      <w:u w:val="none"/>
    </w:rPr>
  </w:style>
  <w:style w:type="character" w:styleId="ListLabel68">
    <w:name w:val="ListLabel 68"/>
    <w:qFormat/>
    <w:rPr>
      <w:u w:val="none"/>
    </w:rPr>
  </w:style>
  <w:style w:type="character" w:styleId="ListLabel69">
    <w:name w:val="ListLabel 69"/>
    <w:qFormat/>
    <w:rPr>
      <w:u w:val="none"/>
    </w:rPr>
  </w:style>
  <w:style w:type="character" w:styleId="ListLabel70">
    <w:name w:val="ListLabel 70"/>
    <w:qFormat/>
    <w:rPr>
      <w:u w:val="none"/>
    </w:rPr>
  </w:style>
  <w:style w:type="character" w:styleId="ListLabel71">
    <w:name w:val="ListLabel 71"/>
    <w:qFormat/>
    <w:rPr>
      <w:u w:val="none"/>
    </w:rPr>
  </w:style>
  <w:style w:type="character" w:styleId="ListLabel72">
    <w:name w:val="ListLabel 72"/>
    <w:qFormat/>
    <w:rPr>
      <w:u w:val="none"/>
    </w:rPr>
  </w:style>
  <w:style w:type="character" w:styleId="ListLabel73">
    <w:name w:val="ListLabel 73"/>
    <w:qFormat/>
    <w:rPr>
      <w:u w:val="none"/>
    </w:rPr>
  </w:style>
  <w:style w:type="character" w:styleId="ListLabel74">
    <w:name w:val="ListLabel 74"/>
    <w:qFormat/>
    <w:rPr>
      <w:u w:val="none"/>
    </w:rPr>
  </w:style>
  <w:style w:type="character" w:styleId="ListLabel75">
    <w:name w:val="ListLabel 75"/>
    <w:qFormat/>
    <w:rPr>
      <w:u w:val="none"/>
    </w:rPr>
  </w:style>
  <w:style w:type="character" w:styleId="ListLabel76">
    <w:name w:val="ListLabel 76"/>
    <w:qFormat/>
    <w:rPr>
      <w:u w:val="none"/>
    </w:rPr>
  </w:style>
  <w:style w:type="character" w:styleId="ListLabel77">
    <w:name w:val="ListLabel 77"/>
    <w:qFormat/>
    <w:rPr>
      <w:u w:val="none"/>
    </w:rPr>
  </w:style>
  <w:style w:type="character" w:styleId="ListLabel78">
    <w:name w:val="ListLabel 78"/>
    <w:qFormat/>
    <w:rPr>
      <w:u w:val="none"/>
    </w:rPr>
  </w:style>
  <w:style w:type="character" w:styleId="ListLabel79">
    <w:name w:val="ListLabel 79"/>
    <w:qFormat/>
    <w:rPr>
      <w:u w:val="none"/>
    </w:rPr>
  </w:style>
  <w:style w:type="character" w:styleId="ListLabel80">
    <w:name w:val="ListLabel 80"/>
    <w:qFormat/>
    <w:rPr>
      <w:u w:val="none"/>
    </w:rPr>
  </w:style>
  <w:style w:type="character" w:styleId="ListLabel81">
    <w:name w:val="ListLabel 81"/>
    <w:qFormat/>
    <w:rPr>
      <w:u w:val="none"/>
    </w:rPr>
  </w:style>
  <w:style w:type="character" w:styleId="ListLabel82">
    <w:name w:val="ListLabel 82"/>
    <w:qFormat/>
    <w:rPr>
      <w:u w:val="none"/>
    </w:rPr>
  </w:style>
  <w:style w:type="character" w:styleId="ListLabel83">
    <w:name w:val="ListLabel 83"/>
    <w:qFormat/>
    <w:rPr>
      <w:u w:val="none"/>
    </w:rPr>
  </w:style>
  <w:style w:type="character" w:styleId="ListLabel84">
    <w:name w:val="ListLabel 84"/>
    <w:qFormat/>
    <w:rPr>
      <w:u w:val="none"/>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zeile">
    <w:name w:val="Header"/>
    <w:link w:val="HeaderChar"/>
    <w:uiPriority w:val="99"/>
    <w:rsid w:val="0045687c"/>
    <w:pPr>
      <w:widowControl w:val="false"/>
      <w:tabs>
        <w:tab w:val="center" w:pos="4680" w:leader="none"/>
        <w:tab w:val="right" w:pos="9360" w:leader="none"/>
      </w:tabs>
      <w:spacing w:before="160" w:after="440"/>
      <w:jc w:val="center"/>
    </w:pPr>
    <w:rPr>
      <w:rFonts w:ascii="Arial" w:hAnsi="Arial" w:eastAsia="Arial" w:cs="" w:asciiTheme="minorHAnsi" w:cstheme="minorBidi" w:eastAsiaTheme="minorHAnsi" w:hAnsiTheme="minorHAnsi"/>
      <w:color w:val="auto"/>
      <w:sz w:val="22"/>
      <w:szCs w:val="22"/>
      <w:lang w:val="en-US" w:eastAsia="en-US" w:bidi="ar-SA"/>
    </w:rPr>
  </w:style>
  <w:style w:type="paragraph" w:styleId="Fuzeile">
    <w:name w:val="Footer"/>
    <w:link w:val="FooterChar"/>
    <w:uiPriority w:val="99"/>
    <w:rsid w:val="00fa5e5e"/>
    <w:pPr>
      <w:widowControl w:val="false"/>
      <w:ind w:right="-46" w:hanging="0"/>
    </w:pPr>
    <w:rPr>
      <w:rFonts w:ascii="Arial" w:hAnsi="Arial" w:cs="Arial" w:eastAsia="Arial" w:asciiTheme="minorHAnsi" w:eastAsiaTheme="minorHAnsi" w:hAnsiTheme="minorHAnsi"/>
      <w:caps/>
      <w:color w:val="auto"/>
      <w:sz w:val="18"/>
      <w:szCs w:val="18"/>
      <w:lang w:val="en-US" w:eastAsia="en-US" w:bidi="ar-SA"/>
    </w:rPr>
  </w:style>
  <w:style w:type="paragraph" w:styleId="Subheadings" w:customStyle="1">
    <w:name w:val="Subheadings"/>
    <w:uiPriority w:val="39"/>
    <w:qFormat/>
    <w:rsid w:val="00ee1f4f"/>
    <w:pPr>
      <w:widowControl w:val="false"/>
      <w:tabs>
        <w:tab w:val="left" w:pos="1595" w:leader="none"/>
      </w:tabs>
    </w:pPr>
    <w:rPr>
      <w:rFonts w:eastAsia="ＭＳ Ｐゴシック" w:eastAsiaTheme="minorEastAsia" w:ascii="Arial" w:hAnsi="Arial" w:cs=""/>
      <w:b/>
      <w:caps/>
      <w:color w:val="0D436C" w:themeColor="accent2"/>
      <w:sz w:val="24"/>
      <w:szCs w:val="28"/>
      <w:lang w:val="en-US" w:eastAsia="en-US" w:bidi="ar-SA"/>
    </w:rPr>
  </w:style>
  <w:style w:type="paragraph" w:styleId="CoverTitleblue" w:customStyle="1">
    <w:name w:val="+Cover Title blue"/>
    <w:link w:val="CoverTitleblueChar"/>
    <w:uiPriority w:val="99"/>
    <w:qFormat/>
    <w:rsid w:val="00aa6f3d"/>
    <w:pPr>
      <w:widowControl w:val="false"/>
    </w:pPr>
    <w:rPr>
      <w:rFonts w:ascii="Arial" w:hAnsi="Arial" w:eastAsia="Arial" w:cs=""/>
      <w:b/>
      <w:color w:val="0A1F24" w:themeColor="text1"/>
      <w:sz w:val="78"/>
      <w:szCs w:val="22"/>
      <w:lang w:val="en-US" w:eastAsia="en-US" w:bidi="ar-SA"/>
    </w:rPr>
  </w:style>
  <w:style w:type="paragraph" w:styleId="Footnotetext">
    <w:name w:val="footnote text"/>
    <w:link w:val="FootnoteTextChar"/>
    <w:uiPriority w:val="84"/>
    <w:qFormat/>
    <w:rsid w:val="004003ce"/>
    <w:pPr>
      <w:widowControl/>
      <w:bidi w:val="0"/>
      <w:jc w:val="left"/>
    </w:pPr>
    <w:rPr>
      <w:rFonts w:eastAsia="ＭＳ Ｐゴシック" w:eastAsiaTheme="minorEastAsia" w:ascii="Arial" w:hAnsi="Arial" w:cs=""/>
      <w:color w:val="808080" w:themeColor="background1" w:themeShade="80"/>
      <w:sz w:val="18"/>
      <w:szCs w:val="22"/>
      <w:lang w:val="en-US" w:eastAsia="en-US" w:bidi="ar-SA"/>
    </w:rPr>
  </w:style>
  <w:style w:type="paragraph" w:styleId="NumList1" w:customStyle="1">
    <w:name w:val="NumList 1"/>
    <w:basedOn w:val="Normal"/>
    <w:uiPriority w:val="99"/>
    <w:semiHidden/>
    <w:qFormat/>
    <w:rsid w:val="00ee1f4f"/>
    <w:pPr>
      <w:ind w:left="360" w:hanging="360"/>
    </w:pPr>
    <w:rPr>
      <w:rFonts w:eastAsia="Times New Roman" w:cs="Times New Roman"/>
    </w:rPr>
  </w:style>
  <w:style w:type="paragraph" w:styleId="NumList2" w:customStyle="1">
    <w:name w:val="NumList 2"/>
    <w:basedOn w:val="Normal"/>
    <w:uiPriority w:val="99"/>
    <w:semiHidden/>
    <w:qFormat/>
    <w:rsid w:val="00ee1f4f"/>
    <w:pPr/>
    <w:rPr>
      <w:rFonts w:eastAsia="Times New Roman" w:cs="Arial" w:cstheme="minorHAnsi"/>
    </w:rPr>
  </w:style>
  <w:style w:type="paragraph" w:styleId="NumList3" w:customStyle="1">
    <w:name w:val="NumList 3"/>
    <w:basedOn w:val="Normal"/>
    <w:uiPriority w:val="99"/>
    <w:semiHidden/>
    <w:qFormat/>
    <w:rsid w:val="00ee1f4f"/>
    <w:pPr/>
    <w:rPr>
      <w:rFonts w:eastAsia="Times New Roman" w:cs="Times New Roman"/>
    </w:rPr>
  </w:style>
  <w:style w:type="paragraph" w:styleId="NumList4" w:customStyle="1">
    <w:name w:val="NumList 4"/>
    <w:basedOn w:val="Normal"/>
    <w:uiPriority w:val="99"/>
    <w:semiHidden/>
    <w:qFormat/>
    <w:rsid w:val="00ee1f4f"/>
    <w:pPr/>
    <w:rPr>
      <w:rFonts w:eastAsia="Times New Roman" w:cs="Times New Roman"/>
    </w:rPr>
  </w:style>
  <w:style w:type="paragraph" w:styleId="NumList5" w:customStyle="1">
    <w:name w:val="NumList 5"/>
    <w:basedOn w:val="Normal"/>
    <w:uiPriority w:val="50"/>
    <w:semiHidden/>
    <w:qFormat/>
    <w:rsid w:val="00ee1f4f"/>
    <w:pPr/>
    <w:rPr>
      <w:rFonts w:eastAsia="Times New Roman" w:cs="Times New Roman"/>
    </w:rPr>
  </w:style>
  <w:style w:type="paragraph" w:styleId="ListNumber6" w:customStyle="1">
    <w:name w:val="List Number 6"/>
    <w:basedOn w:val="Normal"/>
    <w:uiPriority w:val="64"/>
    <w:qFormat/>
    <w:rsid w:val="00ee1f4f"/>
    <w:pPr/>
    <w:rPr>
      <w:rFonts w:eastAsia="Times New Roman" w:cs="Times New Roman"/>
    </w:rPr>
  </w:style>
  <w:style w:type="paragraph" w:styleId="ListNumber7" w:customStyle="1">
    <w:name w:val="List Number 7"/>
    <w:basedOn w:val="Normal"/>
    <w:uiPriority w:val="64"/>
    <w:qFormat/>
    <w:rsid w:val="00ee1f4f"/>
    <w:pPr/>
    <w:rPr>
      <w:rFonts w:eastAsia="Times New Roman" w:cs="Times New Roman"/>
    </w:rPr>
  </w:style>
  <w:style w:type="paragraph" w:styleId="ListNumber8" w:customStyle="1">
    <w:name w:val="List Number 8"/>
    <w:basedOn w:val="Normal"/>
    <w:uiPriority w:val="64"/>
    <w:qFormat/>
    <w:rsid w:val="00ee1f4f"/>
    <w:pPr/>
    <w:rPr>
      <w:rFonts w:eastAsia="Times New Roman" w:cs="Times New Roman"/>
    </w:rPr>
  </w:style>
  <w:style w:type="paragraph" w:styleId="ListNumber9" w:customStyle="1">
    <w:name w:val="List Number 9"/>
    <w:basedOn w:val="Normal"/>
    <w:uiPriority w:val="64"/>
    <w:qFormat/>
    <w:rsid w:val="00ee1f4f"/>
    <w:pPr/>
    <w:rPr>
      <w:rFonts w:eastAsia="Times New Roman" w:cs="Times New Roman"/>
    </w:rPr>
  </w:style>
  <w:style w:type="paragraph" w:styleId="Bullet1" w:customStyle="1">
    <w:name w:val="Bullet 1"/>
    <w:basedOn w:val="Normal"/>
    <w:uiPriority w:val="99"/>
    <w:semiHidden/>
    <w:qFormat/>
    <w:rsid w:val="00ee1f4f"/>
    <w:pPr>
      <w:ind w:left="360" w:hanging="360"/>
    </w:pPr>
    <w:rPr>
      <w:rFonts w:eastAsia="ＭＳ Ｐゴシック" w:cs="" w:cstheme="majorBidi" w:eastAsiaTheme="majorEastAsia"/>
    </w:rPr>
  </w:style>
  <w:style w:type="paragraph" w:styleId="Bullet2" w:customStyle="1">
    <w:name w:val="Bullet 2"/>
    <w:basedOn w:val="Normal"/>
    <w:uiPriority w:val="99"/>
    <w:semiHidden/>
    <w:qFormat/>
    <w:rsid w:val="00ee1f4f"/>
    <w:pPr>
      <w:ind w:left="720" w:hanging="360"/>
    </w:pPr>
    <w:rPr>
      <w:rFonts w:eastAsia="ＭＳ Ｐゴシック" w:cs="" w:cstheme="majorBidi" w:eastAsiaTheme="majorEastAsia"/>
    </w:rPr>
  </w:style>
  <w:style w:type="paragraph" w:styleId="Bullet3" w:customStyle="1">
    <w:name w:val="Bullet 3"/>
    <w:basedOn w:val="Normal"/>
    <w:uiPriority w:val="99"/>
    <w:semiHidden/>
    <w:qFormat/>
    <w:rsid w:val="00ee1f4f"/>
    <w:pPr>
      <w:ind w:left="1080" w:hanging="360"/>
    </w:pPr>
    <w:rPr>
      <w:rFonts w:eastAsia="ＭＳ Ｐゴシック" w:cs="" w:cstheme="majorBidi" w:eastAsiaTheme="majorEastAsia"/>
    </w:rPr>
  </w:style>
  <w:style w:type="paragraph" w:styleId="Bullet4" w:customStyle="1">
    <w:name w:val="Bullet 4"/>
    <w:basedOn w:val="Normal"/>
    <w:uiPriority w:val="99"/>
    <w:semiHidden/>
    <w:qFormat/>
    <w:rsid w:val="00ee1f4f"/>
    <w:pPr>
      <w:ind w:left="1440" w:hanging="360"/>
    </w:pPr>
    <w:rPr>
      <w:rFonts w:eastAsia="ＭＳ Ｐゴシック" w:cs="" w:cstheme="majorBidi" w:eastAsiaTheme="majorEastAsia"/>
    </w:rPr>
  </w:style>
  <w:style w:type="paragraph" w:styleId="Bullet5" w:customStyle="1">
    <w:name w:val="Bullet 5"/>
    <w:basedOn w:val="Normal"/>
    <w:uiPriority w:val="99"/>
    <w:semiHidden/>
    <w:qFormat/>
    <w:rsid w:val="00ee1f4f"/>
    <w:pPr>
      <w:ind w:left="1800" w:hanging="360"/>
    </w:pPr>
    <w:rPr>
      <w:rFonts w:eastAsia="ＭＳ Ｐゴシック" w:cs="" w:cstheme="majorBidi" w:eastAsiaTheme="majorEastAsia"/>
    </w:rPr>
  </w:style>
  <w:style w:type="paragraph" w:styleId="Bullet6" w:customStyle="1">
    <w:name w:val="Bullet 6"/>
    <w:basedOn w:val="Normal"/>
    <w:uiPriority w:val="99"/>
    <w:semiHidden/>
    <w:qFormat/>
    <w:rsid w:val="00ee1f4f"/>
    <w:pPr/>
    <w:rPr>
      <w:rFonts w:eastAsia="ＭＳ Ｐゴシック" w:cs="" w:cstheme="majorBidi" w:eastAsiaTheme="majorEastAsia"/>
    </w:rPr>
  </w:style>
  <w:style w:type="paragraph" w:styleId="ListBullet7" w:customStyle="1">
    <w:name w:val="List Bullet 7"/>
    <w:uiPriority w:val="59"/>
    <w:qFormat/>
    <w:rsid w:val="00fd714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ListBullet8" w:customStyle="1">
    <w:name w:val="List Bullet 8"/>
    <w:uiPriority w:val="59"/>
    <w:qFormat/>
    <w:rsid w:val="00fd714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ListBullet9" w:customStyle="1">
    <w:name w:val="List Bullet 9"/>
    <w:uiPriority w:val="59"/>
    <w:qFormat/>
    <w:rsid w:val="00fd714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ListNumberSimpleIRoman" w:customStyle="1">
    <w:name w:val="List Number Simple_I (Roman)"/>
    <w:uiPriority w:val="69"/>
    <w:qFormat/>
    <w:rsid w:val="00ee1f4f"/>
    <w:pPr>
      <w:widowControl w:val="false"/>
    </w:pPr>
    <w:rPr>
      <w:rFonts w:eastAsia="Times New Roman" w:cs="Times New Roman" w:ascii="Arial" w:hAnsi="Arial" w:asciiTheme="minorHAnsi" w:hAnsiTheme="minorHAnsi"/>
      <w:color w:val="auto"/>
      <w:sz w:val="22"/>
      <w:szCs w:val="22"/>
      <w:lang w:val="en-US" w:eastAsia="en-US" w:bidi="ar-SA"/>
    </w:rPr>
  </w:style>
  <w:style w:type="paragraph" w:styleId="ListNumberSimple" w:customStyle="1">
    <w:name w:val="List Number Simple"/>
    <w:uiPriority w:val="19"/>
    <w:qFormat/>
    <w:rsid w:val="00ee1f4f"/>
    <w:pPr>
      <w:widowControl w:val="false"/>
    </w:pPr>
    <w:rPr>
      <w:rFonts w:eastAsia="Times New Roman" w:cs="Times New Roman" w:ascii="Arial" w:hAnsi="Arial" w:asciiTheme="minorHAnsi" w:hAnsiTheme="minorHAnsi"/>
      <w:color w:val="auto"/>
      <w:sz w:val="22"/>
      <w:szCs w:val="22"/>
      <w:lang w:val="en-US" w:eastAsia="en-US" w:bidi="ar-SA"/>
    </w:rPr>
  </w:style>
  <w:style w:type="paragraph" w:styleId="ListBulletSimple" w:customStyle="1">
    <w:name w:val="List Bullet Simple"/>
    <w:uiPriority w:val="14"/>
    <w:qFormat/>
    <w:rsid w:val="00ee1f4f"/>
    <w:pPr>
      <w:widowControl w:val="false"/>
    </w:pPr>
    <w:rPr>
      <w:rFonts w:eastAsia="Times New Roman" w:cs="Times New Roman" w:ascii="Arial" w:hAnsi="Arial" w:asciiTheme="minorHAnsi" w:hAnsiTheme="minorHAnsi"/>
      <w:color w:val="auto"/>
      <w:sz w:val="22"/>
      <w:szCs w:val="22"/>
      <w:lang w:val="en-US" w:eastAsia="en-US" w:bidi="ar-SA"/>
    </w:rPr>
  </w:style>
  <w:style w:type="paragraph" w:styleId="Titel">
    <w:name w:val="Title"/>
    <w:link w:val="TitleChar"/>
    <w:uiPriority w:val="34"/>
    <w:qFormat/>
    <w:rsid w:val="004003ce"/>
    <w:pPr>
      <w:widowControl w:val="false"/>
      <w:pBdr>
        <w:bottom w:val="single" w:sz="4" w:space="1" w:color="1A87C9"/>
      </w:pBdr>
      <w:tabs>
        <w:tab w:val="left" w:pos="1595" w:leader="none"/>
      </w:tabs>
      <w:spacing w:before="0" w:after="220"/>
    </w:pPr>
    <w:rPr>
      <w:rFonts w:ascii="Arial" w:hAnsi="Arial" w:eastAsia="ＭＳ Ｐゴシック" w:asciiTheme="majorHAnsi" w:eastAsiaTheme="minorEastAsia" w:hAnsiTheme="majorHAnsi" w:cs=""/>
      <w:color w:val="1768B1" w:themeColor="accent6"/>
      <w:sz w:val="64"/>
      <w:szCs w:val="24"/>
      <w:lang w:val="en-US" w:eastAsia="en-US" w:bidi="ar-SA"/>
    </w:rPr>
  </w:style>
  <w:style w:type="paragraph" w:styleId="TOCHeading">
    <w:name w:val="TOC Heading"/>
    <w:basedOn w:val="Berschrift1"/>
    <w:uiPriority w:val="86"/>
    <w:unhideWhenUsed/>
    <w:qFormat/>
    <w:rsid w:val="00d75228"/>
    <w:pPr>
      <w:numPr>
        <w:ilvl w:val="0"/>
        <w:numId w:val="0"/>
      </w:numPr>
      <w:spacing w:lineRule="auto" w:line="276" w:before="240" w:after="0"/>
      <w:ind w:left="720" w:hanging="720"/>
    </w:pPr>
    <w:rPr>
      <w:caps/>
      <w:color w:val="136496" w:themeColor="accent1" w:themeShade="bf"/>
      <w:sz w:val="28"/>
      <w:szCs w:val="28"/>
    </w:rPr>
  </w:style>
  <w:style w:type="paragraph" w:styleId="Inhaltsverzeichnis1">
    <w:name w:val="TOC 1"/>
    <w:link w:val="TOC1Char"/>
    <w:autoRedefine/>
    <w:uiPriority w:val="39"/>
    <w:rsid w:val="00a42c3c"/>
    <w:pPr>
      <w:widowControl w:val="false"/>
      <w:pBdr>
        <w:bottom w:val="single" w:sz="12" w:space="1" w:color="00000A"/>
      </w:pBdr>
      <w:tabs>
        <w:tab w:val="left" w:pos="360" w:leader="none"/>
        <w:tab w:val="right" w:pos="9010" w:leader="none"/>
      </w:tabs>
      <w:spacing w:before="240" w:after="120"/>
      <w:ind w:left="360" w:right="360" w:hanging="360"/>
    </w:pPr>
    <w:rPr>
      <w:rFonts w:cs="Arial" w:cstheme="minorHAnsi" w:ascii="Arial" w:hAnsi="Arial" w:eastAsia="Arial"/>
      <w:b/>
      <w:bCs/>
      <w:caps/>
      <w:color w:val="auto"/>
      <w:sz w:val="22"/>
      <w:szCs w:val="22"/>
      <w:lang w:val="en-US" w:eastAsia="en-US" w:bidi="ar-SA"/>
    </w:rPr>
  </w:style>
  <w:style w:type="paragraph" w:styleId="Inhaltsverzeichnis2">
    <w:name w:val="TOC 2"/>
    <w:autoRedefine/>
    <w:uiPriority w:val="39"/>
    <w:rsid w:val="00a42c3c"/>
    <w:pPr>
      <w:widowControl w:val="false"/>
      <w:tabs>
        <w:tab w:val="left" w:pos="360" w:leader="none"/>
        <w:tab w:val="right" w:pos="9010" w:leader="none"/>
      </w:tabs>
    </w:pPr>
    <w:rPr>
      <w:rFonts w:cs="Arial" w:cstheme="minorHAnsi" w:ascii="Arial" w:hAnsi="Arial" w:eastAsia="Arial"/>
      <w:b/>
      <w:bCs/>
      <w:color w:val="auto"/>
      <w:sz w:val="22"/>
      <w:szCs w:val="22"/>
      <w:lang w:val="en-US" w:eastAsia="en-US" w:bidi="ar-SA"/>
    </w:rPr>
  </w:style>
  <w:style w:type="paragraph" w:styleId="Inhaltsverzeichnis3">
    <w:name w:val="TOC 3"/>
    <w:autoRedefine/>
    <w:uiPriority w:val="39"/>
    <w:rsid w:val="00a42c3c"/>
    <w:pPr>
      <w:widowControl w:val="false"/>
      <w:tabs>
        <w:tab w:val="left" w:pos="360" w:leader="none"/>
        <w:tab w:val="right" w:pos="9010" w:leader="none"/>
      </w:tabs>
    </w:pPr>
    <w:rPr>
      <w:rFonts w:cs="Arial" w:cstheme="minorHAnsi" w:ascii="Arial" w:hAnsi="Arial" w:eastAsia="Arial"/>
      <w:color w:val="auto"/>
      <w:sz w:val="22"/>
      <w:szCs w:val="22"/>
      <w:lang w:val="en-US" w:eastAsia="en-US" w:bidi="ar-SA"/>
    </w:rPr>
  </w:style>
  <w:style w:type="paragraph" w:styleId="Inhaltsverzeichnis4">
    <w:name w:val="TOC 4"/>
    <w:basedOn w:val="Normal"/>
    <w:next w:val="Normal"/>
    <w:autoRedefine/>
    <w:uiPriority w:val="39"/>
    <w:rsid w:val="005a2c38"/>
    <w:pPr/>
    <w:rPr>
      <w:rFonts w:cs="Arial" w:cstheme="minorHAnsi"/>
    </w:rPr>
  </w:style>
  <w:style w:type="paragraph" w:styleId="Inhaltsverzeichnis5">
    <w:name w:val="TOC 5"/>
    <w:basedOn w:val="Normal"/>
    <w:next w:val="Normal"/>
    <w:autoRedefine/>
    <w:uiPriority w:val="39"/>
    <w:rsid w:val="005a2c38"/>
    <w:pPr/>
    <w:rPr>
      <w:rFonts w:cs="Arial" w:cstheme="minorHAnsi"/>
    </w:rPr>
  </w:style>
  <w:style w:type="paragraph" w:styleId="Inhaltsverzeichnis6">
    <w:name w:val="TOC 6"/>
    <w:basedOn w:val="Normal"/>
    <w:next w:val="Normal"/>
    <w:autoRedefine/>
    <w:uiPriority w:val="39"/>
    <w:rsid w:val="005a2c38"/>
    <w:pPr/>
    <w:rPr>
      <w:rFonts w:cs="Arial" w:cstheme="minorHAnsi"/>
    </w:rPr>
  </w:style>
  <w:style w:type="paragraph" w:styleId="Inhaltsverzeichnis7">
    <w:name w:val="TOC 7"/>
    <w:basedOn w:val="Normal"/>
    <w:next w:val="Normal"/>
    <w:autoRedefine/>
    <w:uiPriority w:val="39"/>
    <w:rsid w:val="005a2c38"/>
    <w:pPr/>
    <w:rPr>
      <w:rFonts w:cs="Arial" w:cstheme="minorHAnsi"/>
    </w:rPr>
  </w:style>
  <w:style w:type="paragraph" w:styleId="Inhaltsverzeichnis8">
    <w:name w:val="TOC 8"/>
    <w:basedOn w:val="Normal"/>
    <w:next w:val="Normal"/>
    <w:autoRedefine/>
    <w:uiPriority w:val="39"/>
    <w:rsid w:val="005a2c38"/>
    <w:pPr/>
    <w:rPr>
      <w:rFonts w:cs="Arial" w:cstheme="minorHAnsi"/>
    </w:rPr>
  </w:style>
  <w:style w:type="paragraph" w:styleId="Inhaltsverzeichnis9">
    <w:name w:val="TOC 9"/>
    <w:basedOn w:val="Normal"/>
    <w:next w:val="Normal"/>
    <w:autoRedefine/>
    <w:uiPriority w:val="39"/>
    <w:rsid w:val="005a2c38"/>
    <w:pPr/>
    <w:rPr>
      <w:rFonts w:cs="Arial" w:cstheme="minorHAnsi"/>
    </w:rPr>
  </w:style>
  <w:style w:type="paragraph" w:styleId="FooterSpacer" w:customStyle="1">
    <w:name w:val="Footer Spacer"/>
    <w:uiPriority w:val="82"/>
    <w:qFormat/>
    <w:rsid w:val="007b3f58"/>
    <w:pPr>
      <w:widowControl w:val="false"/>
    </w:pPr>
    <w:rPr>
      <w:rFonts w:ascii="Arial" w:hAnsi="Arial" w:eastAsia="Arial" w:cs="" w:asciiTheme="minorHAnsi" w:cstheme="minorBidi" w:eastAsiaTheme="minorHAnsi" w:hAnsiTheme="minorHAnsi"/>
      <w:color w:val="auto"/>
      <w:sz w:val="2"/>
      <w:szCs w:val="22"/>
      <w:lang w:val="en-US" w:eastAsia="en-US" w:bidi="ar-SA"/>
    </w:rPr>
  </w:style>
  <w:style w:type="paragraph" w:styleId="CoverSubtitleblue" w:customStyle="1">
    <w:name w:val="+Cover Subtitle blue"/>
    <w:link w:val="CoverSubtitleblueChar"/>
    <w:uiPriority w:val="99"/>
    <w:qFormat/>
    <w:rsid w:val="00aa6f3d"/>
    <w:pPr>
      <w:widowControl w:val="false"/>
    </w:pPr>
    <w:rPr>
      <w:rFonts w:ascii="Arial" w:hAnsi="Arial" w:eastAsia="Arial" w:cs=""/>
      <w:color w:val="0A1F24" w:themeColor="text1"/>
      <w:sz w:val="32"/>
      <w:szCs w:val="22"/>
      <w:lang w:val="en-US" w:eastAsia="en-US" w:bidi="ar-SA"/>
    </w:rPr>
  </w:style>
  <w:style w:type="paragraph" w:styleId="CoverTitleWhite" w:customStyle="1">
    <w:name w:val="Cover Title White"/>
    <w:basedOn w:val="Normal"/>
    <w:link w:val="CoverTitleWhiteChar"/>
    <w:uiPriority w:val="73"/>
    <w:semiHidden/>
    <w:qFormat/>
    <w:rsid w:val="00b9693e"/>
    <w:pPr/>
    <w:rPr>
      <w:rFonts w:eastAsia="ＭＳ Ｐゴシック" w:cs="" w:cstheme="majorBidi" w:eastAsiaTheme="majorEastAsia"/>
      <w:b/>
      <w:color w:val="FFFFFF" w:themeColor="background1"/>
      <w:sz w:val="78"/>
      <w:szCs w:val="32"/>
    </w:rPr>
  </w:style>
  <w:style w:type="paragraph" w:styleId="CoverSubtitlesWhite" w:customStyle="1">
    <w:name w:val="Cover Subtitles White"/>
    <w:basedOn w:val="Normal"/>
    <w:link w:val="CoverSubtitlesWhiteChar"/>
    <w:uiPriority w:val="71"/>
    <w:semiHidden/>
    <w:qFormat/>
    <w:rsid w:val="00b9693e"/>
    <w:pPr/>
    <w:rPr>
      <w:rFonts w:eastAsia="ＭＳ Ｐゴシック" w:cs="" w:cstheme="majorBidi" w:eastAsiaTheme="majorEastAsia"/>
      <w:color w:val="FFFFFF" w:themeColor="background1"/>
      <w:sz w:val="32"/>
      <w:szCs w:val="32"/>
    </w:rPr>
  </w:style>
  <w:style w:type="paragraph" w:styleId="CoverTitleBlue1" w:customStyle="1">
    <w:name w:val="Cover Title Blue"/>
    <w:basedOn w:val="Normal"/>
    <w:link w:val="CoverTitleBlueChar0"/>
    <w:uiPriority w:val="72"/>
    <w:semiHidden/>
    <w:qFormat/>
    <w:rsid w:val="00b9693e"/>
    <w:pPr/>
    <w:rPr>
      <w:rFonts w:eastAsia="ＭＳ Ｐゴシック" w:cs="" w:cstheme="majorBidi" w:eastAsiaTheme="majorEastAsia"/>
      <w:b/>
      <w:color w:val="0A1F24" w:themeColor="text1"/>
      <w:sz w:val="78"/>
    </w:rPr>
  </w:style>
  <w:style w:type="paragraph" w:styleId="CoverSubtitleBlue1" w:customStyle="1">
    <w:name w:val="Cover Subtitle Blue"/>
    <w:link w:val="CoverSubtitleBlueChar0"/>
    <w:uiPriority w:val="70"/>
    <w:semiHidden/>
    <w:qFormat/>
    <w:rsid w:val="007b3f58"/>
    <w:pPr>
      <w:widowControl w:val="false"/>
    </w:pPr>
    <w:rPr>
      <w:rFonts w:ascii="Arial" w:hAnsi="Arial" w:eastAsia="Arial" w:cs="" w:asciiTheme="minorHAnsi" w:cstheme="minorBidi" w:eastAsiaTheme="minorHAnsi" w:hAnsiTheme="minorHAnsi"/>
      <w:color w:val="auto"/>
      <w:sz w:val="22"/>
      <w:szCs w:val="22"/>
      <w:lang w:val="en-US" w:eastAsia="en-US" w:bidi="ar-SA"/>
    </w:rPr>
  </w:style>
  <w:style w:type="paragraph" w:styleId="FooterICANN3spacing" w:customStyle="1">
    <w:name w:val="Footer ICANN .3 spacing"/>
    <w:basedOn w:val="Fuzeile"/>
    <w:uiPriority w:val="80"/>
    <w:qFormat/>
    <w:rsid w:val="003d162c"/>
    <w:pPr/>
    <w:rPr>
      <w:spacing w:val="6"/>
    </w:rPr>
  </w:style>
  <w:style w:type="paragraph" w:styleId="Heading1No" w:customStyle="1">
    <w:name w:val="Heading 1 No #"/>
    <w:basedOn w:val="Berschrift1"/>
    <w:uiPriority w:val="37"/>
    <w:qFormat/>
    <w:rsid w:val="003a6319"/>
    <w:pPr>
      <w:numPr>
        <w:ilvl w:val="0"/>
        <w:numId w:val="0"/>
      </w:numPr>
      <w:ind w:left="720" w:hanging="720"/>
    </w:pPr>
    <w:rPr/>
  </w:style>
  <w:style w:type="paragraph" w:styleId="Heading2No" w:customStyle="1">
    <w:name w:val="Heading 2 No #"/>
    <w:basedOn w:val="Berschrift2"/>
    <w:uiPriority w:val="37"/>
    <w:qFormat/>
    <w:rsid w:val="0062279c"/>
    <w:pPr>
      <w:numPr>
        <w:ilvl w:val="0"/>
        <w:numId w:val="0"/>
      </w:numPr>
      <w:ind w:left="1260" w:hanging="1260"/>
    </w:pPr>
    <w:rPr/>
  </w:style>
  <w:style w:type="paragraph" w:styleId="Heading3No" w:customStyle="1">
    <w:name w:val="Heading 3 No #"/>
    <w:basedOn w:val="Berschrift3"/>
    <w:uiPriority w:val="37"/>
    <w:qFormat/>
    <w:rsid w:val="0062279c"/>
    <w:pPr>
      <w:numPr>
        <w:ilvl w:val="0"/>
        <w:numId w:val="0"/>
      </w:numPr>
      <w:ind w:left="1260" w:hanging="1260"/>
    </w:pPr>
    <w:rPr/>
  </w:style>
  <w:style w:type="paragraph" w:styleId="Heading4No" w:customStyle="1">
    <w:name w:val="Heading 4 No #"/>
    <w:basedOn w:val="Berschrift4"/>
    <w:uiPriority w:val="37"/>
    <w:qFormat/>
    <w:rsid w:val="0062279c"/>
    <w:pPr>
      <w:numPr>
        <w:ilvl w:val="0"/>
        <w:numId w:val="0"/>
      </w:numPr>
      <w:ind w:left="1620" w:hanging="1620"/>
    </w:pPr>
    <w:rPr/>
  </w:style>
  <w:style w:type="paragraph" w:styleId="Heading5No" w:customStyle="1">
    <w:name w:val="Heading 5 No #"/>
    <w:basedOn w:val="Berschrift5"/>
    <w:uiPriority w:val="37"/>
    <w:qFormat/>
    <w:rsid w:val="0062279c"/>
    <w:pPr>
      <w:numPr>
        <w:ilvl w:val="0"/>
        <w:numId w:val="0"/>
      </w:numPr>
      <w:ind w:left="1620" w:hanging="1620"/>
    </w:pPr>
    <w:rPr/>
  </w:style>
  <w:style w:type="paragraph" w:styleId="FooterNotCaps" w:customStyle="1">
    <w:name w:val="Footer Not Caps"/>
    <w:basedOn w:val="Fuzeile"/>
    <w:uiPriority w:val="81"/>
    <w:qFormat/>
    <w:rsid w:val="00fa5e5e"/>
    <w:pPr/>
    <w:rPr>
      <w:caps w:val="false"/>
      <w:smallCaps w:val="false"/>
    </w:rPr>
  </w:style>
  <w:style w:type="paragraph" w:styleId="ListBullet">
    <w:name w:val="List Bullet"/>
    <w:basedOn w:val="Bullet1"/>
    <w:uiPriority w:val="59"/>
    <w:qFormat/>
    <w:rsid w:val="00fd7148"/>
    <w:pPr/>
    <w:rPr/>
  </w:style>
  <w:style w:type="paragraph" w:styleId="ListBullet2">
    <w:name w:val="List Bullet 2"/>
    <w:basedOn w:val="Bullet2"/>
    <w:uiPriority w:val="59"/>
    <w:qFormat/>
    <w:rsid w:val="00fd7148"/>
    <w:pPr/>
    <w:rPr/>
  </w:style>
  <w:style w:type="paragraph" w:styleId="ListBullet3">
    <w:name w:val="List Bullet 3"/>
    <w:basedOn w:val="Bullet3"/>
    <w:uiPriority w:val="59"/>
    <w:qFormat/>
    <w:rsid w:val="00fd7148"/>
    <w:pPr/>
    <w:rPr/>
  </w:style>
  <w:style w:type="paragraph" w:styleId="ListBullet4">
    <w:name w:val="List Bullet 4"/>
    <w:basedOn w:val="Bullet4"/>
    <w:uiPriority w:val="59"/>
    <w:qFormat/>
    <w:rsid w:val="00fd7148"/>
    <w:pPr/>
    <w:rPr/>
  </w:style>
  <w:style w:type="paragraph" w:styleId="ListBullet5">
    <w:name w:val="List Bullet 5"/>
    <w:basedOn w:val="Bullet5"/>
    <w:uiPriority w:val="59"/>
    <w:qFormat/>
    <w:rsid w:val="00fd7148"/>
    <w:pPr/>
    <w:rPr/>
  </w:style>
  <w:style w:type="paragraph" w:styleId="ListNumber">
    <w:name w:val="List Number"/>
    <w:basedOn w:val="NumList1"/>
    <w:uiPriority w:val="64"/>
    <w:qFormat/>
    <w:rsid w:val="00ee53af"/>
    <w:pPr/>
    <w:rPr/>
  </w:style>
  <w:style w:type="paragraph" w:styleId="ListNumber2">
    <w:name w:val="List Number 2"/>
    <w:basedOn w:val="NumList2"/>
    <w:uiPriority w:val="64"/>
    <w:qFormat/>
    <w:rsid w:val="006f4e38"/>
    <w:pPr/>
    <w:rPr/>
  </w:style>
  <w:style w:type="paragraph" w:styleId="ListNumber3">
    <w:name w:val="List Number 3"/>
    <w:basedOn w:val="NumList3"/>
    <w:uiPriority w:val="64"/>
    <w:qFormat/>
    <w:rsid w:val="006f4e38"/>
    <w:pPr/>
    <w:rPr/>
  </w:style>
  <w:style w:type="paragraph" w:styleId="ListNumber4">
    <w:name w:val="List Number 4"/>
    <w:basedOn w:val="NumList4"/>
    <w:uiPriority w:val="64"/>
    <w:qFormat/>
    <w:rsid w:val="006f4e38"/>
    <w:pPr/>
    <w:rPr/>
  </w:style>
  <w:style w:type="paragraph" w:styleId="ListNumber5">
    <w:name w:val="List Number 5"/>
    <w:basedOn w:val="NumList5"/>
    <w:uiPriority w:val="64"/>
    <w:qFormat/>
    <w:rsid w:val="006f4e38"/>
    <w:pPr/>
    <w:rPr/>
  </w:style>
  <w:style w:type="paragraph" w:styleId="ListParagraph">
    <w:name w:val="List Paragraph"/>
    <w:basedOn w:val="Normal"/>
    <w:uiPriority w:val="34"/>
    <w:qFormat/>
    <w:rsid w:val="00dd3b07"/>
    <w:pPr>
      <w:spacing w:before="0" w:after="0"/>
      <w:ind w:left="720" w:hanging="0"/>
      <w:contextualSpacing/>
    </w:pPr>
    <w:rPr/>
  </w:style>
  <w:style w:type="paragraph" w:styleId="Bullet7" w:customStyle="1">
    <w:name w:val="Bullet 7"/>
    <w:basedOn w:val="Normal"/>
    <w:uiPriority w:val="99"/>
    <w:semiHidden/>
    <w:qFormat/>
    <w:rsid w:val="00ee1f4f"/>
    <w:pPr>
      <w:ind w:left="2520" w:hanging="360"/>
    </w:pPr>
    <w:rPr>
      <w:rFonts w:eastAsia="ＭＳ Ｐゴシック" w:cs="" w:cstheme="majorBidi" w:eastAsiaTheme="majorEastAsia"/>
    </w:rPr>
  </w:style>
  <w:style w:type="paragraph" w:styleId="Bullet8" w:customStyle="1">
    <w:name w:val="Bullet 8"/>
    <w:basedOn w:val="Normal"/>
    <w:uiPriority w:val="99"/>
    <w:semiHidden/>
    <w:qFormat/>
    <w:rsid w:val="00ee1f4f"/>
    <w:pPr>
      <w:ind w:left="2880" w:hanging="360"/>
    </w:pPr>
    <w:rPr>
      <w:rFonts w:eastAsia="ＭＳ Ｐゴシック" w:cs="" w:cstheme="majorBidi" w:eastAsiaTheme="majorEastAsia"/>
    </w:rPr>
  </w:style>
  <w:style w:type="paragraph" w:styleId="Bullet9" w:customStyle="1">
    <w:name w:val="Bullet 9"/>
    <w:basedOn w:val="Normal"/>
    <w:uiPriority w:val="99"/>
    <w:semiHidden/>
    <w:qFormat/>
    <w:rsid w:val="00ee1f4f"/>
    <w:pPr>
      <w:ind w:left="3240" w:hanging="360"/>
    </w:pPr>
    <w:rPr>
      <w:rFonts w:eastAsia="ＭＳ Ｐゴシック" w:cs="" w:cstheme="majorBidi" w:eastAsiaTheme="majorEastAsia"/>
    </w:rPr>
  </w:style>
  <w:style w:type="paragraph" w:styleId="ListBullet6" w:customStyle="1">
    <w:name w:val="List Bullet 6"/>
    <w:basedOn w:val="Bullet6"/>
    <w:uiPriority w:val="59"/>
    <w:qFormat/>
    <w:rsid w:val="00fd7148"/>
    <w:pPr/>
    <w:rPr/>
  </w:style>
  <w:style w:type="paragraph" w:styleId="Indent1Paragraph" w:customStyle="1">
    <w:name w:val="Indent 1 Paragraph"/>
    <w:uiPriority w:val="9"/>
    <w:qFormat/>
    <w:rsid w:val="00ee1f4f"/>
    <w:pPr>
      <w:widowControl w:val="false"/>
      <w:ind w:left="720" w:hanging="0"/>
    </w:pPr>
    <w:rPr>
      <w:rFonts w:ascii="Arial" w:hAnsi="Arial" w:eastAsia="Arial" w:cs="" w:asciiTheme="minorHAnsi" w:cstheme="minorBidi" w:eastAsiaTheme="minorHAnsi" w:hAnsiTheme="minorHAnsi"/>
      <w:color w:val="auto"/>
      <w:sz w:val="22"/>
      <w:szCs w:val="22"/>
      <w:lang w:val="en-US" w:eastAsia="en-US" w:bidi="ar-SA"/>
    </w:rPr>
  </w:style>
  <w:style w:type="paragraph" w:styleId="Indent2Paragraph" w:customStyle="1">
    <w:name w:val="Indent 2 Paragraph"/>
    <w:uiPriority w:val="9"/>
    <w:qFormat/>
    <w:rsid w:val="00ee1f4f"/>
    <w:pPr>
      <w:widowControl w:val="false"/>
      <w:ind w:left="1080" w:hanging="0"/>
    </w:pPr>
    <w:rPr>
      <w:rFonts w:ascii="Arial" w:hAnsi="Arial" w:eastAsia="Arial" w:cs="" w:asciiTheme="minorHAnsi" w:cstheme="minorBidi" w:eastAsiaTheme="minorHAnsi" w:hAnsiTheme="minorHAnsi"/>
      <w:color w:val="auto"/>
      <w:sz w:val="22"/>
      <w:szCs w:val="22"/>
      <w:lang w:val="en-US" w:eastAsia="en-US" w:bidi="ar-SA"/>
    </w:rPr>
  </w:style>
  <w:style w:type="paragraph" w:styleId="CoverTitleblue2" w:customStyle="1">
    <w:name w:val="Cover Title blue"/>
    <w:basedOn w:val="Normal"/>
    <w:link w:val="CoverTitleblueChar1"/>
    <w:uiPriority w:val="72"/>
    <w:semiHidden/>
    <w:qFormat/>
    <w:rsid w:val="006e7165"/>
    <w:pPr/>
    <w:rPr>
      <w:rFonts w:eastAsia="ＭＳ Ｐゴシック" w:cs="" w:cstheme="majorBidi" w:eastAsiaTheme="majorEastAsia"/>
      <w:b/>
      <w:color w:val="0A1F24" w:themeColor="text1"/>
      <w:sz w:val="78"/>
    </w:rPr>
  </w:style>
  <w:style w:type="paragraph" w:styleId="CoverSubtitleblue2" w:customStyle="1">
    <w:name w:val="Cover Subtitle blue"/>
    <w:basedOn w:val="Normal"/>
    <w:link w:val="CoverSubtitleblueChar1"/>
    <w:uiPriority w:val="70"/>
    <w:semiHidden/>
    <w:qFormat/>
    <w:rsid w:val="006e7165"/>
    <w:pPr/>
    <w:rPr>
      <w:rFonts w:eastAsia="ＭＳ Ｐゴシック" w:cs="" w:cstheme="majorBidi" w:eastAsiaTheme="majorEastAsia"/>
      <w:color w:val="0A1F24" w:themeColor="text1"/>
      <w:sz w:val="32"/>
    </w:rPr>
  </w:style>
  <w:style w:type="paragraph" w:styleId="LeftParagraph" w:customStyle="1">
    <w:name w:val="Left Paragraph"/>
    <w:link w:val="LeftParagraphChar"/>
    <w:qFormat/>
    <w:rsid w:val="006e7165"/>
    <w:pPr>
      <w:widowControl/>
      <w:bidi w:val="0"/>
      <w:jc w:val="left"/>
    </w:pPr>
    <w:rPr>
      <w:rFonts w:eastAsia="ＭＳ Ｐゴシック" w:cs="" w:cstheme="majorBidi" w:eastAsiaTheme="majorEastAsia" w:ascii="Arial" w:hAnsi="Arial"/>
      <w:color w:val="auto"/>
      <w:sz w:val="22"/>
      <w:szCs w:val="22"/>
      <w:lang w:val="en-US" w:eastAsia="en-US" w:bidi="ar-SA"/>
    </w:rPr>
  </w:style>
  <w:style w:type="paragraph" w:styleId="CoverTitlewhite1" w:customStyle="1">
    <w:name w:val="Cover Title white"/>
    <w:basedOn w:val="Normal"/>
    <w:link w:val="CoverTitlewhiteChar0"/>
    <w:uiPriority w:val="73"/>
    <w:semiHidden/>
    <w:qFormat/>
    <w:rsid w:val="00da4d19"/>
    <w:pPr/>
    <w:rPr>
      <w:rFonts w:eastAsia="ＭＳ Ｐゴシック" w:cs="" w:cstheme="majorBidi" w:eastAsiaTheme="majorEastAsia"/>
      <w:b/>
      <w:color w:val="FFFFFF" w:themeColor="background1"/>
      <w:sz w:val="78"/>
      <w:szCs w:val="32"/>
    </w:rPr>
  </w:style>
  <w:style w:type="paragraph" w:styleId="CoverSubtitleswhite1" w:customStyle="1">
    <w:name w:val="Cover Subtitles white"/>
    <w:basedOn w:val="Normal"/>
    <w:link w:val="CoverSubtitleswhiteChar0"/>
    <w:uiPriority w:val="71"/>
    <w:semiHidden/>
    <w:qFormat/>
    <w:rsid w:val="00da4d19"/>
    <w:pPr/>
    <w:rPr>
      <w:rFonts w:eastAsia="ＭＳ Ｐゴシック" w:cs="" w:cstheme="majorBidi" w:eastAsiaTheme="majorEastAsia"/>
      <w:color w:val="FFFFFF" w:themeColor="background1"/>
      <w:sz w:val="32"/>
      <w:szCs w:val="32"/>
    </w:rPr>
  </w:style>
  <w:style w:type="paragraph" w:styleId="CoverTitlewhite2" w:customStyle="1">
    <w:name w:val="+Cover Title white"/>
    <w:basedOn w:val="LeftParagraph"/>
    <w:link w:val="CoverTitlewhiteChar1"/>
    <w:uiPriority w:val="99"/>
    <w:qFormat/>
    <w:rsid w:val="007253a8"/>
    <w:pPr/>
    <w:rPr>
      <w:b/>
      <w:color w:val="FFFFFF" w:themeColor="background1"/>
      <w:sz w:val="78"/>
      <w:szCs w:val="32"/>
    </w:rPr>
  </w:style>
  <w:style w:type="paragraph" w:styleId="CoverSubtitleswhite2" w:customStyle="1">
    <w:name w:val="+Cover Subtitles white"/>
    <w:basedOn w:val="LeftParagraph"/>
    <w:link w:val="CoverSubtitleswhiteChar1"/>
    <w:uiPriority w:val="99"/>
    <w:qFormat/>
    <w:rsid w:val="007253a8"/>
    <w:pPr/>
    <w:rPr>
      <w:color w:val="FFFFFF" w:themeColor="background1"/>
      <w:sz w:val="32"/>
      <w:szCs w:val="32"/>
    </w:rPr>
  </w:style>
  <w:style w:type="paragraph" w:styleId="RightParagraph" w:customStyle="1">
    <w:name w:val="Right Paragraph"/>
    <w:basedOn w:val="LeftParagraph"/>
    <w:uiPriority w:val="5"/>
    <w:qFormat/>
    <w:rsid w:val="00d033ab"/>
    <w:pPr>
      <w:jc w:val="right"/>
    </w:pPr>
    <w:rPr/>
  </w:style>
  <w:style w:type="paragraph" w:styleId="JustifiedParagraph" w:customStyle="1">
    <w:name w:val="Justified Paragraph"/>
    <w:basedOn w:val="LeftParagraph"/>
    <w:uiPriority w:val="6"/>
    <w:qFormat/>
    <w:rsid w:val="00d033ab"/>
    <w:pPr>
      <w:jc w:val="both"/>
    </w:pPr>
    <w:rPr/>
  </w:style>
  <w:style w:type="paragraph" w:styleId="CenteredParagraph" w:customStyle="1">
    <w:name w:val="Centered Paragraph"/>
    <w:basedOn w:val="LeftParagraph"/>
    <w:uiPriority w:val="7"/>
    <w:qFormat/>
    <w:rsid w:val="00d033ab"/>
    <w:pPr>
      <w:jc w:val="center"/>
    </w:pPr>
    <w:rPr/>
  </w:style>
  <w:style w:type="paragraph" w:styleId="BalloonText">
    <w:name w:val="Balloon Text"/>
    <w:basedOn w:val="Normal"/>
    <w:link w:val="BalloonTextChar"/>
    <w:uiPriority w:val="99"/>
    <w:semiHidden/>
    <w:unhideWhenUsed/>
    <w:qFormat/>
    <w:rsid w:val="00451618"/>
    <w:pPr/>
    <w:rPr>
      <w:rFonts w:ascii="Lucida Grande" w:hAnsi="Lucida Grande" w:cs="Lucida Grande"/>
      <w:sz w:val="18"/>
      <w:szCs w:val="18"/>
    </w:rPr>
  </w:style>
  <w:style w:type="paragraph" w:styleId="NormalWeb">
    <w:name w:val="Normal (Web)"/>
    <w:basedOn w:val="Normal"/>
    <w:uiPriority w:val="99"/>
    <w:unhideWhenUsed/>
    <w:qFormat/>
    <w:rsid w:val="00f20327"/>
    <w:pPr>
      <w:spacing w:beforeAutospacing="1" w:afterAutospacing="1"/>
    </w:pPr>
    <w:rPr>
      <w:rFonts w:ascii="Times New Roman" w:hAnsi="Times New Roman" w:eastAsia="Times New Roman" w:cs="Times New Roman"/>
      <w:sz w:val="24"/>
      <w:szCs w:val="24"/>
    </w:rPr>
  </w:style>
  <w:style w:type="paragraph" w:styleId="Annotationtext">
    <w:name w:val="annotation text"/>
    <w:basedOn w:val="Normal"/>
    <w:link w:val="CommentTextChar"/>
    <w:uiPriority w:val="99"/>
    <w:semiHidden/>
    <w:unhideWhenUsed/>
    <w:qFormat/>
    <w:rsid w:val="00f20327"/>
    <w:pPr>
      <w:spacing w:lineRule="auto" w:line="276" w:before="0" w:after="200"/>
    </w:pPr>
    <w:rPr>
      <w:rFonts w:ascii="Calibri" w:hAnsi="Calibri" w:eastAsia="Calibri" w:cs="Times New Roman"/>
      <w:sz w:val="20"/>
      <w:szCs w:val="20"/>
    </w:rPr>
  </w:style>
  <w:style w:type="paragraph" w:styleId="Annotationsubject">
    <w:name w:val="annotation subject"/>
    <w:basedOn w:val="Annotationtext"/>
    <w:link w:val="CommentSubjectChar"/>
    <w:uiPriority w:val="99"/>
    <w:semiHidden/>
    <w:unhideWhenUsed/>
    <w:qFormat/>
    <w:rsid w:val="00f20327"/>
    <w:pPr/>
    <w:rPr>
      <w:b/>
      <w:bCs/>
      <w:lang w:val="x-none" w:eastAsia="x-none"/>
    </w:rPr>
  </w:style>
  <w:style w:type="paragraph" w:styleId="Revision">
    <w:name w:val="Revision"/>
    <w:uiPriority w:val="71"/>
    <w:qFormat/>
    <w:rsid w:val="00f20327"/>
    <w:pPr>
      <w:widowControl/>
      <w:bidi w:val="0"/>
      <w:jc w:val="left"/>
    </w:pPr>
    <w:rPr>
      <w:rFonts w:ascii="Calibri" w:hAnsi="Calibri" w:eastAsia="Calibri" w:cs="Times New Roman"/>
      <w:color w:val="auto"/>
      <w:sz w:val="22"/>
      <w:szCs w:val="22"/>
      <w:lang w:val="en-US" w:eastAsia="en-US" w:bidi="ar-SA"/>
    </w:rPr>
  </w:style>
  <w:style w:type="paragraph" w:styleId="NoSpacing">
    <w:name w:val="No Spacing"/>
    <w:uiPriority w:val="99"/>
    <w:semiHidden/>
    <w:qFormat/>
    <w:locked/>
    <w:rsid w:val="00f20327"/>
    <w:pPr>
      <w:widowControl/>
      <w:bidi w:val="0"/>
      <w:jc w:val="left"/>
    </w:pPr>
    <w:rPr>
      <w:rFonts w:ascii="Arial" w:hAnsi="Arial" w:eastAsia="Arial" w:cs="" w:asciiTheme="minorHAnsi" w:cstheme="minorBidi" w:eastAsiaTheme="minorHAnsi" w:hAnsiTheme="minorHAnsi"/>
      <w:color w:val="auto"/>
      <w:sz w:val="22"/>
      <w:szCs w:val="22"/>
      <w:lang w:val="en-US" w:eastAsia="en-US" w:bidi="ar-SA"/>
    </w:rPr>
  </w:style>
  <w:style w:type="numbering" w:styleId="NoList" w:default="1">
    <w:name w:val="No List"/>
    <w:uiPriority w:val="99"/>
    <w:semiHidden/>
    <w:unhideWhenUsed/>
    <w:qFormat/>
  </w:style>
  <w:style w:type="numbering" w:styleId="MLB19" w:customStyle="1">
    <w:name w:val="+MLB 1-9"/>
    <w:uiPriority w:val="99"/>
    <w:qFormat/>
    <w:rsid w:val="004003ce"/>
  </w:style>
  <w:style w:type="numbering" w:styleId="MLD19" w:customStyle="1">
    <w:name w:val="+MLD 1-9"/>
    <w:uiPriority w:val="99"/>
    <w:qFormat/>
    <w:rsid w:val="004003c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39"/>
    <w:rsid w:val="00da609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ICANNTable">
    <w:name w:val="ICANN Table"/>
    <w:basedOn w:val="TableNormal"/>
    <w:uiPriority w:val="99"/>
    <w:rsid w:val="00fd0a03"/>
    <w:tblPr>
      <w:tblStyleRowBandSize w:val="1"/>
      <w:tblStyleColBandSize w:val="1"/>
      <w:tblBorders>
        <w:top w:val="single" w:color="0A1F24" w:themeColor="text1" w:sz="4" w:space="0"/>
        <w:left w:val="single" w:color="0A1F24" w:themeColor="text1" w:sz="4" w:space="0"/>
        <w:bottom w:val="single" w:color="0A1F24" w:themeColor="text1" w:sz="4" w:space="0"/>
        <w:right w:val="single" w:color="0A1F24" w:themeColor="text1" w:sz="4" w:space="0"/>
      </w:tblBorders>
    </w:tblPr>
    <w:tblStylePr w:type="firstRow">
      <w:rPr>
        <w:b/>
        <w:bCs/>
        <w:color w:val="FFFFFF" w:themeColor="background1"/>
      </w:rPr>
      <w:tblPr/>
      <w:tcPr>
        <w:shd w:val="clear" w:color="auto" w:fill="0A1F24" w:themeFill="text1"/>
      </w:tcPr>
    </w:tblStylePr>
    <w:tblStylePr w:type="lastRow">
      <w:rPr>
        <w:b/>
        <w:bCs/>
      </w:rPr>
      <w:tblPr/>
      <w:tcPr>
        <w:tcBorders>
          <w:top w:val="double" w:color="0A1F24" w:themeColor="text1" w:sz="4" w:space="0"/>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color="0A1F24" w:themeColor="text1" w:sz="4" w:space="0"/>
          <w:right w:val="single" w:color="0A1F24" w:themeColor="text1" w:sz="4" w:space="0"/>
        </w:tcBorders>
      </w:tcPr>
    </w:tblStylePr>
    <w:tblStylePr w:type="band1Horz">
      <w:tblPr/>
      <w:tcPr>
        <w:tcBorders>
          <w:top w:val="single" w:color="0A1F24" w:themeColor="text1" w:sz="4" w:space="0"/>
          <w:bottom w:val="single" w:color="0A1F24" w:themeColor="tex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A1F24" w:themeColor="text1" w:sz="4" w:space="0"/>
          <w:left w:val="nil"/>
        </w:tcBorders>
      </w:tcPr>
    </w:tblStylePr>
    <w:tblStylePr w:type="swCell">
      <w:tblPr/>
      <w:tcPr>
        <w:tcBorders>
          <w:top w:val="double" w:color="0A1F24" w:themeColor="text1" w:sz="4" w:space="0"/>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tblBorders>
    </w:tblPr>
    <w:tblStylePr w:type="firstRow">
      <w:rPr>
        <w:b/>
        <w:bCs/>
        <w:color w:val="FFFFFF" w:themeColor="background1"/>
      </w:rPr>
      <w:tblPr/>
      <w:tcPr>
        <w:shd w:val="clear" w:color="auto" w:fill="1A87C9" w:themeFill="accent1"/>
      </w:tcPr>
    </w:tblStylePr>
    <w:tblStylePr w:type="lastRow">
      <w:rPr>
        <w:b/>
        <w:bCs/>
      </w:rPr>
      <w:tblPr/>
      <w:tcPr>
        <w:tcBorders>
          <w:top w:val="double" w:color="1A87C9" w:themeColor="accent1" w:sz="4" w:space="0"/>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color="1A87C9" w:themeColor="accent1" w:sz="4" w:space="0"/>
          <w:right w:val="single" w:color="1A87C9" w:themeColor="accent1" w:sz="4" w:space="0"/>
        </w:tcBorders>
      </w:tcPr>
    </w:tblStylePr>
    <w:tblStylePr w:type="band1Horz">
      <w:tblPr/>
      <w:tcPr>
        <w:tcBorders>
          <w:top w:val="single" w:color="1A87C9" w:themeColor="accent1" w:sz="4" w:space="0"/>
          <w:bottom w:val="single" w:color="1A87C9"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A87C9" w:themeColor="accent1" w:sz="4" w:space="0"/>
          <w:left w:val="nil"/>
        </w:tcBorders>
      </w:tcPr>
    </w:tblStylePr>
    <w:tblStylePr w:type="swCell">
      <w:tblPr/>
      <w:tcPr>
        <w:tcBorders>
          <w:top w:val="double" w:color="1A87C9" w:themeColor="accent1" w:sz="4" w:space="0"/>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tblBorders>
    </w:tblPr>
    <w:tblStylePr w:type="firstRow">
      <w:rPr>
        <w:b/>
        <w:bCs/>
        <w:color w:val="FFFFFF" w:themeColor="background1"/>
      </w:rPr>
      <w:tblPr/>
      <w:tcPr>
        <w:shd w:val="clear" w:color="auto" w:fill="0D436C" w:themeFill="accent2"/>
      </w:tcPr>
    </w:tblStylePr>
    <w:tblStylePr w:type="lastRow">
      <w:rPr>
        <w:b/>
        <w:bCs/>
      </w:rPr>
      <w:tblPr/>
      <w:tcPr>
        <w:tcBorders>
          <w:top w:val="double" w:color="0D436C" w:themeColor="accent2" w:sz="4" w:space="0"/>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color="0D436C" w:themeColor="accent2" w:sz="4" w:space="0"/>
          <w:right w:val="single" w:color="0D436C" w:themeColor="accent2" w:sz="4" w:space="0"/>
        </w:tcBorders>
      </w:tcPr>
    </w:tblStylePr>
    <w:tblStylePr w:type="band1Horz">
      <w:tblPr/>
      <w:tcPr>
        <w:tcBorders>
          <w:top w:val="single" w:color="0D436C" w:themeColor="accent2" w:sz="4" w:space="0"/>
          <w:bottom w:val="single" w:color="0D436C"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D436C" w:themeColor="accent2" w:sz="4" w:space="0"/>
          <w:left w:val="nil"/>
        </w:tcBorders>
      </w:tcPr>
    </w:tblStylePr>
    <w:tblStylePr w:type="swCell">
      <w:tblPr/>
      <w:tcPr>
        <w:tcBorders>
          <w:top w:val="double" w:color="0D436C" w:themeColor="accent2" w:sz="4" w:space="0"/>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color="1B6F74" w:themeColor="accent3" w:sz="4" w:space="0"/>
        <w:left w:val="single" w:color="1B6F74" w:themeColor="accent3" w:sz="4" w:space="0"/>
        <w:bottom w:val="single" w:color="1B6F74" w:themeColor="accent3" w:sz="4" w:space="0"/>
        <w:right w:val="single" w:color="1B6F74" w:themeColor="accent3" w:sz="4" w:space="0"/>
      </w:tblBorders>
    </w:tblPr>
    <w:tblStylePr w:type="firstRow">
      <w:rPr>
        <w:b/>
        <w:bCs/>
        <w:color w:val="FFFFFF" w:themeColor="background1"/>
      </w:rPr>
      <w:tblPr/>
      <w:tcPr>
        <w:shd w:val="clear" w:color="auto" w:fill="1B6F74" w:themeFill="accent3"/>
      </w:tcPr>
    </w:tblStylePr>
    <w:tblStylePr w:type="lastRow">
      <w:rPr>
        <w:b/>
        <w:bCs/>
      </w:rPr>
      <w:tblPr/>
      <w:tcPr>
        <w:tcBorders>
          <w:top w:val="double" w:color="1B6F74" w:themeColor="accent3" w:sz="4" w:space="0"/>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color="1B6F74" w:themeColor="accent3" w:sz="4" w:space="0"/>
          <w:right w:val="single" w:color="1B6F74" w:themeColor="accent3" w:sz="4" w:space="0"/>
        </w:tcBorders>
      </w:tcPr>
    </w:tblStylePr>
    <w:tblStylePr w:type="band1Horz">
      <w:tblPr/>
      <w:tcPr>
        <w:tcBorders>
          <w:top w:val="single" w:color="1B6F74" w:themeColor="accent3" w:sz="4" w:space="0"/>
          <w:bottom w:val="single" w:color="1B6F74" w:themeColor="accent3"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B6F74" w:themeColor="accent3" w:sz="4" w:space="0"/>
          <w:left w:val="nil"/>
        </w:tcBorders>
      </w:tcPr>
    </w:tblStylePr>
    <w:tblStylePr w:type="swCell">
      <w:tblPr/>
      <w:tcPr>
        <w:tcBorders>
          <w:top w:val="double" w:color="1B6F74" w:themeColor="accent3" w:sz="4" w:space="0"/>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color="EA903A" w:themeColor="accent4" w:sz="4" w:space="0"/>
        <w:left w:val="single" w:color="EA903A" w:themeColor="accent4" w:sz="4" w:space="0"/>
        <w:bottom w:val="single" w:color="EA903A" w:themeColor="accent4" w:sz="4" w:space="0"/>
        <w:right w:val="single" w:color="EA903A" w:themeColor="accent4" w:sz="4" w:space="0"/>
      </w:tblBorders>
    </w:tblPr>
    <w:tblStylePr w:type="firstRow">
      <w:rPr>
        <w:b/>
        <w:bCs/>
        <w:color w:val="FFFFFF" w:themeColor="background1"/>
      </w:rPr>
      <w:tblPr/>
      <w:tcPr>
        <w:shd w:val="clear" w:color="auto" w:fill="EA903A" w:themeFill="accent4"/>
      </w:tcPr>
    </w:tblStylePr>
    <w:tblStylePr w:type="lastRow">
      <w:rPr>
        <w:b/>
        <w:bCs/>
      </w:rPr>
      <w:tblPr/>
      <w:tcPr>
        <w:tcBorders>
          <w:top w:val="double" w:color="EA903A" w:themeColor="accent4" w:sz="4" w:space="0"/>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color="EA903A" w:themeColor="accent4" w:sz="4" w:space="0"/>
          <w:right w:val="single" w:color="EA903A" w:themeColor="accent4" w:sz="4" w:space="0"/>
        </w:tcBorders>
      </w:tcPr>
    </w:tblStylePr>
    <w:tblStylePr w:type="band1Horz">
      <w:tblPr/>
      <w:tcPr>
        <w:tcBorders>
          <w:top w:val="single" w:color="EA903A" w:themeColor="accent4" w:sz="4" w:space="0"/>
          <w:bottom w:val="single" w:color="EA903A" w:themeColor="accent4"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EA903A" w:themeColor="accent4" w:sz="4" w:space="0"/>
          <w:left w:val="nil"/>
        </w:tcBorders>
      </w:tcPr>
    </w:tblStylePr>
    <w:tblStylePr w:type="swCell">
      <w:tblPr/>
      <w:tcPr>
        <w:tcBorders>
          <w:top w:val="double" w:color="EA903A" w:themeColor="accent4" w:sz="4" w:space="0"/>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color="DB6033" w:themeColor="accent5" w:sz="4" w:space="0"/>
        <w:left w:val="single" w:color="DB6033" w:themeColor="accent5" w:sz="4" w:space="0"/>
        <w:bottom w:val="single" w:color="DB6033" w:themeColor="accent5" w:sz="4" w:space="0"/>
        <w:right w:val="single" w:color="DB6033" w:themeColor="accent5" w:sz="4" w:space="0"/>
      </w:tblBorders>
    </w:tblPr>
    <w:tblStylePr w:type="firstRow">
      <w:rPr>
        <w:b/>
        <w:bCs/>
        <w:color w:val="FFFFFF" w:themeColor="background1"/>
      </w:rPr>
      <w:tblPr/>
      <w:tcPr>
        <w:shd w:val="clear" w:color="auto" w:fill="DB6033" w:themeFill="accent5"/>
      </w:tcPr>
    </w:tblStylePr>
    <w:tblStylePr w:type="lastRow">
      <w:rPr>
        <w:b/>
        <w:bCs/>
      </w:rPr>
      <w:tblPr/>
      <w:tcPr>
        <w:tcBorders>
          <w:top w:val="double" w:color="DB6033" w:themeColor="accent5" w:sz="4" w:space="0"/>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color="DB6033" w:themeColor="accent5" w:sz="4" w:space="0"/>
          <w:right w:val="single" w:color="DB6033" w:themeColor="accent5" w:sz="4" w:space="0"/>
        </w:tcBorders>
      </w:tcPr>
    </w:tblStylePr>
    <w:tblStylePr w:type="band1Horz">
      <w:tblPr/>
      <w:tcPr>
        <w:tcBorders>
          <w:top w:val="single" w:color="DB6033" w:themeColor="accent5" w:sz="4" w:space="0"/>
          <w:bottom w:val="single" w:color="DB6033" w:themeColor="accent5"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DB6033" w:themeColor="accent5" w:sz="4" w:space="0"/>
          <w:left w:val="nil"/>
        </w:tcBorders>
      </w:tcPr>
    </w:tblStylePr>
    <w:tblStylePr w:type="swCell">
      <w:tblPr/>
      <w:tcPr>
        <w:tcBorders>
          <w:top w:val="double" w:color="DB6033" w:themeColor="accent5" w:sz="4" w:space="0"/>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tblBorders>
    </w:tblPr>
    <w:tblStylePr w:type="firstRow">
      <w:rPr>
        <w:b/>
        <w:bCs/>
        <w:color w:val="FFFFFF" w:themeColor="background1"/>
      </w:rPr>
      <w:tblPr/>
      <w:tcPr>
        <w:shd w:val="clear" w:color="auto" w:fill="1768B1" w:themeFill="accent6"/>
      </w:tcPr>
    </w:tblStylePr>
    <w:tblStylePr w:type="lastRow">
      <w:rPr>
        <w:b/>
        <w:bCs/>
      </w:rPr>
      <w:tblPr/>
      <w:tcPr>
        <w:tcBorders>
          <w:top w:val="double" w:color="1768B1" w:themeColor="accent6" w:sz="4" w:space="0"/>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color="1768B1" w:themeColor="accent6" w:sz="4" w:space="0"/>
          <w:right w:val="single" w:color="1768B1" w:themeColor="accent6" w:sz="4" w:space="0"/>
        </w:tcBorders>
      </w:tcPr>
    </w:tblStylePr>
    <w:tblStylePr w:type="band1Horz">
      <w:tblPr/>
      <w:tcPr>
        <w:tcBorders>
          <w:top w:val="single" w:color="1768B1" w:themeColor="accent6" w:sz="4" w:space="0"/>
          <w:bottom w:val="single" w:color="1768B1" w:themeColor="accent6"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768B1" w:themeColor="accent6" w:sz="4" w:space="0"/>
          <w:left w:val="nil"/>
        </w:tcBorders>
      </w:tcPr>
    </w:tblStylePr>
    <w:tblStylePr w:type="swCell">
      <w:tblPr/>
      <w:tcPr>
        <w:tcBorders>
          <w:top w:val="double" w:color="1768B1" w:themeColor="accent6" w:sz="4" w:space="0"/>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color="0A1F24" w:themeColor="text1" w:sz="4" w:space="0"/>
        <w:left w:val="single" w:color="0A1F24" w:themeColor="text1" w:sz="4" w:space="0"/>
        <w:bottom w:val="single" w:color="0A1F24" w:themeColor="text1" w:sz="4" w:space="0"/>
        <w:right w:val="single" w:color="0A1F24" w:themeColor="text1" w:sz="4" w:space="0"/>
        <w:insideH w:val="single" w:color="0A1F24" w:themeColor="text1" w:sz="4" w:space="0"/>
        <w:insideV w:val="single" w:color="0A1F24" w:themeColor="text1" w:sz="4" w:space="0"/>
      </w:tblBorders>
    </w:tblPr>
    <w:tblStylePr w:type="firstRow">
      <w:rPr>
        <w:b/>
        <w:bCs/>
      </w:rPr>
      <w:tblPr/>
      <w:tcPr>
        <w:tcBorders>
          <w:bottom w:val="single" w:color="0A1F24" w:themeColor="text1" w:sz="12" w:space="0"/>
        </w:tcBorders>
      </w:tcPr>
    </w:tblStylePr>
    <w:tblStylePr w:type="lastRow">
      <w:rPr>
        <w:b/>
        <w:bCs/>
      </w:rPr>
      <w:tblPr/>
      <w:tcPr>
        <w:tcBorders>
          <w:top w:val="double" w:color="0A1F24" w:themeColor="text1" w:sz="4" w:space="0"/>
        </w:tcBorders>
      </w:tcPr>
    </w:tblStylePr>
    <w:tblStylePr w:type="firstCol">
      <w:rPr>
        <w:b/>
        <w:bCs/>
      </w:rPr>
      <w:tblPr/>
    </w:tblStylePr>
    <w:tblStylePr w:type="lastCol">
      <w:rPr>
        <w:b/>
        <w:bCs/>
      </w:rPr>
      <w:tblPr/>
    </w:tblStylePr>
  </w:style>
  <w:style w:type="table" w:customStyle="1" w:styleId="ICANNTableLight-Color1">
    <w:name w:val="ICANN Table Light - Color 1"/>
    <w:basedOn w:val="TableNormal"/>
    <w:uiPriority w:val="99"/>
    <w:rsid w:val="00fd0a03"/>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insideH w:val="single" w:color="1A87C9" w:themeColor="accent1" w:sz="4" w:space="0"/>
        <w:insideV w:val="single" w:color="1A87C9" w:themeColor="accent1" w:sz="4" w:space="0"/>
      </w:tblBorders>
    </w:tblPr>
    <w:tblStylePr w:type="firstRow">
      <w:rPr>
        <w:b/>
        <w:bCs/>
      </w:rPr>
      <w:tblPr/>
      <w:tcPr>
        <w:tcBorders>
          <w:bottom w:val="single" w:color="68B9EB" w:themeColor="accent1" w:sz="12" w:space="0"/>
        </w:tcBorders>
      </w:tcPr>
    </w:tblStylePr>
    <w:tblStylePr w:type="lastRow">
      <w:rPr>
        <w:b/>
        <w:bCs/>
      </w:rPr>
      <w:tblPr/>
      <w:tcPr>
        <w:tcBorders>
          <w:top w:val="double" w:color="68B9EB" w:themeColor="accent1" w:sz="2" w:space="0"/>
        </w:tcBorders>
      </w:tcPr>
    </w:tblStylePr>
    <w:tblStylePr w:type="firstCol">
      <w:rPr>
        <w:b/>
        <w:bCs/>
      </w:rPr>
      <w:tblPr/>
    </w:tblStylePr>
    <w:tblStylePr w:type="lastCol">
      <w:rPr>
        <w:b/>
        <w:bCs/>
      </w:rPr>
      <w:tblPr/>
    </w:tblStylePr>
  </w:style>
  <w:style w:type="table" w:customStyle="1" w:styleId="ICANNTableLight-Color2">
    <w:name w:val="ICANN Table Light - Color 2"/>
    <w:basedOn w:val="TableNormal"/>
    <w:uiPriority w:val="99"/>
    <w:rsid w:val="00fd0a03"/>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insideH w:val="single" w:color="0D436C" w:themeColor="accent2" w:sz="4" w:space="0"/>
        <w:insideV w:val="single" w:color="0D436C" w:themeColor="accent2" w:sz="4" w:space="0"/>
      </w:tblBorders>
    </w:tblPr>
    <w:tblStylePr w:type="firstRow">
      <w:rPr>
        <w:b/>
        <w:bCs/>
      </w:rPr>
      <w:tblPr/>
      <w:tcPr>
        <w:tcBorders>
          <w:bottom w:val="single" w:color="0D436C" w:themeColor="accent2" w:sz="12" w:space="0"/>
        </w:tcBorders>
      </w:tcPr>
    </w:tblStylePr>
    <w:tblStylePr w:type="lastRow">
      <w:rPr>
        <w:b/>
        <w:bCs/>
      </w:rPr>
      <w:tblPr/>
      <w:tcPr>
        <w:tcBorders>
          <w:top w:val="double" w:color="0D436C" w:themeColor="accent2" w:sz="4" w:space="0"/>
        </w:tcBorders>
      </w:tcPr>
    </w:tblStylePr>
    <w:tblStylePr w:type="firstCol">
      <w:rPr>
        <w:b/>
        <w:bCs/>
      </w:rPr>
      <w:tblPr/>
    </w:tblStylePr>
    <w:tblStylePr w:type="lastCol">
      <w:rPr>
        <w:b/>
        <w:bCs/>
      </w:rPr>
      <w:tblPr/>
    </w:tblStylePr>
  </w:style>
  <w:style w:type="table" w:customStyle="1" w:styleId="ICANNTableLight-Color3">
    <w:name w:val="ICANN Table Light - Color 3"/>
    <w:basedOn w:val="TableNormal"/>
    <w:uiPriority w:val="99"/>
    <w:rsid w:val="00fd0a03"/>
    <w:tblPr>
      <w:tblStyleRowBandSize w:val="1"/>
      <w:tblStyleColBandSize w:val="1"/>
      <w:tblBorders>
        <w:top w:val="single" w:color="1B6F74" w:themeColor="accent3" w:sz="4" w:space="0"/>
        <w:left w:val="single" w:color="1B6F74" w:themeColor="accent3" w:sz="4" w:space="0"/>
        <w:bottom w:val="single" w:color="1B6F74" w:themeColor="accent3" w:sz="4" w:space="0"/>
        <w:right w:val="single" w:color="1B6F74" w:themeColor="accent3" w:sz="4" w:space="0"/>
        <w:insideH w:val="single" w:color="1B6F74" w:themeColor="accent3" w:sz="4" w:space="0"/>
        <w:insideV w:val="single" w:color="1B6F74" w:themeColor="accent3" w:sz="4" w:space="0"/>
      </w:tblBorders>
    </w:tblPr>
    <w:tblStylePr w:type="firstRow">
      <w:rPr>
        <w:b/>
        <w:bCs/>
      </w:rPr>
      <w:tblPr/>
      <w:tcPr>
        <w:tcBorders>
          <w:bottom w:val="single" w:color="1B6F74" w:themeColor="accent3" w:sz="12" w:space="0"/>
        </w:tcBorders>
      </w:tcPr>
    </w:tblStylePr>
    <w:tblStylePr w:type="lastRow">
      <w:rPr>
        <w:b/>
        <w:bCs/>
      </w:rPr>
      <w:tblPr/>
      <w:tcPr>
        <w:tcBorders>
          <w:top w:val="double" w:color="1B6F74" w:themeColor="accent3" w:sz="4" w:space="0"/>
        </w:tcBorders>
      </w:tcPr>
    </w:tblStylePr>
    <w:tblStylePr w:type="firstCol">
      <w:rPr>
        <w:b/>
        <w:bCs/>
      </w:rPr>
      <w:tblPr/>
    </w:tblStylePr>
    <w:tblStylePr w:type="lastCol">
      <w:rPr>
        <w:b/>
        <w:bCs/>
      </w:rPr>
      <w:tblPr/>
    </w:tblStylePr>
  </w:style>
  <w:style w:type="table" w:customStyle="1" w:styleId="ICANNTableLight-Color4">
    <w:name w:val="ICANN Table Light - Color 4"/>
    <w:basedOn w:val="TableNormal"/>
    <w:uiPriority w:val="99"/>
    <w:rsid w:val="00fd0a03"/>
    <w:tblPr>
      <w:tblStyleRowBandSize w:val="1"/>
      <w:tblStyleColBandSize w:val="1"/>
      <w:tblBorders>
        <w:top w:val="single" w:color="EA903A" w:themeColor="accent4" w:sz="4" w:space="0"/>
        <w:left w:val="single" w:color="EA903A" w:themeColor="accent4" w:sz="4" w:space="0"/>
        <w:bottom w:val="single" w:color="EA903A" w:themeColor="accent4" w:sz="4" w:space="0"/>
        <w:right w:val="single" w:color="EA903A" w:themeColor="accent4" w:sz="4" w:space="0"/>
        <w:insideH w:val="single" w:color="EA903A" w:themeColor="accent4" w:sz="4" w:space="0"/>
        <w:insideV w:val="single" w:color="EA903A" w:themeColor="accent4" w:sz="4" w:space="0"/>
      </w:tblBorders>
    </w:tblPr>
    <w:tblStylePr w:type="firstRow">
      <w:rPr>
        <w:b/>
        <w:bCs/>
      </w:rPr>
      <w:tblPr/>
      <w:tcPr>
        <w:tcBorders>
          <w:bottom w:val="single" w:color="F2BC88" w:themeColor="accent4" w:sz="12" w:space="0"/>
        </w:tcBorders>
      </w:tcPr>
    </w:tblStylePr>
    <w:tblStylePr w:type="lastRow">
      <w:rPr>
        <w:b/>
        <w:bCs/>
      </w:rPr>
      <w:tblPr/>
      <w:tcPr>
        <w:tcBorders>
          <w:top w:val="double" w:color="F2BC88" w:themeColor="accent4" w:sz="2" w:space="0"/>
        </w:tcBorders>
      </w:tcPr>
    </w:tblStylePr>
    <w:tblStylePr w:type="firstCol">
      <w:rPr>
        <w:b/>
        <w:bCs/>
      </w:rPr>
      <w:tblPr/>
    </w:tblStylePr>
    <w:tblStylePr w:type="lastCol">
      <w:rPr>
        <w:b/>
        <w:bCs/>
      </w:rPr>
      <w:tblPr/>
    </w:tblStylePr>
  </w:style>
  <w:style w:type="table" w:customStyle="1" w:styleId="ICANNTableLight-Color5">
    <w:name w:val="ICANN Table Light - Color 5"/>
    <w:basedOn w:val="TableNormal"/>
    <w:uiPriority w:val="99"/>
    <w:rsid w:val="00fd0a03"/>
    <w:tblPr>
      <w:tblStyleRowBandSize w:val="1"/>
      <w:tblStyleColBandSize w:val="1"/>
      <w:tblBorders>
        <w:top w:val="single" w:color="DB6033" w:themeColor="accent5" w:sz="4" w:space="0"/>
        <w:left w:val="single" w:color="DB6033" w:themeColor="accent5" w:sz="4" w:space="0"/>
        <w:bottom w:val="single" w:color="DB6033" w:themeColor="accent5" w:sz="4" w:space="0"/>
        <w:right w:val="single" w:color="DB6033" w:themeColor="accent5" w:sz="4" w:space="0"/>
        <w:insideH w:val="single" w:color="DB6033" w:themeColor="accent5" w:sz="4" w:space="0"/>
        <w:insideV w:val="single" w:color="DB6033" w:themeColor="accent5" w:sz="4" w:space="0"/>
      </w:tblBorders>
    </w:tblPr>
    <w:tblStylePr w:type="firstRow">
      <w:rPr>
        <w:b/>
        <w:bCs/>
      </w:rPr>
      <w:tblPr/>
      <w:tcPr>
        <w:tcBorders>
          <w:bottom w:val="single" w:color="E99F84" w:themeColor="accent5" w:sz="12" w:space="0"/>
        </w:tcBorders>
      </w:tcPr>
    </w:tblStylePr>
    <w:tblStylePr w:type="lastRow">
      <w:rPr>
        <w:b/>
        <w:bCs/>
      </w:rPr>
      <w:tblPr/>
      <w:tcPr>
        <w:tcBorders>
          <w:top w:val="double" w:color="E99F84" w:themeColor="accent5" w:sz="2" w:space="0"/>
        </w:tcBorders>
      </w:tcPr>
    </w:tblStylePr>
    <w:tblStylePr w:type="firstCol">
      <w:rPr>
        <w:b/>
        <w:bCs/>
      </w:rPr>
      <w:tblPr/>
    </w:tblStylePr>
    <w:tblStylePr w:type="lastCol">
      <w:rPr>
        <w:b/>
        <w:bCs/>
      </w:rPr>
      <w:tblPr/>
    </w:tblStylePr>
  </w:style>
  <w:style w:type="table" w:customStyle="1" w:styleId="ICANNTableLight-Color6">
    <w:name w:val="ICANN Table Light - Color 6"/>
    <w:basedOn w:val="TableNormal"/>
    <w:uiPriority w:val="99"/>
    <w:rsid w:val="00fd0a03"/>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insideH w:val="single" w:color="1768B1" w:themeColor="accent6" w:sz="4" w:space="0"/>
        <w:insideV w:val="single" w:color="1768B1" w:themeColor="accent6" w:sz="4" w:space="0"/>
      </w:tblBorders>
    </w:tblPr>
    <w:tblStylePr w:type="firstRow">
      <w:rPr>
        <w:b/>
        <w:bCs/>
      </w:rPr>
      <w:tblPr/>
      <w:tcPr>
        <w:tcBorders>
          <w:bottom w:val="single" w:color="5AA5E9" w:themeColor="accent6" w:sz="12" w:space="0"/>
        </w:tcBorders>
      </w:tcPr>
    </w:tblStylePr>
    <w:tblStylePr w:type="lastRow">
      <w:rPr>
        <w:b/>
        <w:bCs/>
      </w:rPr>
      <w:tblPr/>
      <w:tcPr>
        <w:tcBorders>
          <w:top w:val="double" w:color="5AA5E9" w:themeColor="accent6" w:sz="2" w:space="0"/>
        </w:tcBorders>
      </w:tcPr>
    </w:tblStylePr>
    <w:tblStylePr w:type="firstCol">
      <w:rPr>
        <w:b/>
        <w:bCs/>
      </w:rPr>
      <w:tblPr/>
    </w:tblStylePr>
    <w:tblStylePr w:type="lastCol">
      <w:rPr>
        <w:b/>
        <w:bCs/>
      </w:rPr>
      <w:tblPr/>
    </w:tblStylePr>
  </w:style>
  <w:style w:type="table" w:customStyle="1" w:styleId="ICANNDefaultTable">
    <w:name w:val="ICANN Default Table"/>
    <w:basedOn w:val="ICANNTableLight"/>
    <w:uiPriority w:val="99"/>
    <w:rsid w:val="00887645"/>
    <w:tblStylePr w:type="firstRow">
      <w:rPr>
        <w:b/>
        <w:bCs/>
      </w:rPr>
      <w:tblPr/>
      <w:tcPr>
        <w:tcBorders>
          <w:bottom w:val="single" w:color="auto" w:sz="4" w:space="0"/>
        </w:tcBorders>
      </w:tcPr>
    </w:tblStylePr>
    <w:tblStylePr w:type="lastRow">
      <w:rPr>
        <w:b/>
        <w:bCs/>
      </w:rPr>
      <w:tblPr/>
      <w:tcPr>
        <w:tcBorders>
          <w:top w:val="double" w:color="0A1F24" w:themeColor="text1" w:sz="4" w:space="0"/>
        </w:tcBorders>
      </w:tcPr>
    </w:tblStylePr>
    <w:tblStylePr w:type="firstCol">
      <w:rPr>
        <w:b/>
        <w:bCs/>
      </w:rPr>
      <w:tblPr/>
    </w:tblStylePr>
    <w:tblStylePr w:type="lastCol">
      <w:rPr>
        <w:b/>
        <w:bCs/>
      </w:rPr>
      <w:tblPr/>
    </w:tblStylePr>
  </w:style>
  <w:style w:type="table" w:customStyle="1" w:styleId="ListTable3-Accent11">
    <w:name w:val="List Table 3 - Accent 11"/>
    <w:basedOn w:val="TableNormal"/>
    <w:uiPriority w:val="48"/>
    <w:rsid w:val="00ae7dc5"/>
    <w:tblPr>
      <w:tblStyleRowBandSize w:val="1"/>
      <w:tblStyleColBandSize w:val="1"/>
      <w:tblBorders>
        <w:top w:val="single" w:color="1A87C9" w:themeColor="accent1" w:sz="4" w:space="0"/>
        <w:left w:val="single" w:color="1A87C9" w:themeColor="accent1" w:sz="4" w:space="0"/>
        <w:bottom w:val="single" w:color="1A87C9" w:themeColor="accent1" w:sz="4" w:space="0"/>
        <w:right w:val="single" w:color="1A87C9" w:themeColor="accent1" w:sz="4" w:space="0"/>
      </w:tblBorders>
    </w:tblPr>
    <w:tblStylePr w:type="firstRow">
      <w:rPr>
        <w:b/>
        <w:bCs/>
        <w:color w:val="FFFFFF" w:themeColor="background1"/>
      </w:rPr>
      <w:tblPr/>
      <w:tcPr>
        <w:shd w:val="clear" w:color="auto" w:fill="1A87C9" w:themeFill="accent1"/>
      </w:tcPr>
    </w:tblStylePr>
    <w:tblStylePr w:type="lastRow">
      <w:rPr>
        <w:b/>
        <w:bCs/>
      </w:rPr>
      <w:tblPr/>
      <w:tcPr>
        <w:tcBorders>
          <w:top w:val="double" w:color="1A87C9" w:themeColor="accen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1A87C9" w:themeColor="accent1" w:sz="4" w:space="0"/>
          <w:right w:val="single" w:color="1A87C9" w:themeColor="accent1" w:sz="4" w:space="0"/>
        </w:tcBorders>
      </w:tcPr>
    </w:tblStylePr>
    <w:tblStylePr w:type="band1Horz">
      <w:tblPr/>
      <w:tcPr>
        <w:tcBorders>
          <w:top w:val="single" w:color="1A87C9" w:themeColor="accent1" w:sz="4" w:space="0"/>
          <w:bottom w:val="single" w:color="1A87C9"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A87C9" w:themeColor="accent1" w:sz="4" w:space="0"/>
          <w:left w:val="nil"/>
        </w:tcBorders>
      </w:tcPr>
    </w:tblStylePr>
    <w:tblStylePr w:type="swCell">
      <w:tblPr/>
      <w:tcPr>
        <w:tcBorders>
          <w:top w:val="double" w:color="1A87C9" w:themeColor="accent1" w:sz="4" w:space="0"/>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color="1768B1" w:themeColor="accent6" w:sz="4" w:space="0"/>
        <w:left w:val="single" w:color="1768B1" w:themeColor="accent6" w:sz="4" w:space="0"/>
        <w:bottom w:val="single" w:color="1768B1" w:themeColor="accent6" w:sz="4" w:space="0"/>
        <w:right w:val="single" w:color="1768B1" w:themeColor="accent6" w:sz="4" w:space="0"/>
      </w:tblBorders>
    </w:tblPr>
    <w:tblStylePr w:type="firstRow">
      <w:rPr>
        <w:b/>
        <w:bCs/>
        <w:color w:val="FFFFFF" w:themeColor="background1"/>
      </w:rPr>
      <w:tblPr/>
      <w:tcPr>
        <w:shd w:val="clear" w:color="auto" w:fill="1768B1" w:themeFill="accent6"/>
      </w:tcPr>
    </w:tblStylePr>
    <w:tblStylePr w:type="lastRow">
      <w:rPr>
        <w:b/>
        <w:bCs/>
      </w:rPr>
      <w:tblPr/>
      <w:tcPr>
        <w:tcBorders>
          <w:top w:val="double" w:color="1768B1" w:themeColor="accent6"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1768B1" w:themeColor="accent6" w:sz="4" w:space="0"/>
          <w:right w:val="single" w:color="1768B1" w:themeColor="accent6" w:sz="4" w:space="0"/>
        </w:tcBorders>
      </w:tcPr>
    </w:tblStylePr>
    <w:tblStylePr w:type="band1Horz">
      <w:tblPr/>
      <w:tcPr>
        <w:tcBorders>
          <w:top w:val="single" w:color="1768B1" w:themeColor="accent6" w:sz="4" w:space="0"/>
          <w:bottom w:val="single" w:color="1768B1" w:themeColor="accent6"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1768B1" w:themeColor="accent6" w:sz="4" w:space="0"/>
          <w:left w:val="nil"/>
        </w:tcBorders>
      </w:tcPr>
    </w:tblStylePr>
    <w:tblStylePr w:type="swCell">
      <w:tblPr/>
      <w:tcPr>
        <w:tcBorders>
          <w:top w:val="double" w:color="1768B1" w:themeColor="accent6" w:sz="4" w:space="0"/>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color="68B9EB" w:themeColor="accent1" w:themeTint="99" w:sz="4" w:space="0"/>
        <w:left w:val="single" w:color="68B9EB" w:themeColor="accent1" w:themeTint="99" w:sz="4" w:space="0"/>
        <w:bottom w:val="single" w:color="68B9EB" w:themeColor="accent1" w:themeTint="99" w:sz="4" w:space="0"/>
        <w:right w:val="single" w:color="68B9EB" w:themeColor="accent1" w:themeTint="99" w:sz="4" w:space="0"/>
        <w:insideH w:val="single" w:color="68B9EB" w:themeColor="accent1" w:themeTint="99" w:sz="4" w:space="0"/>
      </w:tblBorders>
    </w:tblPr>
    <w:tblStylePr w:type="firstRow">
      <w:rPr>
        <w:b/>
        <w:bCs/>
        <w:color w:val="FFFFFF" w:themeColor="background1"/>
      </w:rPr>
      <w:tblPr/>
      <w:tcPr>
        <w:tcBorders>
          <w:top w:val="single" w:color="1A87C9" w:themeColor="accent1" w:sz="4" w:space="0"/>
          <w:left w:val="single" w:color="1A87C9" w:themeColor="accent1" w:sz="4" w:space="0"/>
          <w:bottom w:val="single" w:color="1A87C9" w:themeColor="accent1" w:sz="4" w:space="0"/>
          <w:right w:val="single" w:color="1A87C9" w:themeColor="accent1" w:sz="4" w:space="0"/>
          <w:insideH w:val="nil"/>
        </w:tcBorders>
        <w:shd w:val="clear" w:color="auto" w:fill="1A87C9" w:themeFill="accent1"/>
      </w:tcPr>
    </w:tblStylePr>
    <w:tblStylePr w:type="lastRow">
      <w:rPr>
        <w:b/>
        <w:bCs/>
      </w:rPr>
      <w:tblPr/>
      <w:tcPr>
        <w:tcBorders>
          <w:top w:val="double" w:color="68B9EB" w:themeColor="accent1" w:sz="4" w:space="0"/>
        </w:tcBorders>
      </w:tcPr>
    </w:tblStylePr>
    <w:tblStylePr w:type="firstCol">
      <w:rPr>
        <w:b/>
        <w:bCs/>
      </w:rPr>
      <w:tblPr/>
    </w:tblStylePr>
    <w:tblStylePr w:type="lastCol">
      <w:rPr>
        <w:b/>
        <w:bCs/>
      </w:rPr>
      <w:tbl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color="2E96E6" w:themeColor="accent2" w:themeTint="99" w:sz="4" w:space="0"/>
        <w:left w:val="single" w:color="2E96E6" w:themeColor="accent2" w:themeTint="99" w:sz="4" w:space="0"/>
        <w:bottom w:val="single" w:color="2E96E6" w:themeColor="accent2" w:themeTint="99" w:sz="4" w:space="0"/>
        <w:right w:val="single" w:color="2E96E6" w:themeColor="accent2" w:themeTint="99" w:sz="4" w:space="0"/>
        <w:insideH w:val="single" w:color="2E96E6" w:themeColor="accent2" w:themeTint="99" w:sz="4" w:space="0"/>
      </w:tblBorders>
    </w:tblPr>
    <w:tblStylePr w:type="firstRow">
      <w:rPr>
        <w:b/>
        <w:bCs/>
        <w:color w:val="FFFFFF" w:themeColor="background1"/>
      </w:rPr>
      <w:tblPr/>
      <w:tcPr>
        <w:tcBorders>
          <w:top w:val="single" w:color="0D436C" w:themeColor="accent2" w:sz="4" w:space="0"/>
          <w:left w:val="single" w:color="0D436C" w:themeColor="accent2" w:sz="4" w:space="0"/>
          <w:bottom w:val="single" w:color="0D436C" w:themeColor="accent2" w:sz="4" w:space="0"/>
          <w:right w:val="single" w:color="0D436C" w:themeColor="accent2" w:sz="4" w:space="0"/>
          <w:insideH w:val="nil"/>
        </w:tcBorders>
        <w:shd w:val="clear" w:color="auto" w:fill="0D436C" w:themeFill="accent2"/>
      </w:tcPr>
    </w:tblStylePr>
    <w:tblStylePr w:type="lastRow">
      <w:rPr>
        <w:b/>
        <w:bCs/>
      </w:rPr>
      <w:tblPr/>
      <w:tcPr>
        <w:tcBorders>
          <w:top w:val="double" w:color="2E96E6" w:themeColor="accent2" w:sz="4" w:space="0"/>
        </w:tcBorders>
      </w:tcPr>
    </w:tblStylePr>
    <w:tblStylePr w:type="firstCol">
      <w:rPr>
        <w:b/>
        <w:bCs/>
      </w:rPr>
      <w:tblPr/>
    </w:tblStylePr>
    <w:tblStylePr w:type="lastCol">
      <w:rPr>
        <w:b/>
        <w:bCs/>
      </w:rPr>
      <w:tbl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color="0D436C" w:themeColor="accent2" w:sz="4" w:space="0"/>
        <w:left w:val="single" w:color="0D436C" w:themeColor="accent2" w:sz="4" w:space="0"/>
        <w:bottom w:val="single" w:color="0D436C" w:themeColor="accent2" w:sz="4" w:space="0"/>
        <w:right w:val="single" w:color="0D436C" w:themeColor="accent2" w:sz="4" w:space="0"/>
      </w:tblBorders>
    </w:tblPr>
    <w:tblStylePr w:type="firstRow">
      <w:rPr>
        <w:b/>
        <w:bCs/>
        <w:color w:val="FFFFFF" w:themeColor="background1"/>
      </w:rPr>
      <w:tblPr/>
      <w:tcPr>
        <w:shd w:val="clear" w:color="auto" w:fill="0D436C" w:themeFill="accent2"/>
      </w:tcPr>
    </w:tblStylePr>
    <w:tblStylePr w:type="lastRow">
      <w:rPr>
        <w:b/>
        <w:bCs/>
      </w:rPr>
      <w:tblPr/>
      <w:tcPr>
        <w:tcBorders>
          <w:top w:val="double" w:color="0D436C" w:themeColor="accent2"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D436C" w:themeColor="accent2" w:sz="4" w:space="0"/>
          <w:right w:val="single" w:color="0D436C" w:themeColor="accent2" w:sz="4" w:space="0"/>
        </w:tcBorders>
      </w:tcPr>
    </w:tblStylePr>
    <w:tblStylePr w:type="band1Horz">
      <w:tblPr/>
      <w:tcPr>
        <w:tcBorders>
          <w:top w:val="single" w:color="0D436C" w:themeColor="accent2" w:sz="4" w:space="0"/>
          <w:bottom w:val="single" w:color="0D436C"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D436C" w:themeColor="accent2" w:sz="4" w:space="0"/>
          <w:left w:val="nil"/>
        </w:tcBorders>
      </w:tcPr>
    </w:tblStylePr>
    <w:tblStylePr w:type="swCell">
      <w:tblPr/>
      <w:tcPr>
        <w:tcBorders>
          <w:top w:val="double" w:color="0D436C" w:themeColor="accent2" w:sz="4" w:space="0"/>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color="5AA5E9" w:themeColor="accent6" w:themeTint="99" w:sz="4" w:space="0"/>
        <w:left w:val="single" w:color="5AA5E9" w:themeColor="accent6" w:themeTint="99" w:sz="4" w:space="0"/>
        <w:bottom w:val="single" w:color="5AA5E9" w:themeColor="accent6" w:themeTint="99" w:sz="4" w:space="0"/>
        <w:right w:val="single" w:color="5AA5E9" w:themeColor="accent6" w:themeTint="99" w:sz="4" w:space="0"/>
        <w:insideH w:val="single" w:color="5AA5E9" w:themeColor="accent6" w:themeTint="99" w:sz="4" w:space="0"/>
        <w:insideV w:val="single" w:color="5AA5E9" w:themeColor="accent6" w:themeTint="99" w:sz="4" w:space="0"/>
      </w:tblBorders>
    </w:tblPr>
    <w:tblStylePr w:type="firstRow">
      <w:rPr>
        <w:b/>
        <w:bCs/>
        <w:color w:val="FFFFFF" w:themeColor="background1"/>
      </w:rPr>
      <w:tblPr/>
      <w:tcPr>
        <w:tcBorders>
          <w:top w:val="single" w:color="1768B1" w:themeColor="accent6" w:sz="4" w:space="0"/>
          <w:left w:val="single" w:color="1768B1" w:themeColor="accent6" w:sz="4" w:space="0"/>
          <w:bottom w:val="single" w:color="1768B1" w:themeColor="accent6" w:sz="4" w:space="0"/>
          <w:right w:val="single" w:color="1768B1" w:themeColor="accent6" w:sz="4" w:space="0"/>
          <w:insideH w:val="nil"/>
          <w:insideV w:val="nil"/>
        </w:tcBorders>
        <w:shd w:val="clear" w:color="auto" w:fill="1768B1" w:themeFill="accent6"/>
      </w:tcPr>
    </w:tblStylePr>
    <w:tblStylePr w:type="lastRow">
      <w:rPr>
        <w:b/>
        <w:bCs/>
      </w:rPr>
      <w:tblPr/>
      <w:tcPr>
        <w:tcBorders>
          <w:top w:val="double" w:color="1768B1" w:themeColor="accent6" w:sz="4" w:space="0"/>
        </w:tcBorders>
      </w:tcPr>
    </w:tblStylePr>
    <w:tblStylePr w:type="firstCol">
      <w:rPr>
        <w:b/>
        <w:bCs/>
      </w:rPr>
      <w:tblPr/>
    </w:tblStylePr>
    <w:tblStylePr w:type="lastCol">
      <w:rPr>
        <w:b/>
        <w:bCs/>
      </w:rPr>
      <w:tbl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color="1A87C9" w:themeColor="accent1" w:sz="8" w:space="0"/>
        <w:bottom w:val="single" w:color="1A87C9" w:themeColor="accent1" w:sz="8" w:space="0"/>
      </w:tblBorders>
    </w:tblPr>
    <w:tblStylePr w:type="firstRow">
      <w:pPr>
        <w:spacing w:before="0" w:after="0" w:line="240" w:lineRule="auto"/>
      </w:pPr>
      <w:rPr>
        <w:b/>
        <w:bCs/>
      </w:rPr>
      <w:tblPr/>
      <w:tcPr>
        <w:tcBorders>
          <w:top w:val="single" w:color="1A87C9" w:themeColor="accent1" w:sz="8" w:space="0"/>
          <w:left w:val="nil"/>
          <w:bottom w:val="single" w:color="1A87C9" w:themeColor="accent1" w:sz="8" w:space="0"/>
          <w:right w:val="nil"/>
          <w:insideH w:val="nil"/>
          <w:insideV w:val="nil"/>
        </w:tcBorders>
      </w:tcPr>
    </w:tblStylePr>
    <w:tblStylePr w:type="lastRow">
      <w:pPr>
        <w:spacing w:before="0" w:after="0" w:line="240" w:lineRule="auto"/>
      </w:pPr>
      <w:rPr>
        <w:b/>
        <w:bCs/>
      </w:rPr>
      <w:tblPr/>
      <w:tcPr>
        <w:tcBorders>
          <w:top w:val="single" w:color="1A87C9" w:themeColor="accent1" w:sz="8" w:space="0"/>
          <w:left w:val="nil"/>
          <w:bottom w:val="single" w:color="1A87C9" w:themeColor="accen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color="1A87C9" w:themeColor="accent1" w:sz="8" w:space="0"/>
        <w:left w:val="single" w:color="1A87C9" w:themeColor="accent1" w:sz="8" w:space="0"/>
        <w:bottom w:val="single" w:color="1A87C9" w:themeColor="accent1" w:sz="8" w:space="0"/>
        <w:right w:val="single" w:color="1A87C9" w:themeColor="accent1" w:sz="8" w:space="0"/>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color="1A87C9" w:themeColor="accent1" w:sz="6" w:space="0"/>
          <w:left w:val="single" w:color="1A87C9" w:themeColor="accent1" w:sz="8" w:space="0"/>
          <w:bottom w:val="single" w:color="1A87C9" w:themeColor="accent1" w:sz="8" w:space="0"/>
          <w:right w:val="single" w:color="1A87C9" w:themeColor="accent1" w:sz="8" w:space="0"/>
        </w:tcBorders>
      </w:tcPr>
    </w:tblStylePr>
    <w:tblStylePr w:type="firstCol">
      <w:rPr>
        <w:b/>
        <w:bCs/>
      </w:rPr>
      <w:tblPr/>
    </w:tblStylePr>
    <w:tblStylePr w:type="lastCol">
      <w:rPr>
        <w:b/>
        <w:bCs/>
      </w:rPr>
      <w:tblPr/>
    </w:tblStylePr>
    <w:tblStylePr w:type="band1Vert">
      <w:tblPr/>
      <w:tcPr>
        <w:tcBorders>
          <w:top w:val="single" w:color="1A87C9" w:themeColor="accent1" w:sz="8" w:space="0"/>
          <w:left w:val="single" w:color="1A87C9" w:themeColor="accent1" w:sz="8" w:space="0"/>
          <w:bottom w:val="single" w:color="1A87C9" w:themeColor="accent1" w:sz="8" w:space="0"/>
          <w:right w:val="single" w:color="1A87C9" w:themeColor="accent1" w:sz="8" w:space="0"/>
        </w:tcBorders>
      </w:tcPr>
    </w:tblStylePr>
    <w:tblStylePr w:type="band1Horz">
      <w:tblPr/>
      <w:tcPr>
        <w:tcBorders>
          <w:top w:val="single" w:color="1A87C9" w:themeColor="accent1" w:sz="8" w:space="0"/>
          <w:left w:val="single" w:color="1A87C9" w:themeColor="accent1" w:sz="8" w:space="0"/>
          <w:bottom w:val="single" w:color="1A87C9" w:themeColor="accent1" w:sz="8" w:space="0"/>
          <w:right w:val="single" w:color="1A87C9"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icann.org/en/system/files/files/final-report-11may12-en.pdf" TargetMode="External"/><Relationship Id="rId4" Type="http://schemas.openxmlformats.org/officeDocument/2006/relationships/hyperlink" Target="https://community.icann.org/display/WHO/WHOIS1+Rec+%2311%3A+Common+Interface" TargetMode="External"/><Relationship Id="rId5" Type="http://schemas.openxmlformats.org/officeDocument/2006/relationships/hyperlink" Target="https://www.icann.org/en/system/files/files/final-report-11may12-en.pdf" TargetMode="External"/><Relationship Id="rId6" Type="http://schemas.openxmlformats.org/officeDocument/2006/relationships/hyperlink" Target="https://www.icann.org/en/system/files/files/implementation-action-08nov12-en.pdf" TargetMode="External"/><Relationship Id="rId7" Type="http://schemas.openxmlformats.org/officeDocument/2006/relationships/hyperlink" Target="https://community.icann.org/display/WHO/WHOIS+Review+Implementation+Home" TargetMode="External"/><Relationship Id="rId8" Type="http://schemas.openxmlformats.org/officeDocument/2006/relationships/hyperlink" Target="https://community.icann.org/download/attachments/54691767/WHOIS Recs 1_16 30Sept2016.pdf" TargetMode="External"/><Relationship Id="rId9" Type="http://schemas.openxmlformats.org/officeDocument/2006/relationships/hyperlink" Target="https://community.icann.org/download/attachments/54691767/WHOIS Quarterly Summary 31December2016.pdf" TargetMode="External"/><Relationship Id="rId10" Type="http://schemas.openxmlformats.org/officeDocument/2006/relationships/hyperlink" Target="https://community.icann.org/download/attachments/63145823/WHOIS1-Implementation Briefings_final.docx?version=1&amp;modificationDate=1510566466000&amp;api=v2" TargetMode="External"/><Relationship Id="rId11" Type="http://schemas.openxmlformats.org/officeDocument/2006/relationships/hyperlink" Target="https://community.icann.org/download/attachments/69279139/WHOIS1 Implementation briefings 5 8 10 11.pdf?version=1&amp;modificationDate=1506504731000&amp;api=v2" TargetMode="External"/><Relationship Id="rId12" Type="http://schemas.openxmlformats.org/officeDocument/2006/relationships/hyperlink" Target="https://community.icann.org/download/attachments/63145823/WHOIS1-Implementation Briefings_final.docx?version=1&amp;modificationDate=1510566466000&amp;api=v2" TargetMode="External"/><Relationship Id="rId13" Type="http://schemas.openxmlformats.org/officeDocument/2006/relationships/hyperlink" Target="https://whois.icann.org/en" TargetMode="External"/><Relationship Id="rId14" Type="http://schemas.openxmlformats.org/officeDocument/2006/relationships/hyperlink" Target="https://whois.icann.org/en/lookup?name=" TargetMode="External"/><Relationship Id="rId15" Type="http://schemas.openxmlformats.org/officeDocument/2006/relationships/hyperlink" Target="https://www.internic.net/" TargetMode="External"/><Relationship Id="rId16" Type="http://schemas.openxmlformats.org/officeDocument/2006/relationships/hyperlink" Target="https://mm.icann.org/pipermail/rds-whois2-comminterface/2018-March/000011.html" TargetMode="External"/><Relationship Id="rId17" Type="http://schemas.openxmlformats.org/officeDocument/2006/relationships/hyperlink" Target="https://community.icann.org/download/attachments/71604720/Written Implementation Request for Recommendation 11.pdf?version=1&amp;modificationDate=1521815094000&amp;api=v2" TargetMode="External"/><Relationship Id="rId18" Type="http://schemas.openxmlformats.org/officeDocument/2006/relationships/hyperlink" Target="https://community.icann.org/download/attachments/71604697/FinalRDS-WHOISRT2Effectivenes.docx?version=1&amp;modificationDate=1519138360000&amp;api=v2" TargetMode="External"/><Relationship Id="rId19" Type="http://schemas.openxmlformats.org/officeDocument/2006/relationships/header" Target="header1.xml"/><Relationship Id="rId20" Type="http://schemas.openxmlformats.org/officeDocument/2006/relationships/footer" Target="footer1.xml"/><Relationship Id="rId21" Type="http://schemas.openxmlformats.org/officeDocument/2006/relationships/header" Target="header2.xml"/><Relationship Id="rId22" Type="http://schemas.openxmlformats.org/officeDocument/2006/relationships/footer" Target="footer2.xml"/><Relationship Id="rId23" Type="http://schemas.openxmlformats.org/officeDocument/2006/relationships/comments" Target="comments.xm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Relationship Id="rId27" Type="http://schemas.openxmlformats.org/officeDocument/2006/relationships/theme" Target="theme/theme1.xml"/><Relationship Id="rId28" Type="http://schemas.openxmlformats.org/officeDocument/2006/relationships/customXml" Target="../customXml/item1.xml"/><Relationship Id="rId29" Type="http://schemas.openxmlformats.org/officeDocument/2006/relationships/customXml" Target="../customXml/item2.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_rels/footer2.xml.rels><?xml version="1.0" encoding="UTF-8"?>
<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overPageProperties xmlns="http://schemas.microsoft.com/office/2006/coverPageProps">
  <PublishDate>2018-07-30T00:00:00</PublishDate>
  <Abstract/>
  <CompanyAddress/>
  <CompanyPhone/>
  <CompanyFax/>
  <CompanyEmail/>
</CoverPageProperties>
</file>

<file path=customXml/itemProps1.xml><?xml version="1.0" encoding="utf-8"?>
<ds:datastoreItem xmlns:ds="http://schemas.openxmlformats.org/officeDocument/2006/customXml" ds:itemID="{D1F95D85-B39F-4426-9934-90311655DAAD}">
  <ds:schemaRefs>
    <ds:schemaRef ds:uri="http://schemas.openxmlformats.org/officeDocument/2006/bibliography"/>
  </ds:schemaRefs>
</ds:datastoreItem>
</file>

<file path=customXml/itemProps2.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7</TotalTime>
  <Application>LibreOffice/5.2.0.4$Windows_x86 LibreOffice_project/066b007f5ebcc236395c7d282ba488bca6720265</Application>
  <Pages>7</Pages>
  <Words>2059</Words>
  <Characters>11374</Characters>
  <CharactersWithSpaces>13364</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2018-07-30T18:44:00Z</dcterms:created>
  <dc:creator>Lisa Phifer</dc:creator>
  <dc:description/>
  <dc:language>de-DE</dc:language>
  <cp:lastModifiedBy>Volker Greimann</cp:lastModifiedBy>
  <cp:lastPrinted>2018-07-24T02:37:00Z</cp:lastPrinted>
  <dcterms:modified xsi:type="dcterms:W3CDTF">2018-08-02T19:37:42Z</dcterms:modified>
  <cp:revision>7</cp:revision>
  <dc:subject>Draft Report including F2F#3 agreements and action items
REC11 SUBGROUP REPORT - SECTION 3.8 ONLY
FOR VOLKER TO PROVIDE REDLINED UPDATES</dc:subject>
  <dc:title>Registration Directory Service (RDS-WHOIS2) Review</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RTarget">
    <vt:i4>8192</vt:i4>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