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365A7" w14:textId="4EADE28A" w:rsidR="00342C0A" w:rsidRDefault="00342C0A" w:rsidP="00D65B1C">
      <w:pPr>
        <w:outlineLvl w:val="0"/>
        <w:rPr>
          <w:rFonts w:asciiTheme="minorHAnsi" w:hAnsiTheme="minorHAnsi"/>
          <w:b/>
          <w:color w:val="244061" w:themeColor="accent1" w:themeShade="80"/>
          <w:sz w:val="22"/>
          <w:szCs w:val="22"/>
        </w:rPr>
      </w:pPr>
      <w:bookmarkStart w:id="0" w:name="_GoBack"/>
      <w:bookmarkEnd w:id="0"/>
      <w:r w:rsidRPr="00105142">
        <w:rPr>
          <w:rFonts w:asciiTheme="minorHAnsi" w:hAnsiTheme="minorHAnsi"/>
          <w:b/>
          <w:color w:val="244061" w:themeColor="accent1" w:themeShade="80"/>
          <w:sz w:val="22"/>
          <w:szCs w:val="22"/>
        </w:rPr>
        <w:t xml:space="preserve">Recommendation </w:t>
      </w:r>
      <w:r w:rsidR="0048344A" w:rsidRPr="00105142">
        <w:rPr>
          <w:rFonts w:asciiTheme="minorHAnsi" w:hAnsiTheme="minorHAnsi"/>
          <w:b/>
          <w:color w:val="244061" w:themeColor="accent1" w:themeShade="80"/>
          <w:sz w:val="22"/>
          <w:szCs w:val="22"/>
        </w:rPr>
        <w:t>2</w:t>
      </w:r>
      <w:r w:rsidRPr="00105142">
        <w:rPr>
          <w:rFonts w:asciiTheme="minorHAnsi" w:hAnsiTheme="minorHAnsi"/>
          <w:b/>
          <w:color w:val="244061" w:themeColor="accent1" w:themeShade="80"/>
          <w:sz w:val="22"/>
          <w:szCs w:val="22"/>
        </w:rPr>
        <w:t xml:space="preserve"> –</w:t>
      </w:r>
      <w:r w:rsidR="0048344A" w:rsidRPr="00105142">
        <w:rPr>
          <w:rFonts w:asciiTheme="minorHAnsi" w:hAnsiTheme="minorHAnsi"/>
          <w:b/>
          <w:color w:val="244061" w:themeColor="accent1" w:themeShade="80"/>
          <w:sz w:val="22"/>
          <w:szCs w:val="22"/>
        </w:rPr>
        <w:t xml:space="preserve"> The Board should oversee creation of a single WHOIS policy.</w:t>
      </w:r>
    </w:p>
    <w:p w14:paraId="720986A0" w14:textId="77777777" w:rsidR="00105142" w:rsidRPr="00105142" w:rsidRDefault="00105142" w:rsidP="00D65B1C">
      <w:pPr>
        <w:outlineLvl w:val="0"/>
        <w:rPr>
          <w:rFonts w:asciiTheme="minorHAnsi" w:hAnsiTheme="minorHAnsi"/>
          <w:b/>
          <w:color w:val="244061" w:themeColor="accent1" w:themeShade="80"/>
          <w:sz w:val="22"/>
          <w:szCs w:val="22"/>
        </w:rPr>
      </w:pPr>
    </w:p>
    <w:tbl>
      <w:tblPr>
        <w:tblStyle w:val="TableGrid"/>
        <w:tblW w:w="0" w:type="auto"/>
        <w:tblLook w:val="04A0" w:firstRow="1" w:lastRow="0" w:firstColumn="1" w:lastColumn="0" w:noHBand="0" w:noVBand="1"/>
      </w:tblPr>
      <w:tblGrid>
        <w:gridCol w:w="9576"/>
      </w:tblGrid>
      <w:tr w:rsidR="00342C0A" w:rsidRPr="00105142" w14:paraId="5D87730F" w14:textId="77777777" w:rsidTr="00185D1E">
        <w:tc>
          <w:tcPr>
            <w:tcW w:w="9576" w:type="dxa"/>
            <w:shd w:val="clear" w:color="auto" w:fill="548DD4" w:themeFill="text2" w:themeFillTint="99"/>
          </w:tcPr>
          <w:p w14:paraId="37FF7064" w14:textId="77777777" w:rsidR="00342C0A" w:rsidRPr="00105142" w:rsidRDefault="0048344A" w:rsidP="0048344A">
            <w:pPr>
              <w:pStyle w:val="ListParagraph"/>
              <w:numPr>
                <w:ilvl w:val="0"/>
                <w:numId w:val="6"/>
              </w:numPr>
              <w:rPr>
                <w:color w:val="FFFFFF" w:themeColor="background1"/>
              </w:rPr>
            </w:pPr>
            <w:r w:rsidRPr="00105142">
              <w:rPr>
                <w:color w:val="FFFFFF" w:themeColor="background1"/>
              </w:rPr>
              <w:t>What is the rationale for creating a single set of links to policies instead of a single policy document? (i.e., one document someone can read and that explains interconnections, targeted to end users)</w:t>
            </w:r>
          </w:p>
        </w:tc>
      </w:tr>
      <w:tr w:rsidR="00342C0A" w:rsidRPr="00105142" w14:paraId="6C3C2984" w14:textId="77777777" w:rsidTr="0048344A">
        <w:trPr>
          <w:trHeight w:val="256"/>
        </w:trPr>
        <w:tc>
          <w:tcPr>
            <w:tcW w:w="9576" w:type="dxa"/>
          </w:tcPr>
          <w:p w14:paraId="51B22AB9" w14:textId="0478CF3A" w:rsidR="009E7C4E" w:rsidRPr="00105142" w:rsidRDefault="006A485A" w:rsidP="009E7C4E">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 xml:space="preserve">The Board adopted action plan </w:t>
            </w:r>
            <w:r w:rsidR="009E7C4E" w:rsidRPr="00105142">
              <w:rPr>
                <w:rFonts w:asciiTheme="minorHAnsi" w:hAnsiTheme="minorHAnsi"/>
                <w:color w:val="244061" w:themeColor="accent1" w:themeShade="80"/>
                <w:sz w:val="22"/>
                <w:szCs w:val="22"/>
              </w:rPr>
              <w:t xml:space="preserve">for the </w:t>
            </w:r>
            <w:hyperlink r:id="rId7" w:history="1">
              <w:r w:rsidR="009E7C4E" w:rsidRPr="00105142">
                <w:rPr>
                  <w:rStyle w:val="Hyperlink"/>
                  <w:rFonts w:asciiTheme="minorHAnsi" w:hAnsiTheme="minorHAnsi"/>
                  <w:sz w:val="22"/>
                  <w:szCs w:val="22"/>
                </w:rPr>
                <w:t>WHOIS Policy Review Team Final Report</w:t>
              </w:r>
            </w:hyperlink>
            <w:r w:rsidR="009E7C4E" w:rsidRPr="00105142">
              <w:rPr>
                <w:rFonts w:asciiTheme="minorHAnsi" w:hAnsiTheme="minorHAnsi"/>
                <w:color w:val="244061" w:themeColor="accent1" w:themeShade="80"/>
                <w:sz w:val="22"/>
                <w:szCs w:val="22"/>
              </w:rPr>
              <w:t xml:space="preserve"> </w:t>
            </w:r>
            <w:r w:rsidR="00D82A7F" w:rsidRPr="00105142">
              <w:rPr>
                <w:rFonts w:asciiTheme="minorHAnsi" w:hAnsiTheme="minorHAnsi"/>
                <w:color w:val="244061" w:themeColor="accent1" w:themeShade="80"/>
                <w:sz w:val="22"/>
                <w:szCs w:val="22"/>
              </w:rPr>
              <w:t xml:space="preserve">directed ICANN org “to create and maintain a single public source that compiles current gTLD WHOIS requirements for gTLD registries, registrars and registrants (including consensus policies and contractual conditions)” and </w:t>
            </w:r>
            <w:r w:rsidR="009E7C4E" w:rsidRPr="00105142">
              <w:rPr>
                <w:rFonts w:asciiTheme="minorHAnsi" w:hAnsiTheme="minorHAnsi"/>
                <w:color w:val="244061" w:themeColor="accent1" w:themeShade="80"/>
                <w:sz w:val="22"/>
                <w:szCs w:val="22"/>
              </w:rPr>
              <w:t>provide</w:t>
            </w:r>
            <w:r w:rsidR="007D58AD" w:rsidRPr="00105142">
              <w:rPr>
                <w:rFonts w:asciiTheme="minorHAnsi" w:hAnsiTheme="minorHAnsi"/>
                <w:color w:val="244061" w:themeColor="accent1" w:themeShade="80"/>
                <w:sz w:val="22"/>
                <w:szCs w:val="22"/>
              </w:rPr>
              <w:t>d</w:t>
            </w:r>
            <w:r w:rsidR="009E7C4E" w:rsidRPr="00105142">
              <w:rPr>
                <w:rFonts w:asciiTheme="minorHAnsi" w:hAnsiTheme="minorHAnsi"/>
                <w:color w:val="244061" w:themeColor="accent1" w:themeShade="80"/>
                <w:sz w:val="22"/>
                <w:szCs w:val="22"/>
              </w:rPr>
              <w:t xml:space="preserve"> the </w:t>
            </w:r>
            <w:r w:rsidR="00D82A7F" w:rsidRPr="00105142">
              <w:rPr>
                <w:rFonts w:asciiTheme="minorHAnsi" w:hAnsiTheme="minorHAnsi"/>
                <w:color w:val="244061" w:themeColor="accent1" w:themeShade="80"/>
                <w:sz w:val="22"/>
                <w:szCs w:val="22"/>
              </w:rPr>
              <w:t xml:space="preserve">following </w:t>
            </w:r>
            <w:r w:rsidR="009E7C4E" w:rsidRPr="00105142">
              <w:rPr>
                <w:rFonts w:asciiTheme="minorHAnsi" w:hAnsiTheme="minorHAnsi"/>
                <w:color w:val="244061" w:themeColor="accent1" w:themeShade="80"/>
                <w:sz w:val="22"/>
                <w:szCs w:val="22"/>
              </w:rPr>
              <w:t>rationale:</w:t>
            </w:r>
          </w:p>
          <w:p w14:paraId="728265CC" w14:textId="0F883575" w:rsidR="009E7C4E" w:rsidRPr="00105142" w:rsidRDefault="009E7C4E" w:rsidP="009E7C4E">
            <w:pPr>
              <w:rPr>
                <w:rFonts w:asciiTheme="minorHAnsi" w:hAnsiTheme="minorHAnsi"/>
                <w:color w:val="244061" w:themeColor="accent1" w:themeShade="80"/>
                <w:sz w:val="22"/>
                <w:szCs w:val="22"/>
              </w:rPr>
            </w:pPr>
          </w:p>
          <w:p w14:paraId="36C7FA3D" w14:textId="77777777" w:rsidR="00D82A7F" w:rsidRPr="00105142" w:rsidRDefault="00D82A7F" w:rsidP="00D82A7F">
            <w:pPr>
              <w:ind w:left="720"/>
              <w:rPr>
                <w:rFonts w:asciiTheme="minorHAnsi" w:hAnsiTheme="minorHAnsi"/>
                <w:i/>
                <w:color w:val="244061" w:themeColor="accent1" w:themeShade="80"/>
                <w:sz w:val="22"/>
                <w:szCs w:val="22"/>
              </w:rPr>
            </w:pPr>
            <w:r w:rsidRPr="00105142">
              <w:rPr>
                <w:rFonts w:asciiTheme="minorHAnsi" w:hAnsiTheme="minorHAnsi"/>
                <w:i/>
                <w:color w:val="244061" w:themeColor="accent1" w:themeShade="80"/>
                <w:sz w:val="22"/>
                <w:szCs w:val="22"/>
              </w:rPr>
              <w:t xml:space="preserve">The Board notes that there is not a comprehensive gTLD WHOIS policy that addresses all of the issues raised in the Review Team report and in SAC055. There is a set of existing contractual conditions that have been developed over time by negotiation between ICANN and registries and registrars, and a small set of consensus policies that address some aspects of the management of domain name registration data. These presently available conditions and policies should be publicly available from one source. </w:t>
            </w:r>
          </w:p>
          <w:p w14:paraId="3055F246" w14:textId="764DF8A1" w:rsidR="00342C0A" w:rsidRPr="00105142" w:rsidRDefault="00342C0A" w:rsidP="00A86E13">
            <w:pPr>
              <w:rPr>
                <w:rFonts w:asciiTheme="minorHAnsi" w:hAnsiTheme="minorHAnsi"/>
                <w:color w:val="244061" w:themeColor="accent1" w:themeShade="80"/>
                <w:sz w:val="22"/>
                <w:szCs w:val="22"/>
              </w:rPr>
            </w:pPr>
          </w:p>
        </w:tc>
      </w:tr>
      <w:tr w:rsidR="0048344A" w:rsidRPr="00105142" w14:paraId="4B9D9DC9" w14:textId="77777777" w:rsidTr="00185D1E">
        <w:tc>
          <w:tcPr>
            <w:tcW w:w="9576" w:type="dxa"/>
            <w:shd w:val="clear" w:color="auto" w:fill="548DD4" w:themeFill="text2" w:themeFillTint="99"/>
          </w:tcPr>
          <w:p w14:paraId="5B118EBC" w14:textId="77777777" w:rsidR="0048344A" w:rsidRPr="00105142" w:rsidRDefault="0048344A" w:rsidP="00185D1E">
            <w:pPr>
              <w:pStyle w:val="ListParagraph"/>
              <w:numPr>
                <w:ilvl w:val="0"/>
                <w:numId w:val="6"/>
              </w:numPr>
              <w:rPr>
                <w:color w:val="FFFFFF" w:themeColor="background1"/>
              </w:rPr>
            </w:pPr>
            <w:r w:rsidRPr="00105142">
              <w:rPr>
                <w:color w:val="FFFFFF" w:themeColor="background1"/>
              </w:rPr>
              <w:t>What specifically is provided and planned for registrant, registrar, registry, other non-ICANN-insider audiences?</w:t>
            </w:r>
          </w:p>
        </w:tc>
      </w:tr>
      <w:tr w:rsidR="0048344A" w:rsidRPr="00105142" w14:paraId="380414F3" w14:textId="77777777" w:rsidTr="00185D1E">
        <w:trPr>
          <w:trHeight w:val="256"/>
        </w:trPr>
        <w:tc>
          <w:tcPr>
            <w:tcW w:w="9576" w:type="dxa"/>
          </w:tcPr>
          <w:p w14:paraId="265FFAF7" w14:textId="29EF6230" w:rsidR="00BA2908" w:rsidRPr="00105142" w:rsidRDefault="00AD36E4" w:rsidP="00BA2908">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 xml:space="preserve">The whois.icann.org website provides </w:t>
            </w:r>
            <w:r w:rsidR="00BB3816" w:rsidRPr="00105142">
              <w:rPr>
                <w:rFonts w:asciiTheme="minorHAnsi" w:hAnsiTheme="minorHAnsi"/>
                <w:color w:val="244061" w:themeColor="accent1" w:themeShade="80"/>
                <w:sz w:val="22"/>
                <w:szCs w:val="22"/>
              </w:rPr>
              <w:t xml:space="preserve">general </w:t>
            </w:r>
            <w:r w:rsidR="00E16F06" w:rsidRPr="00105142">
              <w:rPr>
                <w:rFonts w:asciiTheme="minorHAnsi" w:hAnsiTheme="minorHAnsi"/>
                <w:color w:val="244061" w:themeColor="accent1" w:themeShade="80"/>
                <w:sz w:val="22"/>
                <w:szCs w:val="22"/>
              </w:rPr>
              <w:t xml:space="preserve">information about </w:t>
            </w:r>
            <w:r w:rsidR="00C92DEC" w:rsidRPr="00105142">
              <w:rPr>
                <w:rFonts w:asciiTheme="minorHAnsi" w:hAnsiTheme="minorHAnsi"/>
                <w:color w:val="244061" w:themeColor="accent1" w:themeShade="80"/>
                <w:sz w:val="22"/>
                <w:szCs w:val="22"/>
              </w:rPr>
              <w:t>RDS/</w:t>
            </w:r>
            <w:r w:rsidR="00E16F06" w:rsidRPr="00105142">
              <w:rPr>
                <w:rFonts w:asciiTheme="minorHAnsi" w:hAnsiTheme="minorHAnsi"/>
                <w:color w:val="244061" w:themeColor="accent1" w:themeShade="80"/>
                <w:sz w:val="22"/>
                <w:szCs w:val="22"/>
              </w:rPr>
              <w:t xml:space="preserve">WHOIS, its history, </w:t>
            </w:r>
            <w:r w:rsidR="00BA2908" w:rsidRPr="00105142">
              <w:rPr>
                <w:rFonts w:asciiTheme="minorHAnsi" w:hAnsiTheme="minorHAnsi"/>
                <w:color w:val="244061" w:themeColor="accent1" w:themeShade="80"/>
                <w:sz w:val="22"/>
                <w:szCs w:val="22"/>
              </w:rPr>
              <w:t xml:space="preserve">how to use </w:t>
            </w:r>
            <w:r w:rsidR="00C92DEC" w:rsidRPr="00105142">
              <w:rPr>
                <w:rFonts w:asciiTheme="minorHAnsi" w:hAnsiTheme="minorHAnsi"/>
                <w:color w:val="244061" w:themeColor="accent1" w:themeShade="80"/>
                <w:sz w:val="22"/>
                <w:szCs w:val="22"/>
              </w:rPr>
              <w:t>registration directory service</w:t>
            </w:r>
            <w:r w:rsidR="00746ECF" w:rsidRPr="00105142">
              <w:rPr>
                <w:rFonts w:asciiTheme="minorHAnsi" w:hAnsiTheme="minorHAnsi"/>
                <w:color w:val="244061" w:themeColor="accent1" w:themeShade="80"/>
                <w:sz w:val="22"/>
                <w:szCs w:val="22"/>
              </w:rPr>
              <w:t>s</w:t>
            </w:r>
            <w:r w:rsidR="00BA2908" w:rsidRPr="00105142">
              <w:rPr>
                <w:rFonts w:asciiTheme="minorHAnsi" w:hAnsiTheme="minorHAnsi"/>
                <w:color w:val="244061" w:themeColor="accent1" w:themeShade="80"/>
                <w:sz w:val="22"/>
                <w:szCs w:val="22"/>
              </w:rPr>
              <w:t>,</w:t>
            </w:r>
            <w:r w:rsidR="009A3608" w:rsidRPr="00105142">
              <w:rPr>
                <w:rFonts w:asciiTheme="minorHAnsi" w:hAnsiTheme="minorHAnsi"/>
                <w:color w:val="244061" w:themeColor="accent1" w:themeShade="80"/>
                <w:sz w:val="22"/>
                <w:szCs w:val="22"/>
              </w:rPr>
              <w:t xml:space="preserve"> </w:t>
            </w:r>
            <w:r w:rsidR="00746ECF" w:rsidRPr="00105142">
              <w:rPr>
                <w:rFonts w:asciiTheme="minorHAnsi" w:hAnsiTheme="minorHAnsi"/>
                <w:color w:val="244061" w:themeColor="accent1" w:themeShade="80"/>
                <w:sz w:val="22"/>
                <w:szCs w:val="22"/>
              </w:rPr>
              <w:t xml:space="preserve">and </w:t>
            </w:r>
            <w:r w:rsidR="009A3608" w:rsidRPr="00105142">
              <w:rPr>
                <w:rFonts w:asciiTheme="minorHAnsi" w:hAnsiTheme="minorHAnsi"/>
                <w:color w:val="244061" w:themeColor="accent1" w:themeShade="80"/>
                <w:sz w:val="22"/>
                <w:szCs w:val="22"/>
              </w:rPr>
              <w:t>overview</w:t>
            </w:r>
            <w:r w:rsidR="00746ECF" w:rsidRPr="00105142">
              <w:rPr>
                <w:rFonts w:asciiTheme="minorHAnsi" w:hAnsiTheme="minorHAnsi"/>
                <w:color w:val="244061" w:themeColor="accent1" w:themeShade="80"/>
                <w:sz w:val="22"/>
                <w:szCs w:val="22"/>
              </w:rPr>
              <w:t>s</w:t>
            </w:r>
            <w:r w:rsidR="009A3608" w:rsidRPr="00105142">
              <w:rPr>
                <w:rFonts w:asciiTheme="minorHAnsi" w:hAnsiTheme="minorHAnsi"/>
                <w:color w:val="244061" w:themeColor="accent1" w:themeShade="80"/>
                <w:sz w:val="22"/>
                <w:szCs w:val="22"/>
              </w:rPr>
              <w:t xml:space="preserve"> and updates of current activities. In addition, the WHOIS Primer</w:t>
            </w:r>
            <w:r w:rsidR="004F77DE" w:rsidRPr="00105142">
              <w:rPr>
                <w:rFonts w:asciiTheme="minorHAnsi" w:hAnsiTheme="minorHAnsi"/>
                <w:color w:val="244061" w:themeColor="accent1" w:themeShade="80"/>
                <w:sz w:val="22"/>
                <w:szCs w:val="22"/>
              </w:rPr>
              <w:t xml:space="preserve"> published on the website </w:t>
            </w:r>
            <w:r w:rsidR="009A3608" w:rsidRPr="00105142">
              <w:rPr>
                <w:rFonts w:asciiTheme="minorHAnsi" w:hAnsiTheme="minorHAnsi"/>
                <w:color w:val="244061" w:themeColor="accent1" w:themeShade="80"/>
                <w:sz w:val="22"/>
                <w:szCs w:val="22"/>
              </w:rPr>
              <w:t xml:space="preserve">summarizes the key components of the </w:t>
            </w:r>
            <w:r w:rsidR="00C92DEC" w:rsidRPr="00105142">
              <w:rPr>
                <w:rFonts w:asciiTheme="minorHAnsi" w:hAnsiTheme="minorHAnsi"/>
                <w:color w:val="244061" w:themeColor="accent1" w:themeShade="80"/>
                <w:sz w:val="22"/>
                <w:szCs w:val="22"/>
              </w:rPr>
              <w:t>RDS/</w:t>
            </w:r>
            <w:r w:rsidR="009A3608" w:rsidRPr="00105142">
              <w:rPr>
                <w:rFonts w:asciiTheme="minorHAnsi" w:hAnsiTheme="minorHAnsi"/>
                <w:color w:val="244061" w:themeColor="accent1" w:themeShade="80"/>
                <w:sz w:val="22"/>
                <w:szCs w:val="22"/>
              </w:rPr>
              <w:t>WHOIS service</w:t>
            </w:r>
            <w:r w:rsidR="00746ECF" w:rsidRPr="00105142">
              <w:rPr>
                <w:rFonts w:asciiTheme="minorHAnsi" w:hAnsiTheme="minorHAnsi"/>
                <w:color w:val="244061" w:themeColor="accent1" w:themeShade="80"/>
                <w:sz w:val="22"/>
                <w:szCs w:val="22"/>
              </w:rPr>
              <w:t>s</w:t>
            </w:r>
            <w:r w:rsidR="009A3608" w:rsidRPr="00105142">
              <w:rPr>
                <w:rFonts w:asciiTheme="minorHAnsi" w:hAnsiTheme="minorHAnsi"/>
                <w:color w:val="244061" w:themeColor="accent1" w:themeShade="80"/>
                <w:sz w:val="22"/>
                <w:szCs w:val="22"/>
              </w:rPr>
              <w:t>, policy, and protocol.</w:t>
            </w:r>
            <w:r w:rsidR="00C92DEC" w:rsidRPr="00105142">
              <w:rPr>
                <w:rFonts w:asciiTheme="minorHAnsi" w:hAnsiTheme="minorHAnsi"/>
                <w:color w:val="244061" w:themeColor="accent1" w:themeShade="80"/>
                <w:sz w:val="22"/>
                <w:szCs w:val="22"/>
              </w:rPr>
              <w:t xml:space="preserve"> The website also hosts a</w:t>
            </w:r>
            <w:r w:rsidR="004F77DE" w:rsidRPr="00105142">
              <w:rPr>
                <w:rFonts w:asciiTheme="minorHAnsi" w:hAnsiTheme="minorHAnsi"/>
                <w:color w:val="244061" w:themeColor="accent1" w:themeShade="80"/>
                <w:sz w:val="22"/>
                <w:szCs w:val="22"/>
              </w:rPr>
              <w:t xml:space="preserve"> </w:t>
            </w:r>
            <w:r w:rsidR="00746ECF" w:rsidRPr="00105142">
              <w:rPr>
                <w:rFonts w:asciiTheme="minorHAnsi" w:hAnsiTheme="minorHAnsi"/>
                <w:color w:val="244061" w:themeColor="accent1" w:themeShade="80"/>
                <w:sz w:val="22"/>
                <w:szCs w:val="22"/>
              </w:rPr>
              <w:t>WHOIS “</w:t>
            </w:r>
            <w:r w:rsidR="004F77DE" w:rsidRPr="00105142">
              <w:rPr>
                <w:rFonts w:asciiTheme="minorHAnsi" w:hAnsiTheme="minorHAnsi"/>
                <w:color w:val="244061" w:themeColor="accent1" w:themeShade="80"/>
                <w:sz w:val="22"/>
                <w:szCs w:val="22"/>
              </w:rPr>
              <w:t>look-up</w:t>
            </w:r>
            <w:r w:rsidR="00746ECF" w:rsidRPr="00105142">
              <w:rPr>
                <w:rFonts w:asciiTheme="minorHAnsi" w:hAnsiTheme="minorHAnsi"/>
                <w:color w:val="244061" w:themeColor="accent1" w:themeShade="80"/>
                <w:sz w:val="22"/>
                <w:szCs w:val="22"/>
              </w:rPr>
              <w:t>”</w:t>
            </w:r>
            <w:r w:rsidR="004F77DE" w:rsidRPr="00105142">
              <w:rPr>
                <w:rFonts w:asciiTheme="minorHAnsi" w:hAnsiTheme="minorHAnsi"/>
                <w:color w:val="244061" w:themeColor="accent1" w:themeShade="80"/>
                <w:sz w:val="22"/>
                <w:szCs w:val="22"/>
              </w:rPr>
              <w:t xml:space="preserve"> tool.</w:t>
            </w:r>
          </w:p>
          <w:p w14:paraId="45194374" w14:textId="77777777" w:rsidR="008A0617" w:rsidRPr="00105142" w:rsidRDefault="008A0617" w:rsidP="00BA2908">
            <w:pPr>
              <w:rPr>
                <w:rFonts w:asciiTheme="minorHAnsi" w:hAnsiTheme="minorHAnsi"/>
                <w:color w:val="244061" w:themeColor="accent1" w:themeShade="80"/>
                <w:sz w:val="22"/>
                <w:szCs w:val="22"/>
              </w:rPr>
            </w:pPr>
          </w:p>
          <w:p w14:paraId="2728A9A8" w14:textId="63FF2685" w:rsidR="000A64AF" w:rsidRPr="00105142" w:rsidRDefault="008A0617" w:rsidP="000A64AF">
            <w:pPr>
              <w:rPr>
                <w:rFonts w:asciiTheme="minorHAnsi" w:hAnsiTheme="minorHAnsi"/>
                <w:bCs/>
                <w:color w:val="244061" w:themeColor="accent1" w:themeShade="80"/>
                <w:sz w:val="22"/>
                <w:szCs w:val="22"/>
              </w:rPr>
            </w:pPr>
            <w:r w:rsidRPr="00105142">
              <w:rPr>
                <w:rFonts w:asciiTheme="minorHAnsi" w:hAnsiTheme="minorHAnsi"/>
                <w:color w:val="244061" w:themeColor="accent1" w:themeShade="80"/>
                <w:sz w:val="22"/>
                <w:szCs w:val="22"/>
              </w:rPr>
              <w:t xml:space="preserve">The </w:t>
            </w:r>
            <w:hyperlink r:id="rId8" w:history="1">
              <w:r w:rsidR="000A64AF" w:rsidRPr="00105142">
                <w:rPr>
                  <w:rStyle w:val="Hyperlink"/>
                  <w:rFonts w:asciiTheme="minorHAnsi" w:hAnsiTheme="minorHAnsi"/>
                  <w:bCs/>
                  <w:sz w:val="22"/>
                  <w:szCs w:val="22"/>
                </w:rPr>
                <w:t>Single Webpage</w:t>
              </w:r>
            </w:hyperlink>
            <w:r w:rsidR="000A64AF" w:rsidRPr="00105142">
              <w:rPr>
                <w:rFonts w:asciiTheme="minorHAnsi" w:hAnsiTheme="minorHAnsi"/>
                <w:bCs/>
                <w:color w:val="244061" w:themeColor="accent1" w:themeShade="80"/>
                <w:sz w:val="22"/>
                <w:szCs w:val="22"/>
              </w:rPr>
              <w:t xml:space="preserve"> for ICANN RDS/WHOIS-Related Policies and Contract Provisions contains a listing of the gTLD RDS/WHOIS-related ICANN agreement provisions, policies, and Bylaws obligations.</w:t>
            </w:r>
          </w:p>
          <w:p w14:paraId="661ED960" w14:textId="5C14779F" w:rsidR="000A64AF" w:rsidRPr="00105142" w:rsidRDefault="000A64AF" w:rsidP="000A64AF">
            <w:pPr>
              <w:rPr>
                <w:rFonts w:asciiTheme="minorHAnsi" w:hAnsiTheme="minorHAnsi"/>
                <w:bCs/>
                <w:color w:val="244061" w:themeColor="accent1" w:themeShade="80"/>
                <w:sz w:val="22"/>
                <w:szCs w:val="22"/>
              </w:rPr>
            </w:pPr>
          </w:p>
          <w:p w14:paraId="753D96B9" w14:textId="2B548495" w:rsidR="008A0617" w:rsidRPr="00105142" w:rsidRDefault="009972FD" w:rsidP="00BA2908">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 xml:space="preserve">The </w:t>
            </w:r>
            <w:hyperlink r:id="rId9" w:history="1">
              <w:r w:rsidRPr="00105142">
                <w:rPr>
                  <w:rStyle w:val="Hyperlink"/>
                  <w:rFonts w:asciiTheme="minorHAnsi" w:hAnsiTheme="minorHAnsi"/>
                  <w:sz w:val="22"/>
                  <w:szCs w:val="22"/>
                </w:rPr>
                <w:t>Registrants’ Benefits and Responsibilities</w:t>
              </w:r>
            </w:hyperlink>
            <w:r w:rsidRPr="00105142">
              <w:rPr>
                <w:rFonts w:asciiTheme="minorHAnsi" w:hAnsiTheme="minorHAnsi"/>
                <w:color w:val="244061" w:themeColor="accent1" w:themeShade="80"/>
                <w:sz w:val="22"/>
                <w:szCs w:val="22"/>
              </w:rPr>
              <w:t xml:space="preserve"> </w:t>
            </w:r>
            <w:r w:rsidR="00F96704" w:rsidRPr="00105142">
              <w:rPr>
                <w:rFonts w:asciiTheme="minorHAnsi" w:hAnsiTheme="minorHAnsi"/>
                <w:color w:val="244061" w:themeColor="accent1" w:themeShade="80"/>
                <w:sz w:val="22"/>
                <w:szCs w:val="22"/>
              </w:rPr>
              <w:t>document that registrars are required to link to or provide on their website</w:t>
            </w:r>
            <w:r w:rsidRPr="00105142">
              <w:rPr>
                <w:rFonts w:asciiTheme="minorHAnsi" w:hAnsiTheme="minorHAnsi"/>
                <w:color w:val="244061" w:themeColor="accent1" w:themeShade="80"/>
                <w:sz w:val="22"/>
                <w:szCs w:val="22"/>
              </w:rPr>
              <w:t xml:space="preserve"> is published on icann.org.</w:t>
            </w:r>
          </w:p>
          <w:p w14:paraId="6875DF7A" w14:textId="77777777" w:rsidR="00251A5F" w:rsidRPr="00105142" w:rsidRDefault="00251A5F" w:rsidP="00BA2908">
            <w:pPr>
              <w:rPr>
                <w:rFonts w:asciiTheme="minorHAnsi" w:hAnsiTheme="minorHAnsi"/>
                <w:color w:val="244061" w:themeColor="accent1" w:themeShade="80"/>
                <w:sz w:val="22"/>
                <w:szCs w:val="22"/>
              </w:rPr>
            </w:pPr>
          </w:p>
          <w:p w14:paraId="0D0B3592" w14:textId="43C7E044" w:rsidR="00251A5F" w:rsidRPr="00105142" w:rsidRDefault="00251A5F" w:rsidP="00BA2908">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 xml:space="preserve">Information for registrants are published </w:t>
            </w:r>
            <w:hyperlink r:id="rId10" w:history="1">
              <w:r w:rsidRPr="00105142">
                <w:rPr>
                  <w:rStyle w:val="Hyperlink"/>
                  <w:rFonts w:asciiTheme="minorHAnsi" w:hAnsiTheme="minorHAnsi"/>
                  <w:sz w:val="22"/>
                  <w:szCs w:val="22"/>
                </w:rPr>
                <w:t>here</w:t>
              </w:r>
            </w:hyperlink>
            <w:r w:rsidRPr="00105142">
              <w:rPr>
                <w:rFonts w:asciiTheme="minorHAnsi" w:hAnsiTheme="minorHAnsi"/>
                <w:color w:val="244061" w:themeColor="accent1" w:themeShade="80"/>
                <w:sz w:val="22"/>
                <w:szCs w:val="22"/>
              </w:rPr>
              <w:t xml:space="preserve">. </w:t>
            </w:r>
            <w:r w:rsidR="007D58AD" w:rsidRPr="00105142">
              <w:rPr>
                <w:rFonts w:asciiTheme="minorHAnsi" w:hAnsiTheme="minorHAnsi"/>
                <w:color w:val="244061" w:themeColor="accent1" w:themeShade="80"/>
                <w:sz w:val="22"/>
                <w:szCs w:val="22"/>
              </w:rPr>
              <w:t>We will continue to augment this page with more information for registrants regarding the domain name lifecycle, how ICANN policies impact them, the DNS ecosystem and their role within it, as well as other information that would be useful to them.</w:t>
            </w:r>
          </w:p>
          <w:p w14:paraId="02E65359" w14:textId="77777777" w:rsidR="00251A5F" w:rsidRPr="00105142" w:rsidRDefault="00251A5F" w:rsidP="00BA2908">
            <w:pPr>
              <w:rPr>
                <w:rFonts w:asciiTheme="minorHAnsi" w:hAnsiTheme="minorHAnsi"/>
                <w:color w:val="244061" w:themeColor="accent1" w:themeShade="80"/>
                <w:sz w:val="22"/>
                <w:szCs w:val="22"/>
              </w:rPr>
            </w:pPr>
          </w:p>
          <w:p w14:paraId="59182DBC" w14:textId="4ABE1EA8" w:rsidR="00251A5F" w:rsidRPr="00105142" w:rsidRDefault="004F77DE" w:rsidP="00BA2908">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 xml:space="preserve">The progress and status of </w:t>
            </w:r>
            <w:r w:rsidR="00C92DEC" w:rsidRPr="00105142">
              <w:rPr>
                <w:rFonts w:asciiTheme="minorHAnsi" w:hAnsiTheme="minorHAnsi"/>
                <w:color w:val="244061" w:themeColor="accent1" w:themeShade="80"/>
                <w:sz w:val="22"/>
                <w:szCs w:val="22"/>
              </w:rPr>
              <w:t>RDS/</w:t>
            </w:r>
            <w:r w:rsidRPr="00105142">
              <w:rPr>
                <w:rFonts w:asciiTheme="minorHAnsi" w:hAnsiTheme="minorHAnsi"/>
                <w:color w:val="244061" w:themeColor="accent1" w:themeShade="80"/>
                <w:sz w:val="22"/>
                <w:szCs w:val="22"/>
              </w:rPr>
              <w:t xml:space="preserve">WHOIS related policy discussions are available </w:t>
            </w:r>
            <w:hyperlink r:id="rId11" w:history="1">
              <w:r w:rsidRPr="00105142">
                <w:rPr>
                  <w:rStyle w:val="Hyperlink"/>
                  <w:rFonts w:asciiTheme="minorHAnsi" w:hAnsiTheme="minorHAnsi"/>
                  <w:sz w:val="22"/>
                  <w:szCs w:val="22"/>
                </w:rPr>
                <w:t>here</w:t>
              </w:r>
            </w:hyperlink>
            <w:r w:rsidR="00B90A22" w:rsidRPr="00105142">
              <w:rPr>
                <w:rFonts w:asciiTheme="minorHAnsi" w:hAnsiTheme="minorHAnsi"/>
                <w:color w:val="244061" w:themeColor="accent1" w:themeShade="80"/>
                <w:sz w:val="22"/>
                <w:szCs w:val="22"/>
              </w:rPr>
              <w:t xml:space="preserve"> and </w:t>
            </w:r>
            <w:hyperlink r:id="rId12" w:history="1">
              <w:r w:rsidR="00B90A22" w:rsidRPr="00105142">
                <w:rPr>
                  <w:rStyle w:val="Hyperlink"/>
                  <w:rFonts w:asciiTheme="minorHAnsi" w:hAnsiTheme="minorHAnsi"/>
                  <w:sz w:val="22"/>
                  <w:szCs w:val="22"/>
                </w:rPr>
                <w:t>here</w:t>
              </w:r>
            </w:hyperlink>
            <w:r w:rsidRPr="00105142">
              <w:rPr>
                <w:rFonts w:asciiTheme="minorHAnsi" w:hAnsiTheme="minorHAnsi"/>
                <w:color w:val="244061" w:themeColor="accent1" w:themeShade="80"/>
                <w:sz w:val="22"/>
                <w:szCs w:val="22"/>
              </w:rPr>
              <w:t>.</w:t>
            </w:r>
          </w:p>
          <w:p w14:paraId="297929CE" w14:textId="77777777" w:rsidR="00B90A22" w:rsidRPr="00105142" w:rsidRDefault="00B90A22" w:rsidP="00BA2908">
            <w:pPr>
              <w:rPr>
                <w:rFonts w:asciiTheme="minorHAnsi" w:hAnsiTheme="minorHAnsi"/>
                <w:color w:val="244061" w:themeColor="accent1" w:themeShade="80"/>
                <w:sz w:val="22"/>
                <w:szCs w:val="22"/>
              </w:rPr>
            </w:pPr>
          </w:p>
          <w:p w14:paraId="2845967C" w14:textId="4570B1FF" w:rsidR="00B90A22" w:rsidRPr="00105142" w:rsidRDefault="00F96704" w:rsidP="00BA2908">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 xml:space="preserve">ICANN Contractual Compliance publishes metrics and reports, including those on </w:t>
            </w:r>
            <w:r w:rsidR="00C92DEC" w:rsidRPr="00105142">
              <w:rPr>
                <w:rFonts w:asciiTheme="minorHAnsi" w:hAnsiTheme="minorHAnsi"/>
                <w:color w:val="244061" w:themeColor="accent1" w:themeShade="80"/>
                <w:sz w:val="22"/>
                <w:szCs w:val="22"/>
              </w:rPr>
              <w:t>RDS/</w:t>
            </w:r>
            <w:r w:rsidRPr="00105142">
              <w:rPr>
                <w:rFonts w:asciiTheme="minorHAnsi" w:hAnsiTheme="minorHAnsi"/>
                <w:color w:val="244061" w:themeColor="accent1" w:themeShade="80"/>
                <w:sz w:val="22"/>
                <w:szCs w:val="22"/>
              </w:rPr>
              <w:t xml:space="preserve">WHOIS accuracy </w:t>
            </w:r>
            <w:hyperlink r:id="rId13" w:history="1">
              <w:r w:rsidRPr="00105142">
                <w:rPr>
                  <w:rStyle w:val="Hyperlink"/>
                  <w:rFonts w:asciiTheme="minorHAnsi" w:hAnsiTheme="minorHAnsi"/>
                  <w:sz w:val="22"/>
                  <w:szCs w:val="22"/>
                </w:rPr>
                <w:t>here</w:t>
              </w:r>
            </w:hyperlink>
            <w:r w:rsidRPr="00105142">
              <w:rPr>
                <w:rFonts w:asciiTheme="minorHAnsi" w:hAnsiTheme="minorHAnsi"/>
                <w:color w:val="244061" w:themeColor="accent1" w:themeShade="80"/>
                <w:sz w:val="22"/>
                <w:szCs w:val="22"/>
              </w:rPr>
              <w:t>.</w:t>
            </w:r>
          </w:p>
          <w:p w14:paraId="10227CB3" w14:textId="77777777" w:rsidR="00F96704" w:rsidRPr="00105142" w:rsidRDefault="00F96704" w:rsidP="00BA2908">
            <w:pPr>
              <w:rPr>
                <w:rFonts w:asciiTheme="minorHAnsi" w:hAnsiTheme="minorHAnsi"/>
                <w:color w:val="244061" w:themeColor="accent1" w:themeShade="80"/>
                <w:sz w:val="22"/>
                <w:szCs w:val="22"/>
              </w:rPr>
            </w:pPr>
          </w:p>
          <w:p w14:paraId="1616A3AA" w14:textId="0AB29429" w:rsidR="00F96704" w:rsidRPr="00105142" w:rsidRDefault="00F96704" w:rsidP="00BA2908">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 xml:space="preserve">Announcements and blogs to inform the community on </w:t>
            </w:r>
            <w:r w:rsidR="00C92DEC" w:rsidRPr="00105142">
              <w:rPr>
                <w:rFonts w:asciiTheme="minorHAnsi" w:hAnsiTheme="minorHAnsi"/>
                <w:color w:val="244061" w:themeColor="accent1" w:themeShade="80"/>
                <w:sz w:val="22"/>
                <w:szCs w:val="22"/>
              </w:rPr>
              <w:t>RDS/</w:t>
            </w:r>
            <w:r w:rsidRPr="00105142">
              <w:rPr>
                <w:rFonts w:asciiTheme="minorHAnsi" w:hAnsiTheme="minorHAnsi"/>
                <w:color w:val="244061" w:themeColor="accent1" w:themeShade="80"/>
                <w:sz w:val="22"/>
                <w:szCs w:val="22"/>
              </w:rPr>
              <w:t xml:space="preserve">WHOIS activities are published </w:t>
            </w:r>
            <w:hyperlink r:id="rId14" w:history="1">
              <w:r w:rsidRPr="00105142">
                <w:rPr>
                  <w:rStyle w:val="Hyperlink"/>
                  <w:rFonts w:asciiTheme="minorHAnsi" w:hAnsiTheme="minorHAnsi"/>
                  <w:sz w:val="22"/>
                  <w:szCs w:val="22"/>
                </w:rPr>
                <w:t>here</w:t>
              </w:r>
            </w:hyperlink>
            <w:r w:rsidRPr="00105142">
              <w:rPr>
                <w:rFonts w:asciiTheme="minorHAnsi" w:hAnsiTheme="minorHAnsi"/>
                <w:color w:val="244061" w:themeColor="accent1" w:themeShade="80"/>
                <w:sz w:val="22"/>
                <w:szCs w:val="22"/>
              </w:rPr>
              <w:t xml:space="preserve"> and </w:t>
            </w:r>
            <w:hyperlink r:id="rId15" w:history="1">
              <w:r w:rsidRPr="00105142">
                <w:rPr>
                  <w:rStyle w:val="Hyperlink"/>
                  <w:rFonts w:asciiTheme="minorHAnsi" w:hAnsiTheme="minorHAnsi"/>
                  <w:sz w:val="22"/>
                  <w:szCs w:val="22"/>
                </w:rPr>
                <w:t>here</w:t>
              </w:r>
            </w:hyperlink>
            <w:r w:rsidRPr="00105142">
              <w:rPr>
                <w:rFonts w:asciiTheme="minorHAnsi" w:hAnsiTheme="minorHAnsi"/>
                <w:color w:val="244061" w:themeColor="accent1" w:themeShade="80"/>
                <w:sz w:val="22"/>
                <w:szCs w:val="22"/>
              </w:rPr>
              <w:t>.</w:t>
            </w:r>
          </w:p>
          <w:p w14:paraId="2A487FAB" w14:textId="77777777" w:rsidR="00F96704" w:rsidRPr="00105142" w:rsidRDefault="00F96704" w:rsidP="00BA2908">
            <w:pPr>
              <w:rPr>
                <w:rFonts w:asciiTheme="minorHAnsi" w:hAnsiTheme="minorHAnsi"/>
                <w:color w:val="244061" w:themeColor="accent1" w:themeShade="80"/>
                <w:sz w:val="22"/>
                <w:szCs w:val="22"/>
              </w:rPr>
            </w:pPr>
          </w:p>
          <w:p w14:paraId="3A568D13" w14:textId="1CCE559F" w:rsidR="00F96704" w:rsidRPr="00105142" w:rsidRDefault="00100B81" w:rsidP="00BA2908">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 xml:space="preserve">Community input on </w:t>
            </w:r>
            <w:r w:rsidR="00C92DEC" w:rsidRPr="00105142">
              <w:rPr>
                <w:rFonts w:asciiTheme="minorHAnsi" w:hAnsiTheme="minorHAnsi"/>
                <w:color w:val="244061" w:themeColor="accent1" w:themeShade="80"/>
                <w:sz w:val="22"/>
                <w:szCs w:val="22"/>
              </w:rPr>
              <w:t xml:space="preserve">RDS/WHOIS related policy and implementation work are available </w:t>
            </w:r>
            <w:hyperlink r:id="rId16" w:history="1">
              <w:r w:rsidR="00C92DEC" w:rsidRPr="00105142">
                <w:rPr>
                  <w:rStyle w:val="Hyperlink"/>
                  <w:rFonts w:asciiTheme="minorHAnsi" w:hAnsiTheme="minorHAnsi"/>
                  <w:sz w:val="22"/>
                  <w:szCs w:val="22"/>
                </w:rPr>
                <w:t>here</w:t>
              </w:r>
            </w:hyperlink>
            <w:r w:rsidR="00C92DEC" w:rsidRPr="00105142">
              <w:rPr>
                <w:rFonts w:asciiTheme="minorHAnsi" w:hAnsiTheme="minorHAnsi"/>
                <w:color w:val="244061" w:themeColor="accent1" w:themeShade="80"/>
                <w:sz w:val="22"/>
                <w:szCs w:val="22"/>
              </w:rPr>
              <w:t>.</w:t>
            </w:r>
          </w:p>
          <w:p w14:paraId="5B2E7376" w14:textId="77777777" w:rsidR="00755B32" w:rsidRPr="00105142" w:rsidRDefault="00755B32" w:rsidP="00BA2908">
            <w:pPr>
              <w:rPr>
                <w:rFonts w:asciiTheme="minorHAnsi" w:hAnsiTheme="minorHAnsi"/>
                <w:color w:val="244061" w:themeColor="accent1" w:themeShade="80"/>
                <w:sz w:val="22"/>
                <w:szCs w:val="22"/>
              </w:rPr>
            </w:pPr>
          </w:p>
          <w:p w14:paraId="78BAF98A" w14:textId="7DE48917" w:rsidR="0048344A" w:rsidRPr="00105142" w:rsidRDefault="00755B32" w:rsidP="00E16F06">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The Global Support Center receives and responds to inquiries from registrants</w:t>
            </w:r>
            <w:r w:rsidR="001B29E1" w:rsidRPr="00105142">
              <w:rPr>
                <w:rFonts w:asciiTheme="minorHAnsi" w:hAnsiTheme="minorHAnsi"/>
                <w:color w:val="244061" w:themeColor="accent1" w:themeShade="80"/>
                <w:sz w:val="22"/>
                <w:szCs w:val="22"/>
              </w:rPr>
              <w:t xml:space="preserve">, registrars, and registries. Their resources are available </w:t>
            </w:r>
            <w:hyperlink r:id="rId17" w:history="1">
              <w:r w:rsidR="001B29E1" w:rsidRPr="00105142">
                <w:rPr>
                  <w:rStyle w:val="Hyperlink"/>
                  <w:rFonts w:asciiTheme="minorHAnsi" w:hAnsiTheme="minorHAnsi"/>
                  <w:sz w:val="22"/>
                  <w:szCs w:val="22"/>
                </w:rPr>
                <w:t>here</w:t>
              </w:r>
            </w:hyperlink>
            <w:r w:rsidR="001B29E1" w:rsidRPr="00105142">
              <w:rPr>
                <w:rFonts w:asciiTheme="minorHAnsi" w:hAnsiTheme="minorHAnsi"/>
                <w:color w:val="244061" w:themeColor="accent1" w:themeShade="80"/>
                <w:sz w:val="22"/>
                <w:szCs w:val="22"/>
              </w:rPr>
              <w:t>.</w:t>
            </w:r>
          </w:p>
        </w:tc>
      </w:tr>
    </w:tbl>
    <w:p w14:paraId="0FA484D3" w14:textId="77777777" w:rsidR="000248AE" w:rsidRPr="00105142" w:rsidRDefault="000248AE" w:rsidP="0048344A">
      <w:pPr>
        <w:rPr>
          <w:rFonts w:asciiTheme="minorHAnsi" w:hAnsiTheme="minorHAnsi"/>
          <w:b/>
          <w:color w:val="244061" w:themeColor="accent1" w:themeShade="80"/>
          <w:sz w:val="22"/>
          <w:szCs w:val="22"/>
        </w:rPr>
      </w:pPr>
    </w:p>
    <w:p w14:paraId="35883E43" w14:textId="4A097E59" w:rsidR="0048344A" w:rsidRDefault="0048344A" w:rsidP="0048344A">
      <w:pPr>
        <w:rPr>
          <w:rFonts w:asciiTheme="minorHAnsi" w:hAnsiTheme="minorHAnsi"/>
          <w:b/>
          <w:color w:val="244061" w:themeColor="accent1" w:themeShade="80"/>
          <w:sz w:val="22"/>
          <w:szCs w:val="22"/>
        </w:rPr>
      </w:pPr>
      <w:r w:rsidRPr="00105142">
        <w:rPr>
          <w:rFonts w:asciiTheme="minorHAnsi" w:hAnsiTheme="minorHAnsi"/>
          <w:b/>
          <w:color w:val="244061" w:themeColor="accent1" w:themeShade="80"/>
          <w:sz w:val="22"/>
          <w:szCs w:val="22"/>
        </w:rPr>
        <w:t>Recommendation 3 – ICANN should ensure that WHOIS policy issues are accompanied by cross-community outreach</w:t>
      </w:r>
    </w:p>
    <w:p w14:paraId="436C2FC4" w14:textId="77777777" w:rsidR="00105142" w:rsidRPr="00105142" w:rsidRDefault="00105142" w:rsidP="0048344A">
      <w:pPr>
        <w:rPr>
          <w:rFonts w:asciiTheme="minorHAnsi" w:hAnsiTheme="minorHAnsi"/>
          <w:b/>
          <w:color w:val="244061" w:themeColor="accent1" w:themeShade="80"/>
          <w:sz w:val="22"/>
          <w:szCs w:val="22"/>
        </w:rPr>
      </w:pPr>
    </w:p>
    <w:tbl>
      <w:tblPr>
        <w:tblStyle w:val="TableGrid"/>
        <w:tblW w:w="0" w:type="auto"/>
        <w:tblLook w:val="04A0" w:firstRow="1" w:lastRow="0" w:firstColumn="1" w:lastColumn="0" w:noHBand="0" w:noVBand="1"/>
      </w:tblPr>
      <w:tblGrid>
        <w:gridCol w:w="9576"/>
      </w:tblGrid>
      <w:tr w:rsidR="0048344A" w:rsidRPr="00105142" w14:paraId="36578B44" w14:textId="77777777" w:rsidTr="00105142">
        <w:tc>
          <w:tcPr>
            <w:tcW w:w="9576" w:type="dxa"/>
            <w:shd w:val="clear" w:color="auto" w:fill="548DD4" w:themeFill="text2" w:themeFillTint="99"/>
            <w:vAlign w:val="center"/>
          </w:tcPr>
          <w:p w14:paraId="46C95F3D" w14:textId="77777777" w:rsidR="0048344A" w:rsidRPr="00105142" w:rsidRDefault="0048344A" w:rsidP="00105142">
            <w:pPr>
              <w:pStyle w:val="ListParagraph"/>
              <w:numPr>
                <w:ilvl w:val="0"/>
                <w:numId w:val="6"/>
              </w:numPr>
              <w:rPr>
                <w:color w:val="FFFFFF" w:themeColor="background1"/>
              </w:rPr>
            </w:pPr>
            <w:r w:rsidRPr="00105142">
              <w:rPr>
                <w:color w:val="FFFFFF" w:themeColor="background1"/>
              </w:rPr>
              <w:t>How is registrant outreach being done?</w:t>
            </w:r>
          </w:p>
        </w:tc>
      </w:tr>
      <w:tr w:rsidR="0048344A" w:rsidRPr="00105142" w14:paraId="5D7480E5" w14:textId="77777777" w:rsidTr="00185D1E">
        <w:trPr>
          <w:trHeight w:val="256"/>
        </w:trPr>
        <w:tc>
          <w:tcPr>
            <w:tcW w:w="9576" w:type="dxa"/>
          </w:tcPr>
          <w:p w14:paraId="1AAECD5A" w14:textId="1CB653A2" w:rsidR="00CF4203" w:rsidRPr="00105142" w:rsidRDefault="00CF4203" w:rsidP="00CF4203">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We have created a section on icann.org where we post information for registrants. This page can now be reached directly from the icann.org home page.</w:t>
            </w:r>
          </w:p>
          <w:p w14:paraId="4AE727CD" w14:textId="77777777" w:rsidR="00CF4203" w:rsidRPr="00105142" w:rsidRDefault="00CF4203" w:rsidP="00CF4203">
            <w:pPr>
              <w:rPr>
                <w:rFonts w:asciiTheme="minorHAnsi" w:hAnsiTheme="minorHAnsi"/>
                <w:color w:val="244061" w:themeColor="accent1" w:themeShade="80"/>
                <w:sz w:val="22"/>
                <w:szCs w:val="22"/>
              </w:rPr>
            </w:pPr>
          </w:p>
          <w:p w14:paraId="39B0BCC8" w14:textId="5F96A08E" w:rsidR="0048344A" w:rsidRPr="00105142" w:rsidRDefault="00CF4203" w:rsidP="00CF4203">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We are currently reviewing and updating</w:t>
            </w:r>
            <w:r w:rsidR="00746ECF" w:rsidRPr="00105142">
              <w:rPr>
                <w:rFonts w:asciiTheme="minorHAnsi" w:hAnsiTheme="minorHAnsi"/>
                <w:color w:val="244061" w:themeColor="accent1" w:themeShade="80"/>
                <w:sz w:val="22"/>
                <w:szCs w:val="22"/>
              </w:rPr>
              <w:t xml:space="preserve"> and </w:t>
            </w:r>
            <w:r w:rsidRPr="00105142">
              <w:rPr>
                <w:rFonts w:asciiTheme="minorHAnsi" w:hAnsiTheme="minorHAnsi"/>
                <w:color w:val="244061" w:themeColor="accent1" w:themeShade="80"/>
                <w:sz w:val="22"/>
                <w:szCs w:val="22"/>
              </w:rPr>
              <w:t>creating content to inform registrants of their rights and obligations and how ICANN policies impact them</w:t>
            </w:r>
            <w:r w:rsidR="00746ECF" w:rsidRPr="00105142">
              <w:rPr>
                <w:rFonts w:asciiTheme="minorHAnsi" w:hAnsiTheme="minorHAnsi"/>
                <w:color w:val="244061" w:themeColor="accent1" w:themeShade="80"/>
                <w:sz w:val="22"/>
                <w:szCs w:val="22"/>
              </w:rPr>
              <w:t>, including WHOIS related policies</w:t>
            </w:r>
            <w:r w:rsidRPr="00105142">
              <w:rPr>
                <w:rFonts w:asciiTheme="minorHAnsi" w:hAnsiTheme="minorHAnsi"/>
                <w:color w:val="244061" w:themeColor="accent1" w:themeShade="80"/>
                <w:sz w:val="22"/>
                <w:szCs w:val="22"/>
              </w:rPr>
              <w:t>. The content is written for registrants in a way that is understandable and meaningful to them, and are translated.</w:t>
            </w:r>
          </w:p>
          <w:p w14:paraId="5E196EF0" w14:textId="77777777" w:rsidR="00CF4203" w:rsidRPr="00105142" w:rsidRDefault="00CF4203" w:rsidP="00CF4203">
            <w:pPr>
              <w:rPr>
                <w:rFonts w:asciiTheme="minorHAnsi" w:hAnsiTheme="minorHAnsi"/>
                <w:color w:val="244061" w:themeColor="accent1" w:themeShade="80"/>
                <w:sz w:val="22"/>
                <w:szCs w:val="22"/>
              </w:rPr>
            </w:pPr>
          </w:p>
          <w:p w14:paraId="256C91AE" w14:textId="185472B6" w:rsidR="00CF4203" w:rsidRPr="00105142" w:rsidRDefault="00CF4203" w:rsidP="00CF4203">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 xml:space="preserve">In addition to providing the content on icann.org, </w:t>
            </w:r>
            <w:r w:rsidR="006B5CFA" w:rsidRPr="00105142">
              <w:rPr>
                <w:rFonts w:asciiTheme="minorHAnsi" w:hAnsiTheme="minorHAnsi"/>
                <w:color w:val="244061" w:themeColor="accent1" w:themeShade="80"/>
                <w:sz w:val="22"/>
                <w:szCs w:val="22"/>
              </w:rPr>
              <w:t>ICANN org promotes the content via social media. We are having internal discussions on  additional ways to promote the content.</w:t>
            </w:r>
          </w:p>
          <w:p w14:paraId="772A5C36" w14:textId="77777777" w:rsidR="006B5CFA" w:rsidRPr="00105142" w:rsidRDefault="006B5CFA" w:rsidP="00CF4203">
            <w:pPr>
              <w:rPr>
                <w:rFonts w:asciiTheme="minorHAnsi" w:hAnsiTheme="minorHAnsi"/>
                <w:color w:val="244061" w:themeColor="accent1" w:themeShade="80"/>
                <w:sz w:val="22"/>
                <w:szCs w:val="22"/>
              </w:rPr>
            </w:pPr>
          </w:p>
          <w:p w14:paraId="01890E6A" w14:textId="77777777" w:rsidR="006B5CFA" w:rsidRPr="00105142" w:rsidRDefault="006B5CFA" w:rsidP="006B5CFA">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We are also working on adapting the content into toolkits for registrars to use in their interactions with registrants.</w:t>
            </w:r>
          </w:p>
          <w:p w14:paraId="57867CF4" w14:textId="09A7B2F5" w:rsidR="006B5CFA" w:rsidRPr="00105142" w:rsidRDefault="006B5CFA" w:rsidP="006B5CFA">
            <w:pPr>
              <w:rPr>
                <w:rFonts w:asciiTheme="minorHAnsi" w:hAnsiTheme="minorHAnsi"/>
                <w:color w:val="244061" w:themeColor="accent1" w:themeShade="80"/>
                <w:sz w:val="22"/>
                <w:szCs w:val="22"/>
              </w:rPr>
            </w:pPr>
          </w:p>
        </w:tc>
      </w:tr>
      <w:tr w:rsidR="0048344A" w:rsidRPr="00105142" w14:paraId="5EBEE140" w14:textId="77777777" w:rsidTr="00105142">
        <w:tc>
          <w:tcPr>
            <w:tcW w:w="9576" w:type="dxa"/>
            <w:shd w:val="clear" w:color="auto" w:fill="548DD4" w:themeFill="text2" w:themeFillTint="99"/>
            <w:vAlign w:val="center"/>
          </w:tcPr>
          <w:p w14:paraId="5981AC61" w14:textId="77777777" w:rsidR="0048344A" w:rsidRPr="00105142" w:rsidRDefault="000248AE" w:rsidP="00105142">
            <w:pPr>
              <w:pStyle w:val="ListParagraph"/>
              <w:numPr>
                <w:ilvl w:val="0"/>
                <w:numId w:val="6"/>
              </w:numPr>
              <w:rPr>
                <w:color w:val="FFFFFF" w:themeColor="background1"/>
              </w:rPr>
            </w:pPr>
            <w:r w:rsidRPr="00105142">
              <w:rPr>
                <w:color w:val="FFFFFF" w:themeColor="background1"/>
              </w:rPr>
              <w:t>Why are there two different documents with similar titles for registrant rights/benefits and responsibilities and are both required by RAA</w:t>
            </w:r>
            <w:r w:rsidR="0004483C" w:rsidRPr="00105142">
              <w:rPr>
                <w:color w:val="FFFFFF" w:themeColor="background1"/>
              </w:rPr>
              <w:t xml:space="preserve"> (3.7.10 and 3.16)? Is Contractual Compliance an auditing requirement for both?</w:t>
            </w:r>
          </w:p>
        </w:tc>
      </w:tr>
      <w:tr w:rsidR="0048344A" w:rsidRPr="00105142" w14:paraId="76497667" w14:textId="77777777" w:rsidTr="00185D1E">
        <w:trPr>
          <w:trHeight w:val="256"/>
        </w:trPr>
        <w:tc>
          <w:tcPr>
            <w:tcW w:w="9576" w:type="dxa"/>
          </w:tcPr>
          <w:p w14:paraId="2D1947B2" w14:textId="03A03998" w:rsidR="0048344A" w:rsidRPr="00105142" w:rsidRDefault="00A70D88" w:rsidP="00185D1E">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The requirements in Section 3.7.10 and 3.16 of the 2013 RAA serve different functions.</w:t>
            </w:r>
          </w:p>
          <w:p w14:paraId="5F508E4E" w14:textId="77777777" w:rsidR="00A70D88" w:rsidRPr="00105142" w:rsidRDefault="00A70D88" w:rsidP="00185D1E">
            <w:pPr>
              <w:rPr>
                <w:rFonts w:asciiTheme="minorHAnsi" w:hAnsiTheme="minorHAnsi"/>
                <w:color w:val="244061" w:themeColor="accent1" w:themeShade="80"/>
                <w:sz w:val="22"/>
                <w:szCs w:val="22"/>
              </w:rPr>
            </w:pPr>
          </w:p>
          <w:p w14:paraId="5B442E78" w14:textId="0F696353" w:rsidR="00A70D88" w:rsidRPr="00105142" w:rsidRDefault="00A70D88" w:rsidP="00A70D88">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Section 3.7.10 refers to a specification that was developed for the RAA, a short statement of what registrants can expect from their registrars and registrant’s commensurate responsibilities.</w:t>
            </w:r>
          </w:p>
          <w:p w14:paraId="021BE802" w14:textId="77777777" w:rsidR="00A70D88" w:rsidRPr="00105142" w:rsidRDefault="00A70D88" w:rsidP="00A70D88">
            <w:pPr>
              <w:rPr>
                <w:rFonts w:asciiTheme="minorHAnsi" w:hAnsiTheme="minorHAnsi"/>
                <w:color w:val="244061" w:themeColor="accent1" w:themeShade="80"/>
                <w:sz w:val="22"/>
                <w:szCs w:val="22"/>
              </w:rPr>
            </w:pPr>
          </w:p>
          <w:p w14:paraId="1738DC0D" w14:textId="6BEDE71F" w:rsidR="00A70D88" w:rsidRPr="00105142" w:rsidRDefault="00A70D88" w:rsidP="00A70D88">
            <w:pPr>
              <w:rPr>
                <w:rFonts w:asciiTheme="minorHAnsi" w:hAnsiTheme="minorHAnsi"/>
                <w:color w:val="244061" w:themeColor="accent1" w:themeShade="80"/>
                <w:sz w:val="22"/>
                <w:szCs w:val="22"/>
              </w:rPr>
            </w:pPr>
            <w:r w:rsidRPr="00105142">
              <w:rPr>
                <w:rFonts w:asciiTheme="minorHAnsi" w:hAnsiTheme="minorHAnsi"/>
                <w:color w:val="244061" w:themeColor="accent1" w:themeShade="80"/>
                <w:sz w:val="22"/>
                <w:szCs w:val="22"/>
              </w:rPr>
              <w:t>Section Section 3.16 requires registrars to post a link to educational materials ( ICANN has published an educational webpage summarizing the terms of the Registrar Accreditation Agreement and related Consensus Policies (as of the date of the Agreement, located at: </w:t>
            </w:r>
            <w:hyperlink r:id="rId18" w:history="1">
              <w:r w:rsidRPr="00105142">
                <w:rPr>
                  <w:rStyle w:val="Hyperlink"/>
                  <w:rFonts w:asciiTheme="minorHAnsi" w:hAnsiTheme="minorHAnsi"/>
                  <w:sz w:val="22"/>
                  <w:szCs w:val="22"/>
                </w:rPr>
                <w:t>http://www.icann.org/en/registrars/registrant-rights-responsibilities-en.htm</w:t>
              </w:r>
            </w:hyperlink>
            <w:r w:rsidRPr="00105142">
              <w:rPr>
                <w:rFonts w:asciiTheme="minorHAnsi" w:hAnsiTheme="minorHAnsi"/>
                <w:color w:val="244061" w:themeColor="accent1" w:themeShade="80"/>
                <w:sz w:val="22"/>
                <w:szCs w:val="22"/>
              </w:rPr>
              <w:t>)). This page, though it discusses the 2009 RAA, contains a summary of the RAA and Consensus policies that is not included in the Registrant Benefits and Responsibillities page. Under the 2009 RAA, ICANN had the opportunity (and did) develop the educational page that still exists today (See Section 3.15 of the 2009 RAA, stating "In the event that ICANN gives reasonable notice to Registrar that ICANN has published a webpage that identifies available registrant rights and responsibilities, and the content of such webpage is developed in consultation with registrars, Registrar shall provide a link to the webpage on any website it may operate for domain name registration or renewal clearly displayed to its Registered Name Holders at least as clearly as its links to policies or notifications required to be displayed under ICANN Consensus Policies.”)  Section 3.16 of the 2013 RAA represents an updated version of this same term, referencing the page that was developed.</w:t>
            </w:r>
          </w:p>
          <w:p w14:paraId="7B5E8A2E" w14:textId="77777777" w:rsidR="00A70D88" w:rsidRPr="00105142" w:rsidRDefault="00A70D88" w:rsidP="00A70D88">
            <w:pPr>
              <w:rPr>
                <w:rFonts w:asciiTheme="minorHAnsi" w:hAnsiTheme="minorHAnsi"/>
                <w:color w:val="244061" w:themeColor="accent1" w:themeShade="80"/>
                <w:sz w:val="22"/>
                <w:szCs w:val="22"/>
              </w:rPr>
            </w:pPr>
          </w:p>
          <w:p w14:paraId="57A9D92E" w14:textId="70D56643" w:rsidR="00E97F4C" w:rsidRPr="00105142" w:rsidRDefault="00E97F4C" w:rsidP="00E97F4C">
            <w:pPr>
              <w:shd w:val="clear" w:color="auto" w:fill="FFFFFF"/>
              <w:ind w:right="720"/>
              <w:rPr>
                <w:rFonts w:asciiTheme="minorHAnsi" w:hAnsiTheme="minorHAnsi"/>
                <w:sz w:val="22"/>
                <w:szCs w:val="22"/>
                <w:lang w:eastAsia="zh-CN"/>
              </w:rPr>
            </w:pPr>
            <w:r w:rsidRPr="00105142">
              <w:rPr>
                <w:rFonts w:asciiTheme="minorHAnsi" w:hAnsiTheme="minorHAnsi"/>
                <w:sz w:val="22"/>
                <w:szCs w:val="22"/>
              </w:rPr>
              <w:t xml:space="preserve">For registrars under </w:t>
            </w:r>
            <w:r w:rsidR="007D58AD" w:rsidRPr="00105142">
              <w:rPr>
                <w:rFonts w:asciiTheme="minorHAnsi" w:hAnsiTheme="minorHAnsi"/>
                <w:sz w:val="22"/>
                <w:szCs w:val="22"/>
              </w:rPr>
              <w:t xml:space="preserve">the </w:t>
            </w:r>
            <w:r w:rsidRPr="00105142">
              <w:rPr>
                <w:rFonts w:asciiTheme="minorHAnsi" w:hAnsiTheme="minorHAnsi"/>
                <w:sz w:val="22"/>
                <w:szCs w:val="22"/>
              </w:rPr>
              <w:t xml:space="preserve">2013 RAA (per Section 3.16 and Section 3.7.10), </w:t>
            </w:r>
            <w:r w:rsidR="007D58AD" w:rsidRPr="00105142">
              <w:rPr>
                <w:rFonts w:asciiTheme="minorHAnsi" w:hAnsiTheme="minorHAnsi"/>
                <w:sz w:val="22"/>
                <w:szCs w:val="22"/>
              </w:rPr>
              <w:t xml:space="preserve">ICANN Contractual Compliance </w:t>
            </w:r>
            <w:r w:rsidRPr="00105142">
              <w:rPr>
                <w:rFonts w:asciiTheme="minorHAnsi" w:hAnsiTheme="minorHAnsi"/>
                <w:sz w:val="22"/>
                <w:szCs w:val="22"/>
              </w:rPr>
              <w:t>looks for this lin</w:t>
            </w:r>
            <w:r w:rsidR="007D58AD" w:rsidRPr="00105142">
              <w:rPr>
                <w:rFonts w:asciiTheme="minorHAnsi" w:hAnsiTheme="minorHAnsi"/>
                <w:sz w:val="22"/>
                <w:szCs w:val="22"/>
              </w:rPr>
              <w:t xml:space="preserve">k </w:t>
            </w:r>
            <w:hyperlink r:id="rId19" w:history="1">
              <w:r w:rsidR="007D58AD" w:rsidRPr="00105142">
                <w:rPr>
                  <w:rStyle w:val="Hyperlink"/>
                  <w:rFonts w:asciiTheme="minorHAnsi" w:hAnsiTheme="minorHAnsi"/>
                  <w:color w:val="auto"/>
                  <w:sz w:val="22"/>
                  <w:szCs w:val="22"/>
                </w:rPr>
                <w:t>https://www.icann.org/resources/pages/benefits-2013-09-16-en</w:t>
              </w:r>
            </w:hyperlink>
            <w:r w:rsidRPr="00105142">
              <w:rPr>
                <w:rFonts w:asciiTheme="minorHAnsi" w:hAnsiTheme="minorHAnsi"/>
                <w:sz w:val="22"/>
                <w:szCs w:val="22"/>
              </w:rPr>
              <w:t> </w:t>
            </w:r>
            <w:r w:rsidR="007D58AD" w:rsidRPr="00105142" w:rsidDel="007D58AD">
              <w:rPr>
                <w:rFonts w:asciiTheme="minorHAnsi" w:hAnsiTheme="minorHAnsi"/>
                <w:sz w:val="22"/>
                <w:szCs w:val="22"/>
              </w:rPr>
              <w:t xml:space="preserve"> </w:t>
            </w:r>
          </w:p>
          <w:p w14:paraId="29FD9D71" w14:textId="77777777" w:rsidR="00E97F4C" w:rsidRPr="00105142" w:rsidRDefault="00E97F4C" w:rsidP="007D58AD">
            <w:pPr>
              <w:shd w:val="clear" w:color="auto" w:fill="FFFFFF"/>
              <w:ind w:right="720"/>
              <w:rPr>
                <w:rFonts w:asciiTheme="minorHAnsi" w:hAnsiTheme="minorHAnsi"/>
                <w:sz w:val="22"/>
                <w:szCs w:val="22"/>
              </w:rPr>
            </w:pPr>
            <w:r w:rsidRPr="00105142">
              <w:rPr>
                <w:rFonts w:asciiTheme="minorHAnsi" w:hAnsiTheme="minorHAnsi"/>
                <w:sz w:val="22"/>
                <w:szCs w:val="22"/>
              </w:rPr>
              <w:t> </w:t>
            </w:r>
          </w:p>
          <w:p w14:paraId="018DC8D4" w14:textId="2988102C" w:rsidR="00E97F4C" w:rsidRPr="00105142" w:rsidRDefault="00E97F4C" w:rsidP="00E97F4C">
            <w:pPr>
              <w:shd w:val="clear" w:color="auto" w:fill="FFFFFF"/>
              <w:ind w:right="720"/>
              <w:rPr>
                <w:rFonts w:asciiTheme="minorHAnsi" w:hAnsiTheme="minorHAnsi"/>
                <w:sz w:val="22"/>
                <w:szCs w:val="22"/>
              </w:rPr>
            </w:pPr>
            <w:r w:rsidRPr="00105142">
              <w:rPr>
                <w:rFonts w:asciiTheme="minorHAnsi" w:hAnsiTheme="minorHAnsi"/>
                <w:sz w:val="22"/>
                <w:szCs w:val="22"/>
              </w:rPr>
              <w:t xml:space="preserve">For registrars under </w:t>
            </w:r>
            <w:r w:rsidR="007D58AD" w:rsidRPr="00105142">
              <w:rPr>
                <w:rFonts w:asciiTheme="minorHAnsi" w:hAnsiTheme="minorHAnsi"/>
                <w:sz w:val="22"/>
                <w:szCs w:val="22"/>
              </w:rPr>
              <w:t xml:space="preserve">the </w:t>
            </w:r>
            <w:r w:rsidRPr="00105142">
              <w:rPr>
                <w:rFonts w:asciiTheme="minorHAnsi" w:hAnsiTheme="minorHAnsi"/>
                <w:sz w:val="22"/>
                <w:szCs w:val="22"/>
              </w:rPr>
              <w:t xml:space="preserve">2009 RAA (per Section 3.15), </w:t>
            </w:r>
            <w:r w:rsidR="007D58AD" w:rsidRPr="00105142">
              <w:rPr>
                <w:rFonts w:asciiTheme="minorHAnsi" w:hAnsiTheme="minorHAnsi"/>
                <w:sz w:val="22"/>
                <w:szCs w:val="22"/>
              </w:rPr>
              <w:t xml:space="preserve">ICANN Contractual Compliance </w:t>
            </w:r>
            <w:r w:rsidRPr="00105142">
              <w:rPr>
                <w:rFonts w:asciiTheme="minorHAnsi" w:hAnsiTheme="minorHAnsi"/>
                <w:sz w:val="22"/>
                <w:szCs w:val="22"/>
              </w:rPr>
              <w:t xml:space="preserve">accepts </w:t>
            </w:r>
            <w:r w:rsidRPr="00105142">
              <w:rPr>
                <w:rFonts w:asciiTheme="minorHAnsi" w:hAnsiTheme="minorHAnsi"/>
                <w:sz w:val="22"/>
                <w:szCs w:val="22"/>
              </w:rPr>
              <w:lastRenderedPageBreak/>
              <w:t>either the 2009 link </w:t>
            </w:r>
            <w:hyperlink r:id="rId20" w:history="1">
              <w:r w:rsidRPr="00105142">
                <w:rPr>
                  <w:rStyle w:val="Hyperlink"/>
                  <w:rFonts w:asciiTheme="minorHAnsi" w:hAnsiTheme="minorHAnsi"/>
                  <w:color w:val="auto"/>
                  <w:sz w:val="22"/>
                  <w:szCs w:val="22"/>
                </w:rPr>
                <w:t>https://www.icann.org/resources/pages/responsibilities-2014-03-14-en</w:t>
              </w:r>
            </w:hyperlink>
            <w:r w:rsidRPr="00105142">
              <w:rPr>
                <w:rFonts w:asciiTheme="minorHAnsi" w:hAnsiTheme="minorHAnsi"/>
                <w:sz w:val="22"/>
                <w:szCs w:val="22"/>
              </w:rPr>
              <w:t> or the one above.</w:t>
            </w:r>
          </w:p>
          <w:p w14:paraId="5BD43030" w14:textId="1927F61C" w:rsidR="00A70D88" w:rsidRPr="00105142" w:rsidRDefault="00A70D88" w:rsidP="00185D1E">
            <w:pPr>
              <w:rPr>
                <w:rFonts w:asciiTheme="minorHAnsi" w:hAnsiTheme="minorHAnsi"/>
                <w:color w:val="244061" w:themeColor="accent1" w:themeShade="80"/>
                <w:sz w:val="22"/>
                <w:szCs w:val="22"/>
              </w:rPr>
            </w:pPr>
          </w:p>
        </w:tc>
      </w:tr>
    </w:tbl>
    <w:p w14:paraId="7B504CDE" w14:textId="77777777" w:rsidR="0048344A" w:rsidRPr="00105142" w:rsidRDefault="0048344A">
      <w:pPr>
        <w:rPr>
          <w:rFonts w:asciiTheme="minorHAnsi" w:hAnsiTheme="minorHAnsi"/>
          <w:b/>
          <w:color w:val="244061" w:themeColor="accent1" w:themeShade="80"/>
          <w:sz w:val="22"/>
          <w:szCs w:val="22"/>
        </w:rPr>
      </w:pPr>
    </w:p>
    <w:p w14:paraId="52A1DFCD" w14:textId="77777777" w:rsidR="00D32A4C" w:rsidRDefault="00D32A4C">
      <w:pPr>
        <w:rPr>
          <w:rFonts w:asciiTheme="minorHAnsi" w:hAnsiTheme="minorHAnsi"/>
          <w:b/>
          <w:color w:val="244061" w:themeColor="accent1" w:themeShade="80"/>
          <w:sz w:val="22"/>
          <w:szCs w:val="22"/>
        </w:rPr>
      </w:pPr>
      <w:r w:rsidRPr="00105142">
        <w:rPr>
          <w:rFonts w:asciiTheme="minorHAnsi" w:hAnsiTheme="minorHAnsi"/>
          <w:b/>
          <w:color w:val="244061" w:themeColor="accent1" w:themeShade="80"/>
          <w:sz w:val="22"/>
          <w:szCs w:val="22"/>
        </w:rPr>
        <w:t>Recommendation 4</w:t>
      </w:r>
      <w:r w:rsidR="00753CBB" w:rsidRPr="00105142">
        <w:rPr>
          <w:rFonts w:asciiTheme="minorHAnsi" w:hAnsiTheme="minorHAnsi"/>
          <w:b/>
          <w:color w:val="244061" w:themeColor="accent1" w:themeShade="80"/>
          <w:sz w:val="22"/>
          <w:szCs w:val="22"/>
        </w:rPr>
        <w:t xml:space="preserve"> - ICANN should ensure that its compliance function is managed in accordance with best practice principles, including full transparency on resourcing and structure; provide annual reports; appoint a senior executive whose sole responsibility would be to oversee and manage ICANN’s compliance function (reporting to Board Committee); provide all necessary resources to manage and scale compliance team’s activities</w:t>
      </w:r>
    </w:p>
    <w:p w14:paraId="11E7ED12" w14:textId="77777777" w:rsidR="00105142" w:rsidRPr="00105142" w:rsidRDefault="00105142">
      <w:pPr>
        <w:rPr>
          <w:rFonts w:asciiTheme="minorHAnsi" w:hAnsiTheme="minorHAnsi"/>
          <w:b/>
          <w:color w:val="244061" w:themeColor="accent1" w:themeShade="80"/>
          <w:sz w:val="22"/>
          <w:szCs w:val="22"/>
        </w:rPr>
      </w:pPr>
    </w:p>
    <w:tbl>
      <w:tblPr>
        <w:tblStyle w:val="TableGrid"/>
        <w:tblW w:w="0" w:type="auto"/>
        <w:tblLook w:val="04A0" w:firstRow="1" w:lastRow="0" w:firstColumn="1" w:lastColumn="0" w:noHBand="0" w:noVBand="1"/>
      </w:tblPr>
      <w:tblGrid>
        <w:gridCol w:w="9576"/>
      </w:tblGrid>
      <w:tr w:rsidR="00AE2F07" w:rsidRPr="00105142" w14:paraId="36BE1F71" w14:textId="77777777" w:rsidTr="00AE2F07">
        <w:tc>
          <w:tcPr>
            <w:tcW w:w="9576" w:type="dxa"/>
            <w:shd w:val="clear" w:color="auto" w:fill="548DD4" w:themeFill="text2" w:themeFillTint="99"/>
          </w:tcPr>
          <w:p w14:paraId="27139EC1" w14:textId="77777777" w:rsidR="00AE2F07" w:rsidRPr="00105142" w:rsidRDefault="00AE2F07" w:rsidP="00AE2F07">
            <w:pPr>
              <w:pStyle w:val="ListParagraph"/>
              <w:numPr>
                <w:ilvl w:val="0"/>
                <w:numId w:val="6"/>
              </w:numPr>
              <w:rPr>
                <w:color w:val="FFFFFF" w:themeColor="background1"/>
              </w:rPr>
            </w:pPr>
            <w:r w:rsidRPr="00105142">
              <w:rPr>
                <w:color w:val="FFFFFF" w:themeColor="background1"/>
              </w:rPr>
              <w:t>How does ICANN envision the role of the Consumer Safeguards Director, now and in the future?</w:t>
            </w:r>
          </w:p>
        </w:tc>
      </w:tr>
      <w:tr w:rsidR="00AE2F07" w:rsidRPr="00105142" w14:paraId="56B51FB6" w14:textId="77777777" w:rsidTr="00105142">
        <w:trPr>
          <w:trHeight w:val="255"/>
        </w:trPr>
        <w:tc>
          <w:tcPr>
            <w:tcW w:w="9576" w:type="dxa"/>
          </w:tcPr>
          <w:p w14:paraId="36C8F6E9" w14:textId="18A876F2" w:rsidR="00AE2F07" w:rsidRPr="00105142" w:rsidRDefault="00105142">
            <w:pPr>
              <w:rPr>
                <w:rFonts w:asciiTheme="minorHAnsi" w:hAnsiTheme="minorHAnsi" w:cs="Times New Roman"/>
                <w:color w:val="000000"/>
                <w:sz w:val="22"/>
                <w:szCs w:val="22"/>
              </w:rPr>
            </w:pPr>
            <w:r w:rsidRPr="00105142">
              <w:rPr>
                <w:rFonts w:asciiTheme="minorHAnsi" w:hAnsiTheme="minorHAnsi" w:cs="Times New Roman"/>
                <w:color w:val="000000"/>
                <w:sz w:val="22"/>
                <w:szCs w:val="22"/>
              </w:rPr>
              <w:t>The Consumer Safeguards Director role is currently envisioned as dual-pronged. First, it will facilitate community-wide conversations and education through transparent discussions on safeguards within ICANN’s remit and mission, voluntary actions to address DNS abuse, and other relevant topics raised by the community.  Second, upon community request, it will perform research regarding the role of consumer safeguards in the DNS to support fact-based policy making. The Consumer Safeguards role will likely evolve over time pursuant to the community’s input. It is important to note that the Consumer Safeguards role is separate and distinct from ICANN’s contractual compliance department.</w:t>
            </w:r>
          </w:p>
        </w:tc>
      </w:tr>
    </w:tbl>
    <w:p w14:paraId="7D8E6580" w14:textId="77777777" w:rsidR="00D32A4C" w:rsidRPr="00105142" w:rsidRDefault="00D32A4C">
      <w:pPr>
        <w:rPr>
          <w:rFonts w:asciiTheme="minorHAnsi" w:hAnsiTheme="minorHAnsi"/>
          <w:b/>
          <w:color w:val="244061" w:themeColor="accent1" w:themeShade="80"/>
          <w:sz w:val="22"/>
          <w:szCs w:val="22"/>
        </w:rPr>
      </w:pPr>
    </w:p>
    <w:p w14:paraId="5AD8DE47" w14:textId="4D9D7753" w:rsidR="00285BD3" w:rsidRDefault="00C602D5">
      <w:pPr>
        <w:rPr>
          <w:rFonts w:asciiTheme="minorHAnsi" w:hAnsiTheme="minorHAnsi"/>
          <w:b/>
          <w:color w:val="244061" w:themeColor="accent1" w:themeShade="80"/>
          <w:sz w:val="22"/>
          <w:szCs w:val="22"/>
        </w:rPr>
      </w:pPr>
      <w:r w:rsidRPr="00105142">
        <w:rPr>
          <w:rFonts w:asciiTheme="minorHAnsi" w:hAnsiTheme="minorHAnsi"/>
          <w:b/>
          <w:color w:val="244061" w:themeColor="accent1" w:themeShade="80"/>
          <w:sz w:val="22"/>
          <w:szCs w:val="22"/>
        </w:rPr>
        <w:t>Recommendation 5</w:t>
      </w:r>
      <w:r w:rsidR="004F13CD" w:rsidRPr="00105142">
        <w:rPr>
          <w:rFonts w:asciiTheme="minorHAnsi" w:hAnsiTheme="minorHAnsi"/>
          <w:b/>
          <w:color w:val="244061" w:themeColor="accent1" w:themeShade="80"/>
          <w:sz w:val="22"/>
          <w:szCs w:val="22"/>
        </w:rPr>
        <w:t xml:space="preserve"> - ICANN should ensure that requirements for accurate Whois data are widely and pro-actively communicated</w:t>
      </w:r>
    </w:p>
    <w:p w14:paraId="097E8623" w14:textId="77777777" w:rsidR="00105142" w:rsidRPr="00105142" w:rsidRDefault="00105142">
      <w:pPr>
        <w:rPr>
          <w:rFonts w:asciiTheme="minorHAnsi" w:hAnsiTheme="minorHAnsi"/>
          <w:b/>
          <w:color w:val="244061" w:themeColor="accent1" w:themeShade="80"/>
          <w:sz w:val="22"/>
          <w:szCs w:val="22"/>
        </w:rPr>
      </w:pPr>
    </w:p>
    <w:tbl>
      <w:tblPr>
        <w:tblStyle w:val="TableGrid"/>
        <w:tblW w:w="0" w:type="auto"/>
        <w:tblLook w:val="04A0" w:firstRow="1" w:lastRow="0" w:firstColumn="1" w:lastColumn="0" w:noHBand="0" w:noVBand="1"/>
      </w:tblPr>
      <w:tblGrid>
        <w:gridCol w:w="9576"/>
      </w:tblGrid>
      <w:tr w:rsidR="00165393" w:rsidRPr="00105142" w14:paraId="03563949" w14:textId="77777777" w:rsidTr="00105142">
        <w:trPr>
          <w:trHeight w:val="324"/>
        </w:trPr>
        <w:tc>
          <w:tcPr>
            <w:tcW w:w="9576" w:type="dxa"/>
            <w:shd w:val="clear" w:color="auto" w:fill="548DD4" w:themeFill="text2" w:themeFillTint="99"/>
          </w:tcPr>
          <w:p w14:paraId="4CD43085" w14:textId="77777777" w:rsidR="004F13CD" w:rsidRPr="00105142" w:rsidRDefault="004F13CD" w:rsidP="00711A60">
            <w:pPr>
              <w:pStyle w:val="ListParagraph"/>
              <w:numPr>
                <w:ilvl w:val="0"/>
                <w:numId w:val="6"/>
              </w:numPr>
              <w:rPr>
                <w:color w:val="FFFFFF" w:themeColor="background1"/>
              </w:rPr>
            </w:pPr>
            <w:r w:rsidRPr="00105142">
              <w:rPr>
                <w:color w:val="FFFFFF" w:themeColor="background1"/>
              </w:rPr>
              <w:t>Does the portal provide sup</w:t>
            </w:r>
            <w:r w:rsidR="00C0618F" w:rsidRPr="00105142">
              <w:rPr>
                <w:color w:val="FFFFFF" w:themeColor="background1"/>
              </w:rPr>
              <w:t xml:space="preserve">port for all new gTLDs? (e.g., </w:t>
            </w:r>
            <w:r w:rsidR="00877773" w:rsidRPr="00105142">
              <w:rPr>
                <w:color w:val="FFFFFF" w:themeColor="background1"/>
              </w:rPr>
              <w:t>gTLD .</w:t>
            </w:r>
            <w:r w:rsidRPr="00105142">
              <w:rPr>
                <w:color w:val="FFFFFF" w:themeColor="background1"/>
              </w:rPr>
              <w:t>film returns an error message)</w:t>
            </w:r>
          </w:p>
        </w:tc>
      </w:tr>
      <w:tr w:rsidR="004F13CD" w:rsidRPr="00105142" w14:paraId="3FF460A4" w14:textId="77777777" w:rsidTr="00165393">
        <w:trPr>
          <w:trHeight w:val="213"/>
        </w:trPr>
        <w:tc>
          <w:tcPr>
            <w:tcW w:w="9576" w:type="dxa"/>
            <w:tcBorders>
              <w:bottom w:val="single" w:sz="4" w:space="0" w:color="auto"/>
            </w:tcBorders>
          </w:tcPr>
          <w:p w14:paraId="2D5C7ABB" w14:textId="4FDD1C7E" w:rsidR="004F13CD" w:rsidRPr="00105142" w:rsidRDefault="008F63D7" w:rsidP="008A0453">
            <w:pPr>
              <w:rPr>
                <w:rFonts w:asciiTheme="minorHAnsi" w:hAnsiTheme="minorHAnsi"/>
                <w:sz w:val="22"/>
                <w:szCs w:val="22"/>
              </w:rPr>
            </w:pPr>
            <w:r w:rsidRPr="00105142">
              <w:rPr>
                <w:rFonts w:asciiTheme="minorHAnsi" w:hAnsiTheme="minorHAnsi"/>
                <w:sz w:val="22"/>
                <w:szCs w:val="22"/>
              </w:rPr>
              <w:t xml:space="preserve">We understand this question to refer to the </w:t>
            </w:r>
            <w:r w:rsidR="002E621C" w:rsidRPr="00105142">
              <w:rPr>
                <w:rFonts w:asciiTheme="minorHAnsi" w:hAnsiTheme="minorHAnsi"/>
                <w:sz w:val="22"/>
                <w:szCs w:val="22"/>
              </w:rPr>
              <w:t>WHOIS look-up tool.</w:t>
            </w:r>
          </w:p>
          <w:p w14:paraId="0BD475A1" w14:textId="70B1648C" w:rsidR="002E621C" w:rsidRPr="00105142" w:rsidRDefault="002E621C" w:rsidP="008A0453">
            <w:pPr>
              <w:rPr>
                <w:rFonts w:asciiTheme="minorHAnsi" w:hAnsiTheme="minorHAnsi"/>
                <w:sz w:val="22"/>
                <w:szCs w:val="22"/>
              </w:rPr>
            </w:pPr>
          </w:p>
          <w:p w14:paraId="709AEF54" w14:textId="3D1A6500" w:rsidR="008F63D7" w:rsidRPr="00105142" w:rsidRDefault="002E621C" w:rsidP="008A0453">
            <w:pPr>
              <w:rPr>
                <w:rFonts w:asciiTheme="minorHAnsi" w:hAnsiTheme="minorHAnsi"/>
                <w:sz w:val="22"/>
                <w:szCs w:val="22"/>
              </w:rPr>
            </w:pPr>
            <w:r w:rsidRPr="00105142">
              <w:rPr>
                <w:rFonts w:asciiTheme="minorHAnsi" w:hAnsiTheme="minorHAnsi"/>
                <w:sz w:val="22"/>
                <w:szCs w:val="22"/>
              </w:rPr>
              <w:t>The look-up tool allows for queries to be performed on domain names ac</w:t>
            </w:r>
            <w:r w:rsidR="003620B1" w:rsidRPr="00105142">
              <w:rPr>
                <w:rFonts w:asciiTheme="minorHAnsi" w:hAnsiTheme="minorHAnsi"/>
                <w:sz w:val="22"/>
                <w:szCs w:val="22"/>
              </w:rPr>
              <w:t>ross all gTLDs, legacy and new.</w:t>
            </w:r>
            <w:r w:rsidR="00A70D88" w:rsidRPr="00105142">
              <w:rPr>
                <w:rFonts w:asciiTheme="minorHAnsi" w:hAnsiTheme="minorHAnsi"/>
                <w:sz w:val="22"/>
                <w:szCs w:val="22"/>
              </w:rPr>
              <w:t xml:space="preserve"> It does not support ccTLDs.</w:t>
            </w:r>
          </w:p>
          <w:p w14:paraId="0FC53500" w14:textId="77777777" w:rsidR="00A70D88" w:rsidRPr="00105142" w:rsidRDefault="00A70D88" w:rsidP="008A0453">
            <w:pPr>
              <w:rPr>
                <w:rFonts w:asciiTheme="minorHAnsi" w:hAnsiTheme="minorHAnsi"/>
                <w:sz w:val="22"/>
                <w:szCs w:val="22"/>
              </w:rPr>
            </w:pPr>
          </w:p>
          <w:p w14:paraId="1B8EF1B5" w14:textId="6D2CA8AE" w:rsidR="00A70D88" w:rsidRPr="00105142" w:rsidRDefault="00A70D88" w:rsidP="008A0453">
            <w:pPr>
              <w:rPr>
                <w:rFonts w:asciiTheme="minorHAnsi" w:hAnsiTheme="minorHAnsi"/>
                <w:sz w:val="22"/>
                <w:szCs w:val="22"/>
              </w:rPr>
            </w:pPr>
            <w:r w:rsidRPr="00105142">
              <w:rPr>
                <w:rFonts w:asciiTheme="minorHAnsi" w:hAnsiTheme="minorHAnsi"/>
                <w:bCs/>
                <w:sz w:val="22"/>
                <w:szCs w:val="22"/>
              </w:rPr>
              <w:t xml:space="preserve">Note that if a gTLD returns results in a format that does not align with ICANN’s parsing rules, the returned result will only appear in the Raw Record section of the page (which is </w:t>
            </w:r>
            <w:r w:rsidR="00787C96" w:rsidRPr="00105142">
              <w:rPr>
                <w:rFonts w:asciiTheme="minorHAnsi" w:hAnsiTheme="minorHAnsi"/>
                <w:bCs/>
                <w:sz w:val="22"/>
                <w:szCs w:val="22"/>
              </w:rPr>
              <w:t xml:space="preserve">the raw </w:t>
            </w:r>
            <w:r w:rsidRPr="00105142">
              <w:rPr>
                <w:rFonts w:asciiTheme="minorHAnsi" w:hAnsiTheme="minorHAnsi"/>
                <w:bCs/>
                <w:sz w:val="22"/>
                <w:szCs w:val="22"/>
              </w:rPr>
              <w:t>result from the registry/registrar).</w:t>
            </w:r>
          </w:p>
          <w:p w14:paraId="1DE04644" w14:textId="0ED21AD8" w:rsidR="008F63D7" w:rsidRPr="00105142" w:rsidRDefault="008F63D7" w:rsidP="008A0453">
            <w:pPr>
              <w:rPr>
                <w:rFonts w:asciiTheme="minorHAnsi" w:hAnsiTheme="minorHAnsi"/>
                <w:sz w:val="22"/>
                <w:szCs w:val="22"/>
              </w:rPr>
            </w:pPr>
          </w:p>
        </w:tc>
      </w:tr>
      <w:tr w:rsidR="00165393" w:rsidRPr="00105142" w14:paraId="46BCDDE4" w14:textId="77777777" w:rsidTr="00165393">
        <w:trPr>
          <w:trHeight w:val="213"/>
        </w:trPr>
        <w:tc>
          <w:tcPr>
            <w:tcW w:w="9576" w:type="dxa"/>
            <w:shd w:val="clear" w:color="auto" w:fill="548DD4" w:themeFill="text2" w:themeFillTint="99"/>
          </w:tcPr>
          <w:p w14:paraId="1D2C476D" w14:textId="77777777" w:rsidR="004F13CD" w:rsidRPr="00105142" w:rsidRDefault="004F13CD" w:rsidP="00711A60">
            <w:pPr>
              <w:pStyle w:val="ListParagraph"/>
              <w:numPr>
                <w:ilvl w:val="0"/>
                <w:numId w:val="6"/>
              </w:numPr>
              <w:rPr>
                <w:color w:val="FFFFFF" w:themeColor="background1"/>
              </w:rPr>
            </w:pPr>
            <w:r w:rsidRPr="00105142">
              <w:rPr>
                <w:color w:val="FFFFFF" w:themeColor="background1"/>
              </w:rPr>
              <w:t>How often do WHOIS queries performed through the portal fail, is this tracked, and is any action taken to remediate failures?</w:t>
            </w:r>
            <w:r w:rsidR="001778CE" w:rsidRPr="00105142">
              <w:rPr>
                <w:color w:val="FFFFFF" w:themeColor="background1"/>
              </w:rPr>
              <w:t xml:space="preserve"> What does ICANN do to ensure that each registry or registrar is compliant with allowing lookups?</w:t>
            </w:r>
          </w:p>
        </w:tc>
      </w:tr>
      <w:tr w:rsidR="004F13CD" w:rsidRPr="00105142" w14:paraId="4FDE4678" w14:textId="77777777" w:rsidTr="00165393">
        <w:trPr>
          <w:trHeight w:val="213"/>
        </w:trPr>
        <w:tc>
          <w:tcPr>
            <w:tcW w:w="9576" w:type="dxa"/>
            <w:tcBorders>
              <w:bottom w:val="single" w:sz="4" w:space="0" w:color="auto"/>
            </w:tcBorders>
          </w:tcPr>
          <w:p w14:paraId="49F138D6" w14:textId="4F69E684" w:rsidR="00A70D88" w:rsidRPr="00105142" w:rsidRDefault="00A70D88" w:rsidP="00A70D88">
            <w:pPr>
              <w:rPr>
                <w:rFonts w:asciiTheme="minorHAnsi" w:hAnsiTheme="minorHAnsi"/>
                <w:bCs/>
                <w:sz w:val="22"/>
                <w:szCs w:val="22"/>
              </w:rPr>
            </w:pPr>
            <w:r w:rsidRPr="00105142">
              <w:rPr>
                <w:rFonts w:asciiTheme="minorHAnsi" w:hAnsiTheme="minorHAnsi"/>
                <w:bCs/>
                <w:sz w:val="22"/>
                <w:szCs w:val="22"/>
              </w:rPr>
              <w:t xml:space="preserve">This number cannot be calculated with precision. Because the </w:t>
            </w:r>
            <w:r w:rsidR="00787C96" w:rsidRPr="00105142">
              <w:rPr>
                <w:rFonts w:asciiTheme="minorHAnsi" w:hAnsiTheme="minorHAnsi"/>
                <w:bCs/>
                <w:sz w:val="22"/>
                <w:szCs w:val="22"/>
              </w:rPr>
              <w:t xml:space="preserve">current </w:t>
            </w:r>
            <w:r w:rsidRPr="00105142">
              <w:rPr>
                <w:rFonts w:asciiTheme="minorHAnsi" w:hAnsiTheme="minorHAnsi"/>
                <w:bCs/>
                <w:sz w:val="22"/>
                <w:szCs w:val="22"/>
              </w:rPr>
              <w:t xml:space="preserve">WHOIS protocol does not enforce any standard error handling, failures must be inferred. </w:t>
            </w:r>
            <w:r w:rsidR="00ED105F" w:rsidRPr="00105142">
              <w:rPr>
                <w:rFonts w:asciiTheme="minorHAnsi" w:hAnsiTheme="minorHAnsi"/>
                <w:bCs/>
                <w:sz w:val="22"/>
                <w:szCs w:val="22"/>
              </w:rPr>
              <w:t>F</w:t>
            </w:r>
            <w:r w:rsidRPr="00105142">
              <w:rPr>
                <w:rFonts w:asciiTheme="minorHAnsi" w:hAnsiTheme="minorHAnsi"/>
                <w:bCs/>
                <w:sz w:val="22"/>
                <w:szCs w:val="22"/>
              </w:rPr>
              <w:t>ailure rate is not currently being calculated or tracked.</w:t>
            </w:r>
          </w:p>
          <w:p w14:paraId="6C4A7119" w14:textId="77777777" w:rsidR="00613682" w:rsidRPr="00105142" w:rsidRDefault="00613682" w:rsidP="00A70D88">
            <w:pPr>
              <w:rPr>
                <w:rFonts w:asciiTheme="minorHAnsi" w:hAnsiTheme="minorHAnsi"/>
                <w:bCs/>
                <w:sz w:val="22"/>
                <w:szCs w:val="22"/>
              </w:rPr>
            </w:pPr>
          </w:p>
          <w:p w14:paraId="7EE1BA73" w14:textId="3A919F88" w:rsidR="00613682" w:rsidRPr="00105142" w:rsidRDefault="00613682" w:rsidP="00A70D88">
            <w:pPr>
              <w:rPr>
                <w:rFonts w:asciiTheme="minorHAnsi" w:hAnsiTheme="minorHAnsi"/>
                <w:bCs/>
                <w:sz w:val="22"/>
                <w:szCs w:val="22"/>
              </w:rPr>
            </w:pPr>
            <w:r w:rsidRPr="00105142">
              <w:rPr>
                <w:rFonts w:asciiTheme="minorHAnsi" w:hAnsiTheme="minorHAnsi"/>
                <w:bCs/>
                <w:sz w:val="22"/>
                <w:szCs w:val="22"/>
              </w:rPr>
              <w:t>Users are encouraged to file a contractual complaint ticket if they identify any issues with the WHOIS record. A link to file a ticket is provided on the page where results are displayed.</w:t>
            </w:r>
          </w:p>
          <w:p w14:paraId="04A8B09E" w14:textId="77777777" w:rsidR="00A70D88" w:rsidRPr="00105142" w:rsidRDefault="00A70D88" w:rsidP="00A70D88">
            <w:pPr>
              <w:rPr>
                <w:rFonts w:asciiTheme="minorHAnsi" w:hAnsiTheme="minorHAnsi"/>
                <w:bCs/>
                <w:sz w:val="22"/>
                <w:szCs w:val="22"/>
              </w:rPr>
            </w:pPr>
          </w:p>
          <w:p w14:paraId="7D9BDF81" w14:textId="0096BDF2" w:rsidR="00E5670F" w:rsidRPr="00105142" w:rsidRDefault="00273F76" w:rsidP="00A70D88">
            <w:pPr>
              <w:rPr>
                <w:rFonts w:asciiTheme="minorHAnsi" w:hAnsiTheme="minorHAnsi"/>
                <w:sz w:val="22"/>
                <w:szCs w:val="22"/>
              </w:rPr>
            </w:pPr>
            <w:r w:rsidRPr="00105142">
              <w:rPr>
                <w:rFonts w:asciiTheme="minorHAnsi" w:hAnsiTheme="minorHAnsi"/>
                <w:sz w:val="22"/>
                <w:szCs w:val="22"/>
              </w:rPr>
              <w:t>ICANN Contractual Compliance proactively monitors registrar WHOIS availability and will send registrars a compliance notice if it is not available. Registrar and registry web</w:t>
            </w:r>
            <w:r w:rsidR="00787C96" w:rsidRPr="00105142">
              <w:rPr>
                <w:rFonts w:asciiTheme="minorHAnsi" w:hAnsiTheme="minorHAnsi"/>
                <w:sz w:val="22"/>
                <w:szCs w:val="22"/>
              </w:rPr>
              <w:t>-</w:t>
            </w:r>
            <w:r w:rsidRPr="00105142">
              <w:rPr>
                <w:rFonts w:asciiTheme="minorHAnsi" w:hAnsiTheme="minorHAnsi"/>
                <w:sz w:val="22"/>
                <w:szCs w:val="22"/>
              </w:rPr>
              <w:t xml:space="preserve">based WHOIS services are also </w:t>
            </w:r>
            <w:r w:rsidRPr="00105142">
              <w:rPr>
                <w:rFonts w:asciiTheme="minorHAnsi" w:hAnsiTheme="minorHAnsi"/>
                <w:sz w:val="22"/>
                <w:szCs w:val="22"/>
              </w:rPr>
              <w:lastRenderedPageBreak/>
              <w:t>tested during registry and registrar audits.</w:t>
            </w:r>
          </w:p>
          <w:p w14:paraId="56993DA2" w14:textId="77777777" w:rsidR="002E621C" w:rsidRPr="00105142" w:rsidRDefault="002E621C" w:rsidP="00A70D88">
            <w:pPr>
              <w:rPr>
                <w:rFonts w:asciiTheme="minorHAnsi" w:hAnsiTheme="minorHAnsi"/>
                <w:sz w:val="22"/>
                <w:szCs w:val="22"/>
              </w:rPr>
            </w:pPr>
          </w:p>
        </w:tc>
      </w:tr>
      <w:tr w:rsidR="00165393" w:rsidRPr="00105142" w14:paraId="11FF4C8D" w14:textId="77777777" w:rsidTr="00165393">
        <w:trPr>
          <w:trHeight w:val="213"/>
        </w:trPr>
        <w:tc>
          <w:tcPr>
            <w:tcW w:w="9576" w:type="dxa"/>
            <w:shd w:val="clear" w:color="auto" w:fill="548DD4" w:themeFill="text2" w:themeFillTint="99"/>
          </w:tcPr>
          <w:p w14:paraId="1D424289" w14:textId="77777777" w:rsidR="004F13CD" w:rsidRPr="00105142" w:rsidRDefault="004F13CD" w:rsidP="00711A60">
            <w:pPr>
              <w:pStyle w:val="ListParagraph"/>
              <w:numPr>
                <w:ilvl w:val="0"/>
                <w:numId w:val="6"/>
              </w:numPr>
              <w:rPr>
                <w:color w:val="FFFFFF" w:themeColor="background1"/>
              </w:rPr>
            </w:pPr>
            <w:r w:rsidRPr="00105142">
              <w:rPr>
                <w:color w:val="FFFFFF" w:themeColor="background1"/>
              </w:rPr>
              <w:lastRenderedPageBreak/>
              <w:t>Why do some WHOIS queries performed through the portal return blank fields? (i.e., some registrar-supplied WHOIS fields appear to be blank in some responses)</w:t>
            </w:r>
          </w:p>
        </w:tc>
      </w:tr>
      <w:tr w:rsidR="004F13CD" w:rsidRPr="00105142" w14:paraId="4E108256" w14:textId="77777777" w:rsidTr="00165393">
        <w:trPr>
          <w:trHeight w:val="479"/>
        </w:trPr>
        <w:tc>
          <w:tcPr>
            <w:tcW w:w="9576" w:type="dxa"/>
            <w:tcBorders>
              <w:bottom w:val="single" w:sz="4" w:space="0" w:color="auto"/>
            </w:tcBorders>
          </w:tcPr>
          <w:p w14:paraId="7C46EBD0" w14:textId="47D173FD" w:rsidR="00613682" w:rsidRPr="00105142" w:rsidRDefault="00613682" w:rsidP="00A70D88">
            <w:pPr>
              <w:rPr>
                <w:rFonts w:asciiTheme="minorHAnsi" w:hAnsiTheme="minorHAnsi"/>
                <w:bCs/>
                <w:sz w:val="22"/>
                <w:szCs w:val="22"/>
              </w:rPr>
            </w:pPr>
            <w:r w:rsidRPr="00105142">
              <w:rPr>
                <w:rFonts w:asciiTheme="minorHAnsi" w:hAnsiTheme="minorHAnsi"/>
                <w:bCs/>
                <w:sz w:val="22"/>
                <w:szCs w:val="22"/>
              </w:rPr>
              <w:t>As background, when a user looks up a domain name on the ICANN WHOIS look-up tool, the tool fetches data from the registry/registrar, parses the data, and displays it in a form on the web page. The webpage also displays the raw data from the registry/registrar below the form.</w:t>
            </w:r>
          </w:p>
          <w:p w14:paraId="495B7A44" w14:textId="77777777" w:rsidR="00613682" w:rsidRPr="00105142" w:rsidRDefault="00613682" w:rsidP="00A70D88">
            <w:pPr>
              <w:rPr>
                <w:rFonts w:asciiTheme="minorHAnsi" w:hAnsiTheme="minorHAnsi"/>
                <w:bCs/>
                <w:sz w:val="22"/>
                <w:szCs w:val="22"/>
              </w:rPr>
            </w:pPr>
          </w:p>
          <w:p w14:paraId="27BB7A15" w14:textId="5D87F591" w:rsidR="00613682" w:rsidRPr="00105142" w:rsidRDefault="00A70D88" w:rsidP="00A70D88">
            <w:pPr>
              <w:rPr>
                <w:rFonts w:asciiTheme="minorHAnsi" w:hAnsiTheme="minorHAnsi"/>
                <w:bCs/>
                <w:sz w:val="22"/>
                <w:szCs w:val="22"/>
              </w:rPr>
            </w:pPr>
            <w:r w:rsidRPr="00105142">
              <w:rPr>
                <w:rFonts w:asciiTheme="minorHAnsi" w:hAnsiTheme="minorHAnsi"/>
                <w:bCs/>
                <w:sz w:val="22"/>
                <w:szCs w:val="22"/>
              </w:rPr>
              <w:t xml:space="preserve">If the result returned by the registry or registrar is blank or </w:t>
            </w:r>
            <w:r w:rsidR="003C002E" w:rsidRPr="00105142">
              <w:rPr>
                <w:rFonts w:asciiTheme="minorHAnsi" w:hAnsiTheme="minorHAnsi"/>
                <w:bCs/>
                <w:sz w:val="22"/>
                <w:szCs w:val="22"/>
              </w:rPr>
              <w:t xml:space="preserve">is </w:t>
            </w:r>
            <w:r w:rsidRPr="00105142">
              <w:rPr>
                <w:rFonts w:asciiTheme="minorHAnsi" w:hAnsiTheme="minorHAnsi"/>
                <w:bCs/>
                <w:sz w:val="22"/>
                <w:szCs w:val="22"/>
              </w:rPr>
              <w:t xml:space="preserve">a very small package of data then </w:t>
            </w:r>
            <w:r w:rsidR="003C002E" w:rsidRPr="00105142">
              <w:rPr>
                <w:rFonts w:asciiTheme="minorHAnsi" w:hAnsiTheme="minorHAnsi"/>
                <w:bCs/>
                <w:sz w:val="22"/>
                <w:szCs w:val="22"/>
              </w:rPr>
              <w:t xml:space="preserve">the </w:t>
            </w:r>
            <w:r w:rsidR="00613682" w:rsidRPr="00105142">
              <w:rPr>
                <w:rFonts w:asciiTheme="minorHAnsi" w:hAnsiTheme="minorHAnsi"/>
                <w:bCs/>
                <w:sz w:val="22"/>
                <w:szCs w:val="22"/>
              </w:rPr>
              <w:t xml:space="preserve">web </w:t>
            </w:r>
            <w:r w:rsidR="003C002E" w:rsidRPr="00105142">
              <w:rPr>
                <w:rFonts w:asciiTheme="minorHAnsi" w:hAnsiTheme="minorHAnsi"/>
                <w:bCs/>
                <w:sz w:val="22"/>
                <w:szCs w:val="22"/>
              </w:rPr>
              <w:t xml:space="preserve">page </w:t>
            </w:r>
            <w:r w:rsidRPr="00105142">
              <w:rPr>
                <w:rFonts w:asciiTheme="minorHAnsi" w:hAnsiTheme="minorHAnsi"/>
                <w:bCs/>
                <w:sz w:val="22"/>
                <w:szCs w:val="22"/>
              </w:rPr>
              <w:t xml:space="preserve">could </w:t>
            </w:r>
            <w:r w:rsidR="003C002E" w:rsidRPr="00105142">
              <w:rPr>
                <w:rFonts w:asciiTheme="minorHAnsi" w:hAnsiTheme="minorHAnsi"/>
                <w:bCs/>
                <w:sz w:val="22"/>
                <w:szCs w:val="22"/>
              </w:rPr>
              <w:t>display blank fields</w:t>
            </w:r>
            <w:r w:rsidRPr="00105142">
              <w:rPr>
                <w:rFonts w:asciiTheme="minorHAnsi" w:hAnsiTheme="minorHAnsi"/>
                <w:bCs/>
                <w:sz w:val="22"/>
                <w:szCs w:val="22"/>
              </w:rPr>
              <w:t xml:space="preserve">. </w:t>
            </w:r>
            <w:r w:rsidR="00613682" w:rsidRPr="00105142">
              <w:rPr>
                <w:rFonts w:asciiTheme="minorHAnsi" w:hAnsiTheme="minorHAnsi"/>
                <w:bCs/>
                <w:sz w:val="22"/>
                <w:szCs w:val="22"/>
              </w:rPr>
              <w:t>If the returned result is in a format that cannot be parsed this too could cause the web page to display blank fields. In either case, users could l</w:t>
            </w:r>
            <w:r w:rsidRPr="00105142">
              <w:rPr>
                <w:rFonts w:asciiTheme="minorHAnsi" w:hAnsiTheme="minorHAnsi"/>
                <w:bCs/>
                <w:sz w:val="22"/>
                <w:szCs w:val="22"/>
              </w:rPr>
              <w:t>ook</w:t>
            </w:r>
            <w:r w:rsidR="00613682" w:rsidRPr="00105142">
              <w:rPr>
                <w:rFonts w:asciiTheme="minorHAnsi" w:hAnsiTheme="minorHAnsi"/>
                <w:bCs/>
                <w:sz w:val="22"/>
                <w:szCs w:val="22"/>
              </w:rPr>
              <w:t xml:space="preserve"> at the r</w:t>
            </w:r>
            <w:r w:rsidRPr="00105142">
              <w:rPr>
                <w:rFonts w:asciiTheme="minorHAnsi" w:hAnsiTheme="minorHAnsi"/>
                <w:bCs/>
                <w:sz w:val="22"/>
                <w:szCs w:val="22"/>
              </w:rPr>
              <w:t xml:space="preserve">aw record </w:t>
            </w:r>
            <w:r w:rsidR="00613682" w:rsidRPr="00105142">
              <w:rPr>
                <w:rFonts w:asciiTheme="minorHAnsi" w:hAnsiTheme="minorHAnsi"/>
                <w:bCs/>
                <w:sz w:val="22"/>
                <w:szCs w:val="22"/>
              </w:rPr>
              <w:t>displayed below the form for more information</w:t>
            </w:r>
            <w:r w:rsidRPr="00105142">
              <w:rPr>
                <w:rFonts w:asciiTheme="minorHAnsi" w:hAnsiTheme="minorHAnsi"/>
                <w:bCs/>
                <w:sz w:val="22"/>
                <w:szCs w:val="22"/>
              </w:rPr>
              <w:t>.</w:t>
            </w:r>
            <w:r w:rsidR="00613682" w:rsidRPr="00105142">
              <w:rPr>
                <w:rFonts w:asciiTheme="minorHAnsi" w:hAnsiTheme="minorHAnsi"/>
                <w:bCs/>
                <w:sz w:val="22"/>
                <w:szCs w:val="22"/>
              </w:rPr>
              <w:t xml:space="preserve"> If users identify any issues with the WHOIS record, they are encouraged to file a contractual complaint ticket. A link to file a ticket is provided on the page where results are displayed.</w:t>
            </w:r>
          </w:p>
          <w:p w14:paraId="0A287B58" w14:textId="2346A1F3" w:rsidR="004F13CD" w:rsidRPr="00105142" w:rsidRDefault="004F13CD" w:rsidP="004F13CD">
            <w:pPr>
              <w:rPr>
                <w:rFonts w:asciiTheme="minorHAnsi" w:hAnsiTheme="minorHAnsi"/>
                <w:b/>
                <w:sz w:val="22"/>
                <w:szCs w:val="22"/>
              </w:rPr>
            </w:pPr>
          </w:p>
        </w:tc>
      </w:tr>
      <w:tr w:rsidR="00165393" w:rsidRPr="00105142" w14:paraId="3CE0C3E4" w14:textId="77777777" w:rsidTr="00165393">
        <w:trPr>
          <w:trHeight w:val="479"/>
        </w:trPr>
        <w:tc>
          <w:tcPr>
            <w:tcW w:w="9576" w:type="dxa"/>
            <w:shd w:val="clear" w:color="auto" w:fill="548DD4" w:themeFill="text2" w:themeFillTint="99"/>
          </w:tcPr>
          <w:p w14:paraId="6A64ECE4" w14:textId="77777777" w:rsidR="004F13CD" w:rsidRPr="00105142" w:rsidRDefault="004F13CD" w:rsidP="00711A60">
            <w:pPr>
              <w:pStyle w:val="ListParagraph"/>
              <w:numPr>
                <w:ilvl w:val="0"/>
                <w:numId w:val="6"/>
              </w:numPr>
              <w:rPr>
                <w:color w:val="FFFFFF" w:themeColor="background1"/>
              </w:rPr>
            </w:pPr>
            <w:r w:rsidRPr="00105142">
              <w:rPr>
                <w:color w:val="FFFFFF" w:themeColor="background1"/>
              </w:rPr>
              <w:t>With regard to compliance checks to verify that Registrars are publishing this info, are Resellers also required to publish this info and does compliance spot-check Reseller publication?</w:t>
            </w:r>
          </w:p>
        </w:tc>
      </w:tr>
      <w:tr w:rsidR="00C0618F" w:rsidRPr="00105142" w14:paraId="2CF2DB70" w14:textId="77777777" w:rsidTr="00165393">
        <w:trPr>
          <w:trHeight w:val="479"/>
        </w:trPr>
        <w:tc>
          <w:tcPr>
            <w:tcW w:w="9576" w:type="dxa"/>
            <w:tcBorders>
              <w:bottom w:val="single" w:sz="4" w:space="0" w:color="auto"/>
            </w:tcBorders>
          </w:tcPr>
          <w:p w14:paraId="15C7CC3C" w14:textId="75AE9142" w:rsidR="00342798" w:rsidRPr="00105142" w:rsidRDefault="00787C96" w:rsidP="00787C96">
            <w:pPr>
              <w:rPr>
                <w:rFonts w:asciiTheme="minorHAnsi" w:hAnsiTheme="minorHAnsi"/>
                <w:sz w:val="22"/>
                <w:szCs w:val="22"/>
              </w:rPr>
            </w:pPr>
            <w:r w:rsidRPr="00105142">
              <w:rPr>
                <w:rFonts w:asciiTheme="minorHAnsi" w:eastAsia="Times New Roman" w:hAnsiTheme="minorHAnsi" w:cs="Times New Roman"/>
                <w:sz w:val="22"/>
                <w:szCs w:val="22"/>
                <w:shd w:val="clear" w:color="auto" w:fill="FFFFFF"/>
                <w:lang w:eastAsia="zh-CN"/>
              </w:rPr>
              <w:t xml:space="preserve">ICANN Contractual </w:t>
            </w:r>
            <w:r w:rsidR="00342798" w:rsidRPr="00105142">
              <w:rPr>
                <w:rFonts w:asciiTheme="minorHAnsi" w:eastAsia="Times New Roman" w:hAnsiTheme="minorHAnsi" w:cs="Times New Roman"/>
                <w:sz w:val="22"/>
                <w:szCs w:val="22"/>
                <w:shd w:val="clear" w:color="auto" w:fill="FFFFFF"/>
                <w:lang w:eastAsia="zh-CN"/>
              </w:rPr>
              <w:t>Compliance reviews reseller’s websites to check if the registrant rights/benefits and responsibilities are displayed as required during registrar audits or as needed to address a complaint.</w:t>
            </w:r>
          </w:p>
        </w:tc>
      </w:tr>
    </w:tbl>
    <w:p w14:paraId="7BD90FA8" w14:textId="77777777" w:rsidR="006250EC" w:rsidRPr="00105142" w:rsidRDefault="006250EC" w:rsidP="00C602D5">
      <w:pPr>
        <w:rPr>
          <w:rFonts w:asciiTheme="minorHAnsi" w:hAnsiTheme="minorHAnsi"/>
          <w:sz w:val="22"/>
          <w:szCs w:val="22"/>
        </w:rPr>
      </w:pPr>
    </w:p>
    <w:p w14:paraId="513A942B" w14:textId="77777777" w:rsidR="000248AE" w:rsidRPr="00105142" w:rsidRDefault="000248AE" w:rsidP="00D65B1C">
      <w:pPr>
        <w:outlineLvl w:val="0"/>
        <w:rPr>
          <w:rFonts w:asciiTheme="minorHAnsi" w:hAnsiTheme="minorHAnsi"/>
          <w:b/>
          <w:sz w:val="22"/>
          <w:szCs w:val="22"/>
        </w:rPr>
      </w:pPr>
      <w:r w:rsidRPr="00105142">
        <w:rPr>
          <w:rFonts w:asciiTheme="minorHAnsi" w:hAnsiTheme="minorHAnsi"/>
          <w:b/>
          <w:sz w:val="22"/>
          <w:szCs w:val="22"/>
        </w:rPr>
        <w:t xml:space="preserve">Recommendation 5-9 </w:t>
      </w:r>
    </w:p>
    <w:p w14:paraId="4F532470" w14:textId="77777777" w:rsidR="000248AE" w:rsidRPr="00105142" w:rsidRDefault="000248AE" w:rsidP="000248AE">
      <w:pPr>
        <w:rPr>
          <w:rFonts w:asciiTheme="minorHAnsi" w:hAnsiTheme="minorHAnsi"/>
          <w:b/>
          <w:sz w:val="22"/>
          <w:szCs w:val="22"/>
        </w:rPr>
      </w:pPr>
      <w:r w:rsidRPr="00105142">
        <w:rPr>
          <w:rFonts w:asciiTheme="minorHAnsi" w:hAnsiTheme="minorHAnsi"/>
          <w:b/>
          <w:sz w:val="22"/>
          <w:szCs w:val="22"/>
        </w:rPr>
        <w:t xml:space="preserve">Recommendation 5 -- ICANN should ensure that the requirements for accurate WHOIS data are widely and proactively communicated, including to current and prospective Registrants, and should use all means available to progress WHOIS accuracy, including any internationalized WHOIS data, as an organizational objective. </w:t>
      </w:r>
    </w:p>
    <w:p w14:paraId="43A9CF54" w14:textId="77777777" w:rsidR="000248AE" w:rsidRPr="00105142" w:rsidRDefault="000248AE" w:rsidP="000248AE">
      <w:pPr>
        <w:rPr>
          <w:rFonts w:asciiTheme="minorHAnsi" w:hAnsiTheme="minorHAnsi"/>
          <w:b/>
          <w:sz w:val="22"/>
          <w:szCs w:val="22"/>
        </w:rPr>
      </w:pPr>
      <w:r w:rsidRPr="00105142">
        <w:rPr>
          <w:rFonts w:asciiTheme="minorHAnsi" w:hAnsiTheme="minorHAnsi"/>
          <w:b/>
          <w:sz w:val="22"/>
          <w:szCs w:val="22"/>
        </w:rPr>
        <w:t xml:space="preserve">Recommendation 6 -- ICANN should take appropriate measures to reduce the number of WHOIS registrations that fall into the accuracy groups Substantial Failure and Full Failure (as defined by the NORC Data Accuracy Study, 2009/10) by 50% within 12 months and by 50% again over the following 12 months. </w:t>
      </w:r>
    </w:p>
    <w:p w14:paraId="64839FE8" w14:textId="77777777" w:rsidR="000248AE" w:rsidRPr="00105142" w:rsidRDefault="000248AE" w:rsidP="000248AE">
      <w:pPr>
        <w:rPr>
          <w:rFonts w:asciiTheme="minorHAnsi" w:hAnsiTheme="minorHAnsi"/>
          <w:b/>
          <w:sz w:val="22"/>
          <w:szCs w:val="22"/>
        </w:rPr>
      </w:pPr>
      <w:r w:rsidRPr="00105142">
        <w:rPr>
          <w:rFonts w:asciiTheme="minorHAnsi" w:hAnsiTheme="minorHAnsi"/>
          <w:b/>
          <w:sz w:val="22"/>
          <w:szCs w:val="22"/>
        </w:rPr>
        <w:t xml:space="preserve">Recommendation 7 -- ICANN shall produce and publish an accuracy report focused on measured reduction in WHOIS registrations that fall into the accuracy groups Substantial Failure and Full Failure, on an annual basis. </w:t>
      </w:r>
    </w:p>
    <w:p w14:paraId="289A71AE" w14:textId="77777777" w:rsidR="000248AE" w:rsidRPr="00105142" w:rsidRDefault="000248AE" w:rsidP="000248AE">
      <w:pPr>
        <w:rPr>
          <w:rFonts w:asciiTheme="minorHAnsi" w:hAnsiTheme="minorHAnsi"/>
          <w:b/>
          <w:sz w:val="22"/>
          <w:szCs w:val="22"/>
        </w:rPr>
      </w:pPr>
      <w:r w:rsidRPr="00105142">
        <w:rPr>
          <w:rFonts w:asciiTheme="minorHAnsi" w:hAnsiTheme="minorHAnsi"/>
          <w:b/>
          <w:sz w:val="22"/>
          <w:szCs w:val="22"/>
        </w:rPr>
        <w:t xml:space="preserve">Recommendation 8 -- ICANN should ensure that there is a clear, unambiguous and enforceable chain of contractual agreements with registries, registrars, and registrants to require the provision and maintenance of accurate WHOIS data. As part of these agreements, ICANN should ensure that clear, enforceable and graduated sanctions apply to registries, registrars and registrants that do not comply with its WHOIS policies. These sanctions should include de-registration and/or de-accreditation as appropriate in cases of serious or serial non-compliance. </w:t>
      </w:r>
    </w:p>
    <w:p w14:paraId="4807F75A" w14:textId="77777777" w:rsidR="000248AE" w:rsidRDefault="000248AE" w:rsidP="000248AE">
      <w:pPr>
        <w:rPr>
          <w:rFonts w:asciiTheme="minorHAnsi" w:hAnsiTheme="minorHAnsi"/>
          <w:b/>
          <w:sz w:val="22"/>
          <w:szCs w:val="22"/>
        </w:rPr>
      </w:pPr>
      <w:r w:rsidRPr="00105142">
        <w:rPr>
          <w:rFonts w:asciiTheme="minorHAnsi" w:hAnsiTheme="minorHAnsi"/>
          <w:b/>
          <w:sz w:val="22"/>
          <w:szCs w:val="22"/>
        </w:rPr>
        <w:t xml:space="preserve">Recommendation 9 -- Board should ensure that the Compliance Team develop metrics to track the impact of the annual WHOIS Data Reminder Policy (WDRP) notices to registrants; metrics should be used to As per (1) above, the Board will initiate a policy on the purpose of the gTLD WHOIS service, and this will help drive the principles behind privacy/proxy develop and publish performance targets, to improve data accuracy over time; if this is unfeasible, Board should ensure that an alternative, effective policy is developed and implemented that achieves the objective of improving data quality, in a measurable way. </w:t>
      </w:r>
    </w:p>
    <w:p w14:paraId="55ECA1D7" w14:textId="77777777" w:rsidR="00105142" w:rsidRPr="00105142" w:rsidRDefault="00105142" w:rsidP="000248AE">
      <w:pPr>
        <w:rPr>
          <w:rFonts w:asciiTheme="minorHAnsi" w:hAnsiTheme="minorHAnsi"/>
          <w:b/>
          <w:sz w:val="22"/>
          <w:szCs w:val="22"/>
        </w:rPr>
      </w:pPr>
    </w:p>
    <w:tbl>
      <w:tblPr>
        <w:tblStyle w:val="TableGrid"/>
        <w:tblW w:w="0" w:type="auto"/>
        <w:tblLook w:val="04A0" w:firstRow="1" w:lastRow="0" w:firstColumn="1" w:lastColumn="0" w:noHBand="0" w:noVBand="1"/>
      </w:tblPr>
      <w:tblGrid>
        <w:gridCol w:w="9576"/>
      </w:tblGrid>
      <w:tr w:rsidR="000248AE" w:rsidRPr="00105142" w14:paraId="167F9605" w14:textId="77777777" w:rsidTr="00185D1E">
        <w:tc>
          <w:tcPr>
            <w:tcW w:w="9576" w:type="dxa"/>
            <w:shd w:val="clear" w:color="auto" w:fill="548DD4" w:themeFill="text2" w:themeFillTint="99"/>
          </w:tcPr>
          <w:p w14:paraId="74A91B0C" w14:textId="021BA840" w:rsidR="000248AE" w:rsidRPr="00105142" w:rsidRDefault="00711A60" w:rsidP="00711A60">
            <w:pPr>
              <w:pStyle w:val="ListParagraph"/>
              <w:numPr>
                <w:ilvl w:val="0"/>
                <w:numId w:val="6"/>
              </w:numPr>
              <w:rPr>
                <w:color w:val="FFFFFF" w:themeColor="background1"/>
              </w:rPr>
            </w:pPr>
            <w:r w:rsidRPr="00105142">
              <w:rPr>
                <w:color w:val="FFFFFF" w:themeColor="background1"/>
              </w:rPr>
              <w:t>Who is the complainant when an inaccurate record results in compliance ticket that is not remedied and eventually generates a breach notice?</w:t>
            </w:r>
          </w:p>
        </w:tc>
      </w:tr>
      <w:tr w:rsidR="000248AE" w:rsidRPr="00105142" w14:paraId="35F744E6" w14:textId="77777777" w:rsidTr="00185D1E">
        <w:tc>
          <w:tcPr>
            <w:tcW w:w="9576" w:type="dxa"/>
            <w:tcBorders>
              <w:bottom w:val="single" w:sz="4" w:space="0" w:color="auto"/>
            </w:tcBorders>
          </w:tcPr>
          <w:p w14:paraId="7D07D061" w14:textId="133353F9" w:rsidR="00342798" w:rsidRPr="00105142" w:rsidRDefault="00342798" w:rsidP="00342798">
            <w:pPr>
              <w:rPr>
                <w:rFonts w:asciiTheme="minorHAnsi" w:eastAsia="Times New Roman" w:hAnsiTheme="minorHAnsi" w:cs="Times New Roman"/>
                <w:color w:val="000000" w:themeColor="text1"/>
                <w:sz w:val="22"/>
                <w:szCs w:val="22"/>
                <w:lang w:eastAsia="zh-CN"/>
              </w:rPr>
            </w:pPr>
            <w:r w:rsidRPr="00105142">
              <w:rPr>
                <w:rFonts w:asciiTheme="minorHAnsi" w:eastAsia="Times New Roman" w:hAnsiTheme="minorHAnsi" w:cs="Times New Roman"/>
                <w:color w:val="000000" w:themeColor="text1"/>
                <w:sz w:val="22"/>
                <w:szCs w:val="22"/>
                <w:lang w:eastAsia="zh-CN"/>
              </w:rPr>
              <w:t xml:space="preserve">“WHOIS Accuracy Reporting System (ARS)” is the default complainant in WHOIS ARS complaints. Please note that notices of </w:t>
            </w:r>
            <w:r w:rsidRPr="00105142">
              <w:rPr>
                <w:rFonts w:asciiTheme="minorHAnsi" w:eastAsia="Times New Roman" w:hAnsiTheme="minorHAnsi" w:cs="Times New Roman"/>
                <w:sz w:val="22"/>
                <w:szCs w:val="22"/>
                <w:lang w:eastAsia="zh-CN"/>
              </w:rPr>
              <w:t>breach do not identify the complainant.</w:t>
            </w:r>
            <w:r w:rsidRPr="00105142">
              <w:rPr>
                <w:rFonts w:asciiTheme="minorHAnsi" w:eastAsia="Times New Roman" w:hAnsiTheme="minorHAnsi" w:cs="Times New Roman"/>
                <w:sz w:val="22"/>
                <w:szCs w:val="22"/>
                <w:lang w:eastAsia="zh-CN"/>
              </w:rPr>
              <w:br/>
              <w:t>ICANN</w:t>
            </w:r>
            <w:r w:rsidR="00FD1BC9" w:rsidRPr="00105142">
              <w:rPr>
                <w:rFonts w:asciiTheme="minorHAnsi" w:eastAsia="Times New Roman" w:hAnsiTheme="minorHAnsi" w:cs="Times New Roman"/>
                <w:sz w:val="22"/>
                <w:szCs w:val="22"/>
                <w:lang w:eastAsia="zh-CN"/>
              </w:rPr>
              <w:t>-</w:t>
            </w:r>
            <w:r w:rsidRPr="00105142">
              <w:rPr>
                <w:rFonts w:asciiTheme="minorHAnsi" w:eastAsia="Times New Roman" w:hAnsiTheme="minorHAnsi" w:cs="Times New Roman"/>
                <w:sz w:val="22"/>
                <w:szCs w:val="22"/>
                <w:lang w:eastAsia="zh-CN"/>
              </w:rPr>
              <w:t>receive</w:t>
            </w:r>
            <w:r w:rsidR="00FD1BC9" w:rsidRPr="00105142">
              <w:rPr>
                <w:rFonts w:asciiTheme="minorHAnsi" w:eastAsia="Times New Roman" w:hAnsiTheme="minorHAnsi" w:cs="Times New Roman"/>
                <w:sz w:val="22"/>
                <w:szCs w:val="22"/>
                <w:lang w:eastAsia="zh-CN"/>
              </w:rPr>
              <w:t>d</w:t>
            </w:r>
            <w:r w:rsidRPr="00105142">
              <w:rPr>
                <w:rFonts w:asciiTheme="minorHAnsi" w:eastAsia="Times New Roman" w:hAnsiTheme="minorHAnsi" w:cs="Times New Roman"/>
                <w:sz w:val="22"/>
                <w:szCs w:val="22"/>
                <w:lang w:eastAsia="zh-CN"/>
              </w:rPr>
              <w:t xml:space="preserve"> complaints or tickets are created from different sources; WHOIS ARS, WHOIS bulk submitters, individual reporter or ICANN internal review.</w:t>
            </w:r>
          </w:p>
          <w:p w14:paraId="37AAFEA1" w14:textId="77777777" w:rsidR="004D34B9" w:rsidRPr="00105142" w:rsidRDefault="004D34B9" w:rsidP="00185D1E">
            <w:pPr>
              <w:rPr>
                <w:rFonts w:asciiTheme="minorHAnsi" w:hAnsiTheme="minorHAnsi"/>
                <w:sz w:val="22"/>
                <w:szCs w:val="22"/>
              </w:rPr>
            </w:pPr>
          </w:p>
        </w:tc>
      </w:tr>
      <w:tr w:rsidR="007B03C3" w:rsidRPr="00105142" w14:paraId="28E74E29" w14:textId="77777777" w:rsidTr="00185D1E">
        <w:tc>
          <w:tcPr>
            <w:tcW w:w="9576" w:type="dxa"/>
            <w:shd w:val="clear" w:color="auto" w:fill="548DD4" w:themeFill="text2" w:themeFillTint="99"/>
          </w:tcPr>
          <w:p w14:paraId="6A1B004C" w14:textId="206D8A49" w:rsidR="007B03C3" w:rsidRPr="00105142" w:rsidRDefault="0004483C" w:rsidP="00D54BCB">
            <w:pPr>
              <w:pStyle w:val="ListParagraph"/>
              <w:numPr>
                <w:ilvl w:val="0"/>
                <w:numId w:val="6"/>
              </w:numPr>
              <w:rPr>
                <w:color w:val="FFFFFF" w:themeColor="background1"/>
              </w:rPr>
            </w:pPr>
            <w:r w:rsidRPr="00105142">
              <w:rPr>
                <w:color w:val="FFFFFF" w:themeColor="background1"/>
              </w:rPr>
              <w:t xml:space="preserve">Is the percentage of inoperable addresses the percentage of all </w:t>
            </w:r>
            <w:r w:rsidR="00510B36" w:rsidRPr="00105142">
              <w:rPr>
                <w:color w:val="FFFFFF" w:themeColor="background1"/>
              </w:rPr>
              <w:t xml:space="preserve">sampled </w:t>
            </w:r>
            <w:r w:rsidRPr="00105142">
              <w:rPr>
                <w:color w:val="FFFFFF" w:themeColor="background1"/>
              </w:rPr>
              <w:t xml:space="preserve">addresses, or the percentage of just the syntactically correct </w:t>
            </w:r>
            <w:r w:rsidR="00510B36" w:rsidRPr="00105142">
              <w:rPr>
                <w:color w:val="FFFFFF" w:themeColor="background1"/>
              </w:rPr>
              <w:t>addresses in the sample</w:t>
            </w:r>
            <w:r w:rsidRPr="00105142">
              <w:rPr>
                <w:color w:val="FFFFFF" w:themeColor="background1"/>
              </w:rPr>
              <w:t>?</w:t>
            </w:r>
          </w:p>
        </w:tc>
      </w:tr>
      <w:tr w:rsidR="007B03C3" w:rsidRPr="00105142" w14:paraId="52E4F0C9" w14:textId="77777777" w:rsidTr="00185D1E">
        <w:tc>
          <w:tcPr>
            <w:tcW w:w="9576" w:type="dxa"/>
            <w:tcBorders>
              <w:bottom w:val="single" w:sz="4" w:space="0" w:color="auto"/>
            </w:tcBorders>
          </w:tcPr>
          <w:p w14:paraId="3E2D10F2" w14:textId="2DAF4AF2" w:rsidR="007B03C3" w:rsidRPr="00105142" w:rsidRDefault="00A1264C" w:rsidP="00185D1E">
            <w:pPr>
              <w:rPr>
                <w:rFonts w:asciiTheme="minorHAnsi" w:hAnsiTheme="minorHAnsi"/>
                <w:sz w:val="22"/>
                <w:szCs w:val="22"/>
              </w:rPr>
            </w:pPr>
            <w:r w:rsidRPr="00105142">
              <w:rPr>
                <w:rFonts w:asciiTheme="minorHAnsi" w:hAnsiTheme="minorHAnsi"/>
                <w:sz w:val="22"/>
                <w:szCs w:val="22"/>
              </w:rPr>
              <w:t>The inoperable address percentage is the percentage of all the sampled addresses.</w:t>
            </w:r>
          </w:p>
          <w:p w14:paraId="4CAE399C" w14:textId="77777777" w:rsidR="00F6009F" w:rsidRPr="00105142" w:rsidRDefault="00F6009F" w:rsidP="00185D1E">
            <w:pPr>
              <w:rPr>
                <w:rFonts w:asciiTheme="minorHAnsi" w:hAnsiTheme="minorHAnsi"/>
                <w:sz w:val="22"/>
                <w:szCs w:val="22"/>
              </w:rPr>
            </w:pPr>
          </w:p>
        </w:tc>
      </w:tr>
      <w:tr w:rsidR="007B03C3" w:rsidRPr="00105142" w14:paraId="04D259E0" w14:textId="77777777" w:rsidTr="00185D1E">
        <w:tc>
          <w:tcPr>
            <w:tcW w:w="9576" w:type="dxa"/>
            <w:shd w:val="clear" w:color="auto" w:fill="548DD4" w:themeFill="text2" w:themeFillTint="99"/>
          </w:tcPr>
          <w:p w14:paraId="33F62410" w14:textId="1BB64463" w:rsidR="007B03C3" w:rsidRPr="00105142" w:rsidRDefault="00C82616" w:rsidP="00396E54">
            <w:pPr>
              <w:pStyle w:val="ListParagraph"/>
              <w:numPr>
                <w:ilvl w:val="0"/>
                <w:numId w:val="6"/>
              </w:numPr>
              <w:rPr>
                <w:color w:val="FFFFFF" w:themeColor="background1"/>
              </w:rPr>
            </w:pPr>
            <w:r w:rsidRPr="00105142">
              <w:rPr>
                <w:color w:val="FFFFFF" w:themeColor="background1"/>
              </w:rPr>
              <w:t>Is there a way through registration obligation to check data?</w:t>
            </w:r>
            <w:r w:rsidRPr="00105142">
              <w:rPr>
                <w:rFonts w:eastAsia="Times New Roman" w:cs="Arial"/>
                <w:color w:val="FFFFFF" w:themeColor="background1"/>
              </w:rPr>
              <w:t xml:space="preserve"> </w:t>
            </w:r>
            <w:r w:rsidR="00396E54" w:rsidRPr="00105142">
              <w:rPr>
                <w:color w:val="FFFFFF" w:themeColor="background1"/>
              </w:rPr>
              <w:t>C</w:t>
            </w:r>
            <w:r w:rsidR="00510B36" w:rsidRPr="00105142">
              <w:rPr>
                <w:color w:val="FFFFFF" w:themeColor="background1"/>
              </w:rPr>
              <w:t>ould</w:t>
            </w:r>
            <w:r w:rsidR="007B03C3" w:rsidRPr="00105142">
              <w:rPr>
                <w:color w:val="FFFFFF" w:themeColor="background1"/>
              </w:rPr>
              <w:t xml:space="preserve"> inaccurate data </w:t>
            </w:r>
            <w:r w:rsidR="00510B36" w:rsidRPr="00105142">
              <w:rPr>
                <w:color w:val="FFFFFF" w:themeColor="background1"/>
              </w:rPr>
              <w:t xml:space="preserve">be </w:t>
            </w:r>
            <w:r w:rsidR="007B03C3" w:rsidRPr="00105142">
              <w:rPr>
                <w:color w:val="FFFFFF" w:themeColor="background1"/>
              </w:rPr>
              <w:t>compared against other data (e.g., billing data)?</w:t>
            </w:r>
          </w:p>
        </w:tc>
      </w:tr>
      <w:tr w:rsidR="007B03C3" w:rsidRPr="00105142" w14:paraId="5427DAEB" w14:textId="77777777" w:rsidTr="007B03C3">
        <w:tc>
          <w:tcPr>
            <w:tcW w:w="9576" w:type="dxa"/>
            <w:tcBorders>
              <w:bottom w:val="single" w:sz="4" w:space="0" w:color="auto"/>
            </w:tcBorders>
          </w:tcPr>
          <w:p w14:paraId="3E432ED2" w14:textId="26B04EED" w:rsidR="00166646" w:rsidRPr="00105142" w:rsidRDefault="00E12214" w:rsidP="00166646">
            <w:pPr>
              <w:rPr>
                <w:rFonts w:asciiTheme="minorHAnsi" w:eastAsia="Times New Roman" w:hAnsiTheme="minorHAnsi" w:cs="Times New Roman"/>
                <w:sz w:val="22"/>
                <w:szCs w:val="22"/>
              </w:rPr>
            </w:pPr>
            <w:r w:rsidRPr="00105142">
              <w:rPr>
                <w:rFonts w:asciiTheme="minorHAnsi" w:hAnsiTheme="minorHAnsi"/>
                <w:sz w:val="22"/>
                <w:szCs w:val="22"/>
              </w:rPr>
              <w:t xml:space="preserve">The WHOIS Accuracy Program Specification of the </w:t>
            </w:r>
            <w:hyperlink r:id="rId21" w:history="1">
              <w:r w:rsidRPr="00105142">
                <w:rPr>
                  <w:rStyle w:val="Hyperlink"/>
                  <w:rFonts w:asciiTheme="minorHAnsi" w:hAnsiTheme="minorHAnsi"/>
                  <w:sz w:val="22"/>
                  <w:szCs w:val="22"/>
                </w:rPr>
                <w:t>2013 Registrar Accreditation Agreement</w:t>
              </w:r>
            </w:hyperlink>
            <w:r w:rsidRPr="00105142">
              <w:rPr>
                <w:rFonts w:asciiTheme="minorHAnsi" w:hAnsiTheme="minorHAnsi"/>
                <w:sz w:val="22"/>
                <w:szCs w:val="22"/>
              </w:rPr>
              <w:t xml:space="preserve"> </w:t>
            </w:r>
            <w:r w:rsidR="00166646" w:rsidRPr="00105142">
              <w:rPr>
                <w:rFonts w:asciiTheme="minorHAnsi" w:hAnsiTheme="minorHAnsi"/>
                <w:sz w:val="22"/>
                <w:szCs w:val="22"/>
              </w:rPr>
              <w:t>contains a requirement for registrars to: “</w:t>
            </w:r>
            <w:r w:rsidR="00166646" w:rsidRPr="00105142">
              <w:rPr>
                <w:rFonts w:asciiTheme="minorHAnsi" w:eastAsia="Times New Roman" w:hAnsiTheme="minorHAnsi" w:cs="Times New Roman"/>
                <w:color w:val="333333"/>
                <w:sz w:val="22"/>
                <w:szCs w:val="22"/>
                <w:shd w:val="clear" w:color="auto" w:fill="FFFFFF"/>
              </w:rPr>
              <w:t>Validate that all postal address fields are consistent across fields (for example: street exists in city, city exists in state/province, city matches postal code) where such information is technically and commercially feasible for the applicable country or territory.”</w:t>
            </w:r>
          </w:p>
          <w:p w14:paraId="034D6F7C" w14:textId="4E9C3F94" w:rsidR="007B03C3" w:rsidRPr="00105142" w:rsidRDefault="007B03C3" w:rsidP="00185D1E">
            <w:pPr>
              <w:rPr>
                <w:rFonts w:asciiTheme="minorHAnsi" w:hAnsiTheme="minorHAnsi"/>
                <w:sz w:val="22"/>
                <w:szCs w:val="22"/>
              </w:rPr>
            </w:pPr>
          </w:p>
          <w:p w14:paraId="79B2926E" w14:textId="2C3E5402" w:rsidR="00166646" w:rsidRPr="00105142" w:rsidRDefault="00166646" w:rsidP="00166646">
            <w:pPr>
              <w:rPr>
                <w:rFonts w:asciiTheme="minorHAnsi" w:hAnsiTheme="minorHAnsi"/>
                <w:sz w:val="22"/>
                <w:szCs w:val="22"/>
              </w:rPr>
            </w:pPr>
            <w:r w:rsidRPr="00105142">
              <w:rPr>
                <w:rFonts w:asciiTheme="minorHAnsi" w:hAnsiTheme="minorHAnsi"/>
                <w:sz w:val="22"/>
                <w:szCs w:val="22"/>
              </w:rPr>
              <w:t xml:space="preserve">ICANN org is </w:t>
            </w:r>
            <w:hyperlink r:id="rId22" w:history="1">
              <w:r w:rsidRPr="00105142">
                <w:rPr>
                  <w:rStyle w:val="Hyperlink"/>
                  <w:rFonts w:asciiTheme="minorHAnsi" w:hAnsiTheme="minorHAnsi"/>
                  <w:sz w:val="22"/>
                  <w:szCs w:val="22"/>
                </w:rPr>
                <w:t>seeking</w:t>
              </w:r>
            </w:hyperlink>
            <w:r w:rsidRPr="00105142">
              <w:rPr>
                <w:rFonts w:asciiTheme="minorHAnsi" w:hAnsiTheme="minorHAnsi"/>
                <w:sz w:val="22"/>
                <w:szCs w:val="22"/>
              </w:rPr>
              <w:t xml:space="preserve"> information regarding commercial services that focus on global address validation.</w:t>
            </w:r>
          </w:p>
          <w:p w14:paraId="14CE949C" w14:textId="54D09DE8" w:rsidR="00590C2E" w:rsidRPr="00105142" w:rsidRDefault="00590C2E" w:rsidP="00185D1E">
            <w:pPr>
              <w:rPr>
                <w:rFonts w:asciiTheme="minorHAnsi" w:hAnsiTheme="minorHAnsi"/>
                <w:sz w:val="22"/>
                <w:szCs w:val="22"/>
              </w:rPr>
            </w:pPr>
          </w:p>
        </w:tc>
      </w:tr>
      <w:tr w:rsidR="007B03C3" w:rsidRPr="00105142" w14:paraId="46389EAA" w14:textId="77777777" w:rsidTr="007B03C3">
        <w:tc>
          <w:tcPr>
            <w:tcW w:w="9576" w:type="dxa"/>
            <w:shd w:val="clear" w:color="auto" w:fill="548DD4" w:themeFill="text2" w:themeFillTint="99"/>
          </w:tcPr>
          <w:p w14:paraId="180656B2" w14:textId="77777777" w:rsidR="007B03C3" w:rsidRPr="00105142" w:rsidRDefault="007B03C3" w:rsidP="007B03C3">
            <w:pPr>
              <w:pStyle w:val="ListParagraph"/>
              <w:numPr>
                <w:ilvl w:val="0"/>
                <w:numId w:val="6"/>
              </w:numPr>
              <w:rPr>
                <w:color w:val="FFFFFF" w:themeColor="background1"/>
              </w:rPr>
            </w:pPr>
            <w:r w:rsidRPr="00105142">
              <w:rPr>
                <w:color w:val="FFFFFF" w:themeColor="background1"/>
              </w:rPr>
              <w:t>Has the process changed to allow registrar feedback that potentially-inaccurate records were in fact correct?</w:t>
            </w:r>
          </w:p>
        </w:tc>
      </w:tr>
      <w:tr w:rsidR="007B03C3" w:rsidRPr="00105142" w14:paraId="79D2305F" w14:textId="77777777" w:rsidTr="007B03C3">
        <w:tc>
          <w:tcPr>
            <w:tcW w:w="9576" w:type="dxa"/>
            <w:tcBorders>
              <w:bottom w:val="single" w:sz="4" w:space="0" w:color="auto"/>
            </w:tcBorders>
            <w:shd w:val="clear" w:color="auto" w:fill="auto"/>
          </w:tcPr>
          <w:p w14:paraId="0FB8C71C" w14:textId="6AEA9573" w:rsidR="00342798" w:rsidRPr="00105142" w:rsidRDefault="00342798" w:rsidP="00342798">
            <w:pPr>
              <w:rPr>
                <w:rFonts w:asciiTheme="minorHAnsi" w:eastAsia="Times New Roman" w:hAnsiTheme="minorHAnsi" w:cs="Times New Roman"/>
                <w:sz w:val="22"/>
                <w:szCs w:val="22"/>
                <w:lang w:eastAsia="zh-CN"/>
              </w:rPr>
            </w:pPr>
            <w:r w:rsidRPr="00105142">
              <w:rPr>
                <w:rFonts w:asciiTheme="minorHAnsi" w:eastAsia="Times New Roman" w:hAnsiTheme="minorHAnsi" w:cs="Times New Roman"/>
                <w:sz w:val="22"/>
                <w:szCs w:val="22"/>
                <w:shd w:val="clear" w:color="auto" w:fill="FFFFFF"/>
                <w:lang w:eastAsia="zh-CN"/>
              </w:rPr>
              <w:t xml:space="preserve">The </w:t>
            </w:r>
            <w:r w:rsidR="00FD1BC9" w:rsidRPr="00105142">
              <w:rPr>
                <w:rFonts w:asciiTheme="minorHAnsi" w:eastAsia="Times New Roman" w:hAnsiTheme="minorHAnsi" w:cs="Times New Roman"/>
                <w:sz w:val="22"/>
                <w:szCs w:val="22"/>
                <w:shd w:val="clear" w:color="auto" w:fill="FFFFFF"/>
                <w:lang w:eastAsia="zh-CN"/>
              </w:rPr>
              <w:t>ICANN Contractual C</w:t>
            </w:r>
            <w:r w:rsidRPr="00105142">
              <w:rPr>
                <w:rFonts w:asciiTheme="minorHAnsi" w:eastAsia="Times New Roman" w:hAnsiTheme="minorHAnsi" w:cs="Times New Roman"/>
                <w:sz w:val="22"/>
                <w:szCs w:val="22"/>
                <w:shd w:val="clear" w:color="auto" w:fill="FFFFFF"/>
                <w:lang w:eastAsia="zh-CN"/>
              </w:rPr>
              <w:t>ompliance process has always allowed registrar and registry feedback on compliance tickets. Registrars do provide feedback on potentially-inaccurate records that were in fact correct.</w:t>
            </w:r>
          </w:p>
          <w:p w14:paraId="052BBBD9" w14:textId="77777777" w:rsidR="00B04A75" w:rsidRPr="00105142" w:rsidRDefault="00B04A75" w:rsidP="007B03C3">
            <w:pPr>
              <w:rPr>
                <w:rFonts w:asciiTheme="minorHAnsi" w:eastAsia="Times New Roman" w:hAnsiTheme="minorHAnsi" w:cs="Arial"/>
                <w:color w:val="000000"/>
                <w:sz w:val="22"/>
                <w:szCs w:val="22"/>
              </w:rPr>
            </w:pPr>
          </w:p>
        </w:tc>
      </w:tr>
      <w:tr w:rsidR="007B03C3" w:rsidRPr="00105142" w14:paraId="2113C9C0" w14:textId="77777777" w:rsidTr="007B03C3">
        <w:tc>
          <w:tcPr>
            <w:tcW w:w="9576" w:type="dxa"/>
            <w:shd w:val="clear" w:color="auto" w:fill="548DD4" w:themeFill="text2" w:themeFillTint="99"/>
          </w:tcPr>
          <w:p w14:paraId="0F96A3BA" w14:textId="77777777" w:rsidR="007B03C3" w:rsidRPr="00105142" w:rsidRDefault="007B03C3" w:rsidP="007B03C3">
            <w:pPr>
              <w:pStyle w:val="ListParagraph"/>
              <w:numPr>
                <w:ilvl w:val="0"/>
                <w:numId w:val="6"/>
              </w:numPr>
              <w:rPr>
                <w:color w:val="FFFFFF" w:themeColor="background1"/>
              </w:rPr>
            </w:pPr>
            <w:r w:rsidRPr="00105142">
              <w:rPr>
                <w:color w:val="FFFFFF" w:themeColor="background1"/>
              </w:rPr>
              <w:t xml:space="preserve">Are metrics kept on tickets where addresses were correct? </w:t>
            </w:r>
            <w:r w:rsidRPr="00105142">
              <w:rPr>
                <w:color w:val="FFFFFF" w:themeColor="background1"/>
              </w:rPr>
              <w:br/>
              <w:t>(e.g., format differences that appear to be inaccurate but are not)</w:t>
            </w:r>
          </w:p>
        </w:tc>
      </w:tr>
      <w:tr w:rsidR="007B03C3" w:rsidRPr="00105142" w14:paraId="2C6364BC" w14:textId="77777777" w:rsidTr="00C82616">
        <w:tc>
          <w:tcPr>
            <w:tcW w:w="9576" w:type="dxa"/>
            <w:tcBorders>
              <w:bottom w:val="single" w:sz="4" w:space="0" w:color="auto"/>
            </w:tcBorders>
            <w:shd w:val="clear" w:color="auto" w:fill="auto"/>
          </w:tcPr>
          <w:p w14:paraId="4D974F51" w14:textId="26829536" w:rsidR="00342798" w:rsidRPr="00105142" w:rsidRDefault="00342798" w:rsidP="00342798">
            <w:pPr>
              <w:rPr>
                <w:rFonts w:asciiTheme="minorHAnsi" w:eastAsia="Times New Roman" w:hAnsiTheme="minorHAnsi" w:cs="Times New Roman"/>
                <w:sz w:val="22"/>
                <w:szCs w:val="22"/>
                <w:lang w:eastAsia="zh-CN"/>
              </w:rPr>
            </w:pPr>
            <w:r w:rsidRPr="00105142">
              <w:rPr>
                <w:rFonts w:asciiTheme="minorHAnsi" w:eastAsia="Times New Roman" w:hAnsiTheme="minorHAnsi" w:cs="Times New Roman"/>
                <w:sz w:val="22"/>
                <w:szCs w:val="22"/>
                <w:shd w:val="clear" w:color="auto" w:fill="FFFFFF"/>
                <w:lang w:eastAsia="zh-CN"/>
              </w:rPr>
              <w:t>Yes, metrics are kept on Whois ARS tickets where addresses were correct. Those tickets are closed with a closure reason of “verified correct</w:t>
            </w:r>
            <w:r w:rsidR="00FD1BC9" w:rsidRPr="00105142">
              <w:rPr>
                <w:rFonts w:asciiTheme="minorHAnsi" w:eastAsia="Times New Roman" w:hAnsiTheme="minorHAnsi" w:cs="Times New Roman"/>
                <w:sz w:val="22"/>
                <w:szCs w:val="22"/>
                <w:shd w:val="clear" w:color="auto" w:fill="FFFFFF"/>
                <w:lang w:eastAsia="zh-CN"/>
              </w:rPr>
              <w:t>.</w:t>
            </w:r>
            <w:r w:rsidRPr="00105142">
              <w:rPr>
                <w:rFonts w:asciiTheme="minorHAnsi" w:eastAsia="Times New Roman" w:hAnsiTheme="minorHAnsi" w:cs="Times New Roman"/>
                <w:sz w:val="22"/>
                <w:szCs w:val="22"/>
                <w:shd w:val="clear" w:color="auto" w:fill="FFFFFF"/>
                <w:lang w:eastAsia="zh-CN"/>
              </w:rPr>
              <w:t xml:space="preserve">” The metrics are not currently published. </w:t>
            </w:r>
            <w:r w:rsidR="00FD1BC9" w:rsidRPr="00105142">
              <w:rPr>
                <w:rFonts w:asciiTheme="minorHAnsi" w:eastAsia="Times New Roman" w:hAnsiTheme="minorHAnsi" w:cs="Times New Roman"/>
                <w:sz w:val="22"/>
                <w:szCs w:val="22"/>
                <w:shd w:val="clear" w:color="auto" w:fill="FFFFFF"/>
                <w:lang w:eastAsia="zh-CN"/>
              </w:rPr>
              <w:t xml:space="preserve">ICANN Contractual </w:t>
            </w:r>
            <w:r w:rsidRPr="00105142">
              <w:rPr>
                <w:rFonts w:asciiTheme="minorHAnsi" w:eastAsia="Times New Roman" w:hAnsiTheme="minorHAnsi" w:cs="Times New Roman"/>
                <w:sz w:val="22"/>
                <w:szCs w:val="22"/>
                <w:shd w:val="clear" w:color="auto" w:fill="FFFFFF"/>
                <w:lang w:eastAsia="zh-CN"/>
              </w:rPr>
              <w:t xml:space="preserve">Compliance is working on a report to bring </w:t>
            </w:r>
            <w:r w:rsidR="00FD1BC9" w:rsidRPr="00105142">
              <w:rPr>
                <w:rFonts w:asciiTheme="minorHAnsi" w:eastAsia="Times New Roman" w:hAnsiTheme="minorHAnsi" w:cs="Times New Roman"/>
                <w:sz w:val="22"/>
                <w:szCs w:val="22"/>
                <w:shd w:val="clear" w:color="auto" w:fill="FFFFFF"/>
                <w:lang w:eastAsia="zh-CN"/>
              </w:rPr>
              <w:t xml:space="preserve">more </w:t>
            </w:r>
            <w:r w:rsidRPr="00105142">
              <w:rPr>
                <w:rFonts w:asciiTheme="minorHAnsi" w:eastAsia="Times New Roman" w:hAnsiTheme="minorHAnsi" w:cs="Times New Roman"/>
                <w:sz w:val="22"/>
                <w:szCs w:val="22"/>
                <w:shd w:val="clear" w:color="auto" w:fill="FFFFFF"/>
                <w:lang w:eastAsia="zh-CN"/>
              </w:rPr>
              <w:t>metric granularity related to closed complaints.</w:t>
            </w:r>
          </w:p>
          <w:p w14:paraId="0F2F808D" w14:textId="2E7ED4F1" w:rsidR="00342798" w:rsidRPr="00105142" w:rsidRDefault="00342798" w:rsidP="007B03C3">
            <w:pPr>
              <w:rPr>
                <w:rFonts w:asciiTheme="minorHAnsi" w:eastAsia="Times New Roman" w:hAnsiTheme="minorHAnsi" w:cs="Arial"/>
                <w:color w:val="000000"/>
                <w:sz w:val="22"/>
                <w:szCs w:val="22"/>
              </w:rPr>
            </w:pPr>
          </w:p>
        </w:tc>
      </w:tr>
      <w:tr w:rsidR="007B03C3" w:rsidRPr="00105142" w14:paraId="64C3B904" w14:textId="77777777" w:rsidTr="00C82616">
        <w:tc>
          <w:tcPr>
            <w:tcW w:w="9576" w:type="dxa"/>
            <w:shd w:val="clear" w:color="auto" w:fill="548DD4" w:themeFill="text2" w:themeFillTint="99"/>
          </w:tcPr>
          <w:p w14:paraId="7C1C4D05" w14:textId="110DB35E" w:rsidR="007B03C3" w:rsidRPr="00105142" w:rsidRDefault="00C82616" w:rsidP="00C82616">
            <w:pPr>
              <w:pStyle w:val="ListParagraph"/>
              <w:numPr>
                <w:ilvl w:val="0"/>
                <w:numId w:val="6"/>
              </w:numPr>
              <w:rPr>
                <w:color w:val="FFFFFF" w:themeColor="background1"/>
              </w:rPr>
            </w:pPr>
            <w:r w:rsidRPr="00105142">
              <w:rPr>
                <w:color w:val="FFFFFF" w:themeColor="background1"/>
              </w:rPr>
              <w:t>D</w:t>
            </w:r>
            <w:r w:rsidR="007B03C3" w:rsidRPr="00105142">
              <w:rPr>
                <w:color w:val="FFFFFF" w:themeColor="background1"/>
              </w:rPr>
              <w:t>oes ARS take into account different address formats?</w:t>
            </w:r>
          </w:p>
        </w:tc>
      </w:tr>
      <w:tr w:rsidR="00C82616" w:rsidRPr="00105142" w14:paraId="16D762AC" w14:textId="77777777" w:rsidTr="00C82616">
        <w:tc>
          <w:tcPr>
            <w:tcW w:w="9576" w:type="dxa"/>
            <w:tcBorders>
              <w:bottom w:val="single" w:sz="4" w:space="0" w:color="auto"/>
            </w:tcBorders>
            <w:shd w:val="clear" w:color="auto" w:fill="auto"/>
          </w:tcPr>
          <w:p w14:paraId="3A2111B3" w14:textId="77777777" w:rsidR="000C3807" w:rsidRPr="00105142" w:rsidRDefault="000C3807" w:rsidP="000C3807">
            <w:pPr>
              <w:rPr>
                <w:rFonts w:asciiTheme="minorHAnsi" w:eastAsia="Times New Roman" w:hAnsiTheme="minorHAnsi" w:cs="Arial"/>
                <w:color w:val="000000"/>
                <w:sz w:val="22"/>
                <w:szCs w:val="22"/>
              </w:rPr>
            </w:pPr>
            <w:r w:rsidRPr="00105142">
              <w:rPr>
                <w:rFonts w:asciiTheme="minorHAnsi" w:eastAsia="Times New Roman" w:hAnsiTheme="minorHAnsi" w:cs="Arial"/>
                <w:color w:val="000000"/>
                <w:sz w:val="22"/>
                <w:szCs w:val="22"/>
              </w:rPr>
              <w:t>The Universal Postal Union (UPU), our vendor who assesses address validity, maintains a database that undergoes continuous updating to match different/changing address formats. For instance, if a country does not require a postal code for a valid address, then the UPU database would reflect that and would not improperly penalize a record.</w:t>
            </w:r>
          </w:p>
          <w:p w14:paraId="439DC690" w14:textId="77777777" w:rsidR="00C06726" w:rsidRPr="00105142" w:rsidRDefault="00C06726" w:rsidP="007B03C3">
            <w:pPr>
              <w:rPr>
                <w:rFonts w:asciiTheme="minorHAnsi" w:eastAsia="Times New Roman" w:hAnsiTheme="minorHAnsi" w:cs="Arial"/>
                <w:color w:val="000000"/>
                <w:sz w:val="22"/>
                <w:szCs w:val="22"/>
              </w:rPr>
            </w:pPr>
          </w:p>
        </w:tc>
      </w:tr>
      <w:tr w:rsidR="007B03C3" w:rsidRPr="00105142" w14:paraId="41FBAEFC" w14:textId="77777777" w:rsidTr="00C82616">
        <w:tc>
          <w:tcPr>
            <w:tcW w:w="9576" w:type="dxa"/>
            <w:shd w:val="clear" w:color="auto" w:fill="548DD4" w:themeFill="text2" w:themeFillTint="99"/>
          </w:tcPr>
          <w:p w14:paraId="5FF12A96" w14:textId="77777777" w:rsidR="007B03C3" w:rsidRPr="00105142" w:rsidRDefault="007B03C3" w:rsidP="00510B36">
            <w:pPr>
              <w:pStyle w:val="ListParagraph"/>
              <w:numPr>
                <w:ilvl w:val="0"/>
                <w:numId w:val="6"/>
              </w:numPr>
              <w:rPr>
                <w:rFonts w:eastAsia="Times New Roman" w:cs="Times New Roman"/>
              </w:rPr>
            </w:pPr>
            <w:r w:rsidRPr="00105142">
              <w:rPr>
                <w:rFonts w:eastAsia="Times New Roman" w:cs="Arial"/>
                <w:color w:val="FFFFFF" w:themeColor="background1"/>
              </w:rPr>
              <w:t xml:space="preserve">Is there </w:t>
            </w:r>
            <w:r w:rsidR="0004483C" w:rsidRPr="00105142">
              <w:rPr>
                <w:rFonts w:eastAsia="Times New Roman" w:cs="Arial"/>
                <w:color w:val="FFFFFF" w:themeColor="background1"/>
              </w:rPr>
              <w:t>a</w:t>
            </w:r>
            <w:r w:rsidRPr="00105142">
              <w:rPr>
                <w:rFonts w:eastAsia="Times New Roman" w:cs="Arial"/>
                <w:color w:val="FFFFFF" w:themeColor="background1"/>
              </w:rPr>
              <w:t xml:space="preserve"> process to handle complaints from parties who claim </w:t>
            </w:r>
            <w:r w:rsidR="00510B36" w:rsidRPr="00105142">
              <w:rPr>
                <w:rFonts w:eastAsia="Times New Roman" w:cs="Arial"/>
                <w:color w:val="FFFFFF" w:themeColor="background1"/>
              </w:rPr>
              <w:t xml:space="preserve">that a WHOIS record is inaccurate </w:t>
            </w:r>
            <w:r w:rsidR="00510B36" w:rsidRPr="00105142">
              <w:rPr>
                <w:rFonts w:eastAsia="Times New Roman" w:cs="Arial"/>
                <w:color w:val="FFFFFF" w:themeColor="background1"/>
              </w:rPr>
              <w:lastRenderedPageBreak/>
              <w:t xml:space="preserve">because their </w:t>
            </w:r>
            <w:r w:rsidRPr="00105142">
              <w:rPr>
                <w:rFonts w:eastAsia="Times New Roman" w:cs="Arial"/>
                <w:color w:val="FFFFFF" w:themeColor="background1"/>
              </w:rPr>
              <w:t xml:space="preserve">data is used </w:t>
            </w:r>
            <w:r w:rsidR="00510B36" w:rsidRPr="00105142">
              <w:rPr>
                <w:rFonts w:eastAsia="Times New Roman" w:cs="Arial"/>
                <w:color w:val="FFFFFF" w:themeColor="background1"/>
              </w:rPr>
              <w:t xml:space="preserve">in that record </w:t>
            </w:r>
            <w:r w:rsidRPr="00105142">
              <w:rPr>
                <w:rFonts w:eastAsia="Times New Roman" w:cs="Arial"/>
                <w:color w:val="FFFFFF" w:themeColor="background1"/>
              </w:rPr>
              <w:t>without authorization?</w:t>
            </w:r>
          </w:p>
        </w:tc>
      </w:tr>
      <w:tr w:rsidR="00C82616" w:rsidRPr="00105142" w14:paraId="6D436CA3" w14:textId="77777777" w:rsidTr="00C82616">
        <w:tc>
          <w:tcPr>
            <w:tcW w:w="9576" w:type="dxa"/>
            <w:tcBorders>
              <w:bottom w:val="single" w:sz="4" w:space="0" w:color="auto"/>
            </w:tcBorders>
            <w:shd w:val="clear" w:color="auto" w:fill="auto"/>
          </w:tcPr>
          <w:p w14:paraId="48AF3CC4" w14:textId="4D206B2D" w:rsidR="00342798" w:rsidRPr="00105142" w:rsidRDefault="00342798" w:rsidP="00342798">
            <w:pPr>
              <w:rPr>
                <w:rFonts w:asciiTheme="minorHAnsi" w:eastAsia="Times New Roman" w:hAnsiTheme="minorHAnsi" w:cs="Times New Roman"/>
                <w:sz w:val="22"/>
                <w:szCs w:val="22"/>
                <w:lang w:eastAsia="zh-CN"/>
              </w:rPr>
            </w:pPr>
            <w:r w:rsidRPr="00105142">
              <w:rPr>
                <w:rFonts w:asciiTheme="minorHAnsi" w:eastAsia="Times New Roman" w:hAnsiTheme="minorHAnsi" w:cs="Times New Roman"/>
                <w:sz w:val="22"/>
                <w:szCs w:val="22"/>
                <w:lang w:eastAsia="zh-CN"/>
              </w:rPr>
              <w:lastRenderedPageBreak/>
              <w:t>Yes, this is available in the existing W</w:t>
            </w:r>
            <w:r w:rsidR="00192C9E" w:rsidRPr="00105142">
              <w:rPr>
                <w:rFonts w:asciiTheme="minorHAnsi" w:eastAsia="Times New Roman" w:hAnsiTheme="minorHAnsi" w:cs="Times New Roman"/>
                <w:sz w:val="22"/>
                <w:szCs w:val="22"/>
                <w:lang w:eastAsia="zh-CN"/>
              </w:rPr>
              <w:t>HOIS</w:t>
            </w:r>
            <w:r w:rsidRPr="00105142">
              <w:rPr>
                <w:rFonts w:asciiTheme="minorHAnsi" w:eastAsia="Times New Roman" w:hAnsiTheme="minorHAnsi" w:cs="Times New Roman"/>
                <w:sz w:val="22"/>
                <w:szCs w:val="22"/>
                <w:lang w:eastAsia="zh-CN"/>
              </w:rPr>
              <w:t xml:space="preserve"> inaccuracy complaints process.  </w:t>
            </w:r>
          </w:p>
          <w:p w14:paraId="6F74C200" w14:textId="77777777" w:rsidR="00B04A75" w:rsidRPr="00105142" w:rsidRDefault="00B04A75" w:rsidP="00192C9E">
            <w:pPr>
              <w:pStyle w:val="NormalWeb"/>
              <w:spacing w:before="0" w:beforeAutospacing="0" w:after="0" w:afterAutospacing="0"/>
              <w:textAlignment w:val="baseline"/>
              <w:rPr>
                <w:rFonts w:asciiTheme="minorHAnsi" w:hAnsiTheme="minorHAnsi" w:cs="Arial"/>
                <w:color w:val="000000"/>
                <w:sz w:val="22"/>
                <w:szCs w:val="22"/>
              </w:rPr>
            </w:pPr>
          </w:p>
        </w:tc>
      </w:tr>
      <w:tr w:rsidR="007B03C3" w:rsidRPr="00105142" w14:paraId="2A10C54F" w14:textId="77777777" w:rsidTr="00C82616">
        <w:tc>
          <w:tcPr>
            <w:tcW w:w="9576" w:type="dxa"/>
            <w:shd w:val="clear" w:color="auto" w:fill="548DD4" w:themeFill="text2" w:themeFillTint="99"/>
          </w:tcPr>
          <w:p w14:paraId="4EABA61F" w14:textId="667E4800" w:rsidR="007B03C3" w:rsidRPr="00105142" w:rsidRDefault="007B03C3" w:rsidP="00C82616">
            <w:pPr>
              <w:pStyle w:val="ListParagraph"/>
              <w:numPr>
                <w:ilvl w:val="0"/>
                <w:numId w:val="6"/>
              </w:numPr>
              <w:rPr>
                <w:rFonts w:eastAsia="Times New Roman" w:cs="Arial"/>
                <w:color w:val="FFFFFF" w:themeColor="background1"/>
              </w:rPr>
            </w:pPr>
            <w:r w:rsidRPr="00105142">
              <w:rPr>
                <w:rFonts w:eastAsia="Times New Roman" w:cs="Arial"/>
                <w:color w:val="FFFFFF" w:themeColor="background1"/>
              </w:rPr>
              <w:t>What is the definition of “untouched” for 2013 RAA grandfathered domain names? (e.g., does it include domain names that were renewed with the same WHOIS?)</w:t>
            </w:r>
          </w:p>
        </w:tc>
      </w:tr>
      <w:tr w:rsidR="00C82616" w:rsidRPr="00105142" w14:paraId="003CC3AA" w14:textId="77777777" w:rsidTr="00185D1E">
        <w:tc>
          <w:tcPr>
            <w:tcW w:w="9576" w:type="dxa"/>
            <w:shd w:val="clear" w:color="auto" w:fill="auto"/>
          </w:tcPr>
          <w:p w14:paraId="6C4189D8" w14:textId="77777777" w:rsidR="00E903CC" w:rsidRPr="00105142" w:rsidRDefault="00E903CC" w:rsidP="00E903CC">
            <w:pPr>
              <w:rPr>
                <w:rFonts w:asciiTheme="minorHAnsi" w:hAnsiTheme="minorHAnsi" w:cs="Times New Roman"/>
                <w:color w:val="000000"/>
                <w:sz w:val="22"/>
                <w:szCs w:val="22"/>
              </w:rPr>
            </w:pPr>
            <w:r w:rsidRPr="00105142">
              <w:rPr>
                <w:rFonts w:asciiTheme="minorHAnsi" w:hAnsiTheme="minorHAnsi" w:cs="Times New Roman"/>
                <w:color w:val="000000"/>
                <w:sz w:val="22"/>
                <w:szCs w:val="22"/>
              </w:rPr>
              <w:t>Renewal of a domain name registered prior to the 2013 RAA effective date does </w:t>
            </w:r>
            <w:r w:rsidRPr="00105142">
              <w:rPr>
                <w:rFonts w:asciiTheme="minorHAnsi" w:hAnsiTheme="minorHAnsi" w:cs="Times New Roman"/>
                <w:bCs/>
                <w:color w:val="000000"/>
                <w:sz w:val="22"/>
                <w:szCs w:val="22"/>
              </w:rPr>
              <w:t>not </w:t>
            </w:r>
            <w:r w:rsidRPr="00105142">
              <w:rPr>
                <w:rFonts w:asciiTheme="minorHAnsi" w:hAnsiTheme="minorHAnsi" w:cs="Times New Roman"/>
                <w:color w:val="000000"/>
                <w:sz w:val="22"/>
                <w:szCs w:val="22"/>
              </w:rPr>
              <w:t>require registrar review, and the data remains grandfathered to the 2009 requirements.</w:t>
            </w:r>
          </w:p>
          <w:p w14:paraId="4C581006" w14:textId="77777777" w:rsidR="00E903CC" w:rsidRPr="00105142" w:rsidRDefault="00E903CC" w:rsidP="00E903CC">
            <w:pPr>
              <w:rPr>
                <w:rFonts w:asciiTheme="minorHAnsi" w:hAnsiTheme="minorHAnsi" w:cs="Times New Roman"/>
                <w:color w:val="000000"/>
                <w:sz w:val="22"/>
                <w:szCs w:val="22"/>
              </w:rPr>
            </w:pPr>
          </w:p>
          <w:p w14:paraId="6691BE6B" w14:textId="5BB2DAA5" w:rsidR="00E903CC" w:rsidRPr="00105142" w:rsidRDefault="00E903CC" w:rsidP="00E903CC">
            <w:pPr>
              <w:rPr>
                <w:rFonts w:asciiTheme="minorHAnsi" w:hAnsiTheme="minorHAnsi" w:cs="Times New Roman"/>
                <w:color w:val="000000"/>
                <w:sz w:val="22"/>
                <w:szCs w:val="22"/>
              </w:rPr>
            </w:pPr>
            <w:r w:rsidRPr="00105142">
              <w:rPr>
                <w:rFonts w:asciiTheme="minorHAnsi" w:hAnsiTheme="minorHAnsi" w:cs="Times New Roman"/>
                <w:color w:val="000000"/>
                <w:sz w:val="22"/>
                <w:szCs w:val="22"/>
              </w:rPr>
              <w:t xml:space="preserve">An update to any data fields (or a registration transfer) </w:t>
            </w:r>
            <w:r w:rsidRPr="00105142">
              <w:rPr>
                <w:rFonts w:asciiTheme="minorHAnsi" w:hAnsiTheme="minorHAnsi" w:cs="Times New Roman"/>
                <w:bCs/>
                <w:color w:val="000000"/>
                <w:sz w:val="22"/>
                <w:szCs w:val="22"/>
              </w:rPr>
              <w:t>will</w:t>
            </w:r>
            <w:r w:rsidRPr="00105142">
              <w:rPr>
                <w:rFonts w:asciiTheme="minorHAnsi" w:hAnsiTheme="minorHAnsi" w:cs="Times New Roman"/>
                <w:color w:val="000000"/>
                <w:sz w:val="22"/>
                <w:szCs w:val="22"/>
              </w:rPr>
              <w:t> require registrar review, and the review will be performed against the registrar’s current WAPS requirement (thus will “break” the grandfathering).</w:t>
            </w:r>
          </w:p>
          <w:p w14:paraId="618F3CAB" w14:textId="77777777" w:rsidR="00E903CC" w:rsidRPr="00105142" w:rsidRDefault="00E903CC" w:rsidP="00E903CC">
            <w:pPr>
              <w:rPr>
                <w:rFonts w:asciiTheme="minorHAnsi" w:hAnsiTheme="minorHAnsi" w:cs="Times New Roman"/>
                <w:color w:val="000000"/>
                <w:sz w:val="22"/>
                <w:szCs w:val="22"/>
              </w:rPr>
            </w:pPr>
          </w:p>
          <w:p w14:paraId="2447C460" w14:textId="14AC33E0" w:rsidR="00E903CC" w:rsidRPr="00105142" w:rsidRDefault="00E903CC" w:rsidP="00E903CC">
            <w:pPr>
              <w:rPr>
                <w:rFonts w:asciiTheme="minorHAnsi" w:hAnsiTheme="minorHAnsi" w:cs="Times New Roman"/>
                <w:color w:val="000000"/>
                <w:sz w:val="22"/>
                <w:szCs w:val="22"/>
              </w:rPr>
            </w:pPr>
            <w:r w:rsidRPr="00105142">
              <w:rPr>
                <w:rFonts w:asciiTheme="minorHAnsi" w:hAnsiTheme="minorHAnsi" w:cs="Times New Roman"/>
                <w:color w:val="000000"/>
                <w:sz w:val="22"/>
                <w:szCs w:val="22"/>
              </w:rPr>
              <w:t>In either case, the ARS tests all records against the 2009 RAA requirements, so there should be no issue of an incorrectly applied label.</w:t>
            </w:r>
          </w:p>
          <w:p w14:paraId="606E3D91" w14:textId="77777777" w:rsidR="00C06726" w:rsidRPr="00105142" w:rsidRDefault="00C06726" w:rsidP="00192C9E">
            <w:pPr>
              <w:rPr>
                <w:rFonts w:asciiTheme="minorHAnsi" w:eastAsia="Times New Roman" w:hAnsiTheme="minorHAnsi" w:cs="Arial"/>
                <w:color w:val="000000"/>
                <w:sz w:val="22"/>
                <w:szCs w:val="22"/>
              </w:rPr>
            </w:pPr>
          </w:p>
        </w:tc>
      </w:tr>
    </w:tbl>
    <w:p w14:paraId="362AF805" w14:textId="77777777" w:rsidR="000248AE" w:rsidRPr="00105142" w:rsidRDefault="000248AE" w:rsidP="00C602D5">
      <w:pPr>
        <w:rPr>
          <w:rFonts w:asciiTheme="minorHAnsi" w:hAnsiTheme="minorHAnsi"/>
          <w:sz w:val="22"/>
          <w:szCs w:val="22"/>
        </w:rPr>
      </w:pPr>
    </w:p>
    <w:p w14:paraId="2979B88D" w14:textId="52546925" w:rsidR="007B7438" w:rsidRDefault="007B7438" w:rsidP="007B7438">
      <w:pPr>
        <w:rPr>
          <w:rFonts w:asciiTheme="minorHAnsi" w:hAnsiTheme="minorHAnsi"/>
          <w:b/>
          <w:color w:val="244061" w:themeColor="accent1" w:themeShade="80"/>
          <w:sz w:val="22"/>
          <w:szCs w:val="22"/>
        </w:rPr>
      </w:pPr>
      <w:r w:rsidRPr="00105142">
        <w:rPr>
          <w:rFonts w:asciiTheme="minorHAnsi" w:hAnsiTheme="minorHAnsi"/>
          <w:b/>
          <w:color w:val="244061" w:themeColor="accent1" w:themeShade="80"/>
          <w:sz w:val="22"/>
          <w:szCs w:val="22"/>
        </w:rPr>
        <w:t>Recommendation 8 - ICANN should ensure that there is a clear, unambiguous and enforceable chain of contractual agreements with registries / registrars / registrants to require the provision and maintenance of accurate Whois data</w:t>
      </w:r>
    </w:p>
    <w:p w14:paraId="28714826" w14:textId="77777777" w:rsidR="00105142" w:rsidRPr="00105142" w:rsidRDefault="00105142" w:rsidP="007B7438">
      <w:pPr>
        <w:rPr>
          <w:rFonts w:asciiTheme="minorHAnsi" w:hAnsiTheme="minorHAnsi"/>
          <w:b/>
          <w:color w:val="244061" w:themeColor="accent1" w:themeShade="80"/>
          <w:sz w:val="22"/>
          <w:szCs w:val="22"/>
        </w:rPr>
      </w:pPr>
    </w:p>
    <w:tbl>
      <w:tblPr>
        <w:tblStyle w:val="TableGrid"/>
        <w:tblW w:w="0" w:type="auto"/>
        <w:tblLook w:val="04A0" w:firstRow="1" w:lastRow="0" w:firstColumn="1" w:lastColumn="0" w:noHBand="0" w:noVBand="1"/>
      </w:tblPr>
      <w:tblGrid>
        <w:gridCol w:w="9576"/>
      </w:tblGrid>
      <w:tr w:rsidR="007B7438" w:rsidRPr="00105142" w14:paraId="365806E4" w14:textId="77777777" w:rsidTr="00185D1E">
        <w:tc>
          <w:tcPr>
            <w:tcW w:w="9576" w:type="dxa"/>
            <w:shd w:val="clear" w:color="auto" w:fill="548DD4" w:themeFill="text2" w:themeFillTint="99"/>
          </w:tcPr>
          <w:p w14:paraId="3DA9CE31" w14:textId="77777777" w:rsidR="007B7438" w:rsidRPr="00105142" w:rsidRDefault="007B7438" w:rsidP="00185D1E">
            <w:pPr>
              <w:pStyle w:val="ListParagraph"/>
              <w:numPr>
                <w:ilvl w:val="0"/>
                <w:numId w:val="6"/>
              </w:numPr>
              <w:rPr>
                <w:color w:val="FFFFFF" w:themeColor="background1"/>
              </w:rPr>
            </w:pPr>
            <w:r w:rsidRPr="00105142">
              <w:rPr>
                <w:color w:val="FFFFFF" w:themeColor="background1"/>
              </w:rPr>
              <w:t>When will the Registrar option to renew under the 2009 RAA be disallowed?</w:t>
            </w:r>
          </w:p>
        </w:tc>
      </w:tr>
      <w:tr w:rsidR="007B7438" w:rsidRPr="00105142" w14:paraId="17327DBC" w14:textId="77777777" w:rsidTr="00185D1E">
        <w:tc>
          <w:tcPr>
            <w:tcW w:w="9576" w:type="dxa"/>
            <w:tcBorders>
              <w:bottom w:val="single" w:sz="4" w:space="0" w:color="auto"/>
            </w:tcBorders>
          </w:tcPr>
          <w:p w14:paraId="3AF8D55E" w14:textId="28E63AAE" w:rsidR="000D2B84" w:rsidRPr="00105142" w:rsidRDefault="000D2B84" w:rsidP="000D2B84">
            <w:pPr>
              <w:rPr>
                <w:rFonts w:asciiTheme="minorHAnsi" w:hAnsiTheme="minorHAnsi"/>
                <w:sz w:val="22"/>
                <w:szCs w:val="22"/>
              </w:rPr>
            </w:pPr>
            <w:r w:rsidRPr="00105142">
              <w:rPr>
                <w:rFonts w:asciiTheme="minorHAnsi" w:hAnsiTheme="minorHAnsi"/>
                <w:sz w:val="22"/>
                <w:szCs w:val="22"/>
              </w:rPr>
              <w:t>ICANN-accredited registrars have not had able to renew under the 2009 RAA since 2014. Please note, though, that registrars who signed the 2009 RAA in 2013 were not forced to adopt the 2013 RAA before their current RAA expired. For example, if a registrar signed the 2009 RAA on 1 April 2013, a date before the 2013 RAA was approved by the ICANN Board, their RAA would expire on 31 March 2018 if the registrar chose not to adopt the 2013 RAA before the expiration date of its 2009 RAA. </w:t>
            </w:r>
          </w:p>
          <w:p w14:paraId="6A0D318A" w14:textId="77777777" w:rsidR="00714829" w:rsidRPr="00105142" w:rsidRDefault="00714829" w:rsidP="00185D1E">
            <w:pPr>
              <w:rPr>
                <w:rFonts w:asciiTheme="minorHAnsi" w:hAnsiTheme="minorHAnsi"/>
                <w:b/>
                <w:sz w:val="22"/>
                <w:szCs w:val="22"/>
              </w:rPr>
            </w:pPr>
          </w:p>
        </w:tc>
      </w:tr>
      <w:tr w:rsidR="007B7438" w:rsidRPr="00105142" w14:paraId="4D7D1DE6" w14:textId="77777777" w:rsidTr="00185D1E">
        <w:tc>
          <w:tcPr>
            <w:tcW w:w="9576" w:type="dxa"/>
            <w:tcBorders>
              <w:bottom w:val="single" w:sz="4" w:space="0" w:color="auto"/>
            </w:tcBorders>
            <w:shd w:val="clear" w:color="auto" w:fill="548DD4" w:themeFill="text2" w:themeFillTint="99"/>
          </w:tcPr>
          <w:p w14:paraId="070E5FC8" w14:textId="77777777" w:rsidR="007B7438" w:rsidRPr="00105142" w:rsidRDefault="007B7438" w:rsidP="00185D1E">
            <w:pPr>
              <w:pStyle w:val="ListParagraph"/>
              <w:numPr>
                <w:ilvl w:val="0"/>
                <w:numId w:val="6"/>
              </w:numPr>
            </w:pPr>
            <w:r w:rsidRPr="00105142">
              <w:rPr>
                <w:color w:val="FFFFFF" w:themeColor="background1"/>
              </w:rPr>
              <w:t>When can it be expected that all Registrars (not just those offering new gTLDs) will move to 2013 RAA?</w:t>
            </w:r>
          </w:p>
        </w:tc>
      </w:tr>
      <w:tr w:rsidR="007B7438" w:rsidRPr="00105142" w14:paraId="5A0585B7" w14:textId="77777777" w:rsidTr="00185D1E">
        <w:tc>
          <w:tcPr>
            <w:tcW w:w="9576" w:type="dxa"/>
            <w:shd w:val="clear" w:color="auto" w:fill="auto"/>
          </w:tcPr>
          <w:p w14:paraId="01DA6432" w14:textId="4942986F" w:rsidR="0046224B" w:rsidRPr="00105142" w:rsidRDefault="0046224B" w:rsidP="0046224B">
            <w:pPr>
              <w:rPr>
                <w:rFonts w:asciiTheme="minorHAnsi" w:hAnsiTheme="minorHAnsi"/>
                <w:sz w:val="22"/>
                <w:szCs w:val="22"/>
              </w:rPr>
            </w:pPr>
            <w:r w:rsidRPr="00105142">
              <w:rPr>
                <w:rFonts w:asciiTheme="minorHAnsi" w:hAnsiTheme="minorHAnsi"/>
                <w:sz w:val="22"/>
                <w:szCs w:val="22"/>
              </w:rPr>
              <w:t>The last 2009 RAA will expire on 31 July 2018, so this will be latest date a registrar will operate under the 2009 RAA.</w:t>
            </w:r>
            <w:r w:rsidR="00690523" w:rsidRPr="00105142">
              <w:rPr>
                <w:rFonts w:asciiTheme="minorHAnsi" w:hAnsiTheme="minorHAnsi"/>
                <w:sz w:val="22"/>
                <w:szCs w:val="22"/>
              </w:rPr>
              <w:t xml:space="preserve"> As of 9 November, 2017, only 19 registrars are still on the 2009 RAA.</w:t>
            </w:r>
          </w:p>
          <w:p w14:paraId="53F0DAC4" w14:textId="77777777" w:rsidR="00BF044E" w:rsidRPr="00105142" w:rsidRDefault="00BF044E" w:rsidP="000D2B84">
            <w:pPr>
              <w:rPr>
                <w:rFonts w:asciiTheme="minorHAnsi" w:hAnsiTheme="minorHAnsi"/>
                <w:color w:val="FFFFFF" w:themeColor="background1"/>
                <w:sz w:val="22"/>
                <w:szCs w:val="22"/>
              </w:rPr>
            </w:pPr>
          </w:p>
        </w:tc>
      </w:tr>
    </w:tbl>
    <w:p w14:paraId="20E7A8A1" w14:textId="77777777" w:rsidR="007B7438" w:rsidRPr="00105142" w:rsidRDefault="007B7438" w:rsidP="00C602D5">
      <w:pPr>
        <w:rPr>
          <w:rFonts w:asciiTheme="minorHAnsi" w:hAnsiTheme="minorHAnsi"/>
          <w:sz w:val="22"/>
          <w:szCs w:val="22"/>
        </w:rPr>
      </w:pPr>
    </w:p>
    <w:p w14:paraId="723CF895" w14:textId="1DDEDC02" w:rsidR="006250EC" w:rsidRDefault="001F50B3" w:rsidP="00C602D5">
      <w:pPr>
        <w:rPr>
          <w:rFonts w:asciiTheme="minorHAnsi" w:hAnsiTheme="minorHAnsi"/>
          <w:b/>
          <w:color w:val="244061" w:themeColor="accent1" w:themeShade="80"/>
          <w:sz w:val="22"/>
          <w:szCs w:val="22"/>
        </w:rPr>
      </w:pPr>
      <w:r w:rsidRPr="00105142">
        <w:rPr>
          <w:rFonts w:asciiTheme="minorHAnsi" w:hAnsiTheme="minorHAnsi"/>
          <w:b/>
          <w:color w:val="244061" w:themeColor="accent1" w:themeShade="80"/>
          <w:sz w:val="22"/>
          <w:szCs w:val="22"/>
        </w:rPr>
        <w:t xml:space="preserve">Recommendation 10 - </w:t>
      </w:r>
      <w:r w:rsidR="006250EC" w:rsidRPr="00105142">
        <w:rPr>
          <w:rFonts w:asciiTheme="minorHAnsi" w:hAnsiTheme="minorHAnsi"/>
          <w:b/>
          <w:color w:val="244061" w:themeColor="accent1" w:themeShade="80"/>
          <w:sz w:val="22"/>
          <w:szCs w:val="22"/>
        </w:rPr>
        <w:t>ICANN should initiate processes to regulate and oversee privacy proxy service providers</w:t>
      </w:r>
    </w:p>
    <w:p w14:paraId="1CE99A65" w14:textId="77777777" w:rsidR="00105142" w:rsidRPr="00105142" w:rsidRDefault="00105142" w:rsidP="00C602D5">
      <w:pPr>
        <w:rPr>
          <w:rFonts w:asciiTheme="minorHAnsi" w:hAnsiTheme="minorHAnsi"/>
          <w:b/>
          <w:color w:val="244061" w:themeColor="accent1" w:themeShade="80"/>
          <w:sz w:val="22"/>
          <w:szCs w:val="22"/>
        </w:rPr>
      </w:pPr>
    </w:p>
    <w:tbl>
      <w:tblPr>
        <w:tblStyle w:val="TableGrid"/>
        <w:tblW w:w="0" w:type="auto"/>
        <w:tblLook w:val="04A0" w:firstRow="1" w:lastRow="0" w:firstColumn="1" w:lastColumn="0" w:noHBand="0" w:noVBand="1"/>
      </w:tblPr>
      <w:tblGrid>
        <w:gridCol w:w="9576"/>
      </w:tblGrid>
      <w:tr w:rsidR="006250EC" w:rsidRPr="00105142" w14:paraId="735D9F0A" w14:textId="77777777" w:rsidTr="00165393">
        <w:tc>
          <w:tcPr>
            <w:tcW w:w="9576" w:type="dxa"/>
            <w:shd w:val="clear" w:color="auto" w:fill="548DD4" w:themeFill="text2" w:themeFillTint="99"/>
          </w:tcPr>
          <w:p w14:paraId="28197300" w14:textId="77777777" w:rsidR="006250EC" w:rsidRPr="00105142" w:rsidRDefault="006250EC" w:rsidP="00BE1A79">
            <w:pPr>
              <w:pStyle w:val="ListParagraph"/>
              <w:numPr>
                <w:ilvl w:val="0"/>
                <w:numId w:val="6"/>
              </w:numPr>
              <w:rPr>
                <w:color w:val="FFFFFF" w:themeColor="background1"/>
              </w:rPr>
            </w:pPr>
            <w:r w:rsidRPr="00105142">
              <w:rPr>
                <w:color w:val="FFFFFF" w:themeColor="background1"/>
              </w:rPr>
              <w:t>Are there any privacy services? (e.g., studies identifying P/P services)</w:t>
            </w:r>
          </w:p>
        </w:tc>
      </w:tr>
      <w:tr w:rsidR="006250EC" w:rsidRPr="00105142" w14:paraId="66E5A374" w14:textId="77777777" w:rsidTr="00165393">
        <w:tc>
          <w:tcPr>
            <w:tcW w:w="9576" w:type="dxa"/>
            <w:tcBorders>
              <w:bottom w:val="single" w:sz="4" w:space="0" w:color="auto"/>
            </w:tcBorders>
          </w:tcPr>
          <w:p w14:paraId="55515637" w14:textId="77777777" w:rsidR="002B0E24" w:rsidRPr="00105142" w:rsidRDefault="002B0E24" w:rsidP="005A4280">
            <w:pPr>
              <w:rPr>
                <w:rFonts w:asciiTheme="minorHAnsi" w:hAnsiTheme="minorHAnsi"/>
                <w:sz w:val="22"/>
                <w:szCs w:val="22"/>
              </w:rPr>
            </w:pPr>
            <w:r w:rsidRPr="00105142">
              <w:rPr>
                <w:rFonts w:asciiTheme="minorHAnsi" w:hAnsiTheme="minorHAnsi"/>
                <w:sz w:val="22"/>
                <w:szCs w:val="22"/>
              </w:rPr>
              <w:t>The following studies were considered by the Privacy/Proxy PDP Working Group:</w:t>
            </w:r>
          </w:p>
          <w:p w14:paraId="2C65707F" w14:textId="4A997CEC" w:rsidR="002B0E24" w:rsidRPr="00105142" w:rsidRDefault="002B0E24" w:rsidP="005A4280">
            <w:pPr>
              <w:rPr>
                <w:rFonts w:asciiTheme="minorHAnsi" w:hAnsiTheme="minorHAnsi"/>
                <w:sz w:val="22"/>
                <w:szCs w:val="22"/>
              </w:rPr>
            </w:pPr>
          </w:p>
          <w:p w14:paraId="51B176BD" w14:textId="327889F5" w:rsidR="005A4280" w:rsidRPr="00105142" w:rsidRDefault="00CC7B70" w:rsidP="005A4280">
            <w:pPr>
              <w:rPr>
                <w:rFonts w:asciiTheme="minorHAnsi" w:hAnsiTheme="minorHAnsi"/>
                <w:sz w:val="22"/>
                <w:szCs w:val="22"/>
              </w:rPr>
            </w:pPr>
            <w:hyperlink r:id="rId23" w:history="1">
              <w:r w:rsidR="005A4280" w:rsidRPr="00105142">
                <w:rPr>
                  <w:rStyle w:val="Hyperlink"/>
                  <w:rFonts w:asciiTheme="minorHAnsi" w:hAnsiTheme="minorHAnsi"/>
                  <w:sz w:val="22"/>
                  <w:szCs w:val="22"/>
                </w:rPr>
                <w:t>NORC Whois Accuracy Study January 2010</w:t>
              </w:r>
            </w:hyperlink>
          </w:p>
          <w:p w14:paraId="20251C42" w14:textId="77777777" w:rsidR="005A4280" w:rsidRPr="00105142" w:rsidRDefault="00CC7B70" w:rsidP="005A4280">
            <w:pPr>
              <w:rPr>
                <w:rFonts w:asciiTheme="minorHAnsi" w:hAnsiTheme="minorHAnsi"/>
                <w:sz w:val="22"/>
                <w:szCs w:val="22"/>
              </w:rPr>
            </w:pPr>
            <w:hyperlink r:id="rId24" w:history="1">
              <w:r w:rsidR="005A4280" w:rsidRPr="00105142">
                <w:rPr>
                  <w:rStyle w:val="Hyperlink"/>
                  <w:rFonts w:asciiTheme="minorHAnsi" w:hAnsiTheme="minorHAnsi"/>
                  <w:sz w:val="22"/>
                  <w:szCs w:val="22"/>
                </w:rPr>
                <w:t>Interisle Final Report on Relay &amp; Reveal Survey Aug 2012</w:t>
              </w:r>
            </w:hyperlink>
          </w:p>
          <w:p w14:paraId="4AB9E385" w14:textId="77777777" w:rsidR="005A4280" w:rsidRPr="00105142" w:rsidRDefault="00CC7B70" w:rsidP="005A4280">
            <w:pPr>
              <w:rPr>
                <w:rFonts w:asciiTheme="minorHAnsi" w:hAnsiTheme="minorHAnsi"/>
                <w:sz w:val="22"/>
                <w:szCs w:val="22"/>
              </w:rPr>
            </w:pPr>
            <w:hyperlink r:id="rId25" w:history="1">
              <w:r w:rsidR="005A4280" w:rsidRPr="00105142">
                <w:rPr>
                  <w:rStyle w:val="Hyperlink"/>
                  <w:rFonts w:asciiTheme="minorHAnsi" w:hAnsiTheme="minorHAnsi"/>
                  <w:sz w:val="22"/>
                  <w:szCs w:val="22"/>
                </w:rPr>
                <w:t>WHOIS Registrant Identification Study - Project Summary Report June 2013</w:t>
              </w:r>
            </w:hyperlink>
          </w:p>
          <w:p w14:paraId="7FA1E5E4" w14:textId="77777777" w:rsidR="005C10C1" w:rsidRPr="00105142" w:rsidRDefault="00CC7B70" w:rsidP="00C602D5">
            <w:pPr>
              <w:rPr>
                <w:rFonts w:asciiTheme="minorHAnsi" w:hAnsiTheme="minorHAnsi"/>
                <w:sz w:val="22"/>
                <w:szCs w:val="22"/>
              </w:rPr>
            </w:pPr>
            <w:hyperlink r:id="rId26" w:history="1">
              <w:r w:rsidR="005A4280" w:rsidRPr="00105142">
                <w:rPr>
                  <w:rStyle w:val="Hyperlink"/>
                  <w:rFonts w:asciiTheme="minorHAnsi" w:hAnsiTheme="minorHAnsi"/>
                  <w:sz w:val="22"/>
                  <w:szCs w:val="22"/>
                </w:rPr>
                <w:t>WHOIS Privacy &amp; Proxy Abuse Study Final Report March 2014</w:t>
              </w:r>
            </w:hyperlink>
          </w:p>
          <w:p w14:paraId="69AB2CE1" w14:textId="103E0BA4" w:rsidR="00613682" w:rsidRPr="00105142" w:rsidRDefault="00613682" w:rsidP="00C602D5">
            <w:pPr>
              <w:rPr>
                <w:rFonts w:asciiTheme="minorHAnsi" w:hAnsiTheme="minorHAnsi"/>
                <w:b/>
                <w:sz w:val="22"/>
                <w:szCs w:val="22"/>
              </w:rPr>
            </w:pPr>
          </w:p>
        </w:tc>
      </w:tr>
      <w:tr w:rsidR="00165393" w:rsidRPr="00105142" w14:paraId="6753C226" w14:textId="77777777" w:rsidTr="00165393">
        <w:trPr>
          <w:trHeight w:val="213"/>
        </w:trPr>
        <w:tc>
          <w:tcPr>
            <w:tcW w:w="9576" w:type="dxa"/>
            <w:shd w:val="clear" w:color="auto" w:fill="548DD4" w:themeFill="text2" w:themeFillTint="99"/>
          </w:tcPr>
          <w:p w14:paraId="12BC92AD" w14:textId="77777777" w:rsidR="006250EC" w:rsidRPr="00105142" w:rsidRDefault="006250EC" w:rsidP="00BE1A79">
            <w:pPr>
              <w:pStyle w:val="ListParagraph"/>
              <w:numPr>
                <w:ilvl w:val="0"/>
                <w:numId w:val="6"/>
              </w:numPr>
              <w:rPr>
                <w:color w:val="FFFFFF" w:themeColor="background1"/>
              </w:rPr>
            </w:pPr>
            <w:r w:rsidRPr="00105142">
              <w:rPr>
                <w:color w:val="FFFFFF" w:themeColor="background1"/>
              </w:rPr>
              <w:lastRenderedPageBreak/>
              <w:t>What are the reasons for delay between GNSO approval/</w:t>
            </w:r>
            <w:r w:rsidR="00000877" w:rsidRPr="00105142">
              <w:rPr>
                <w:color w:val="FFFFFF" w:themeColor="background1"/>
              </w:rPr>
              <w:t>B</w:t>
            </w:r>
            <w:r w:rsidRPr="00105142">
              <w:rPr>
                <w:color w:val="FFFFFF" w:themeColor="background1"/>
              </w:rPr>
              <w:t>oard adoption of PPSAI policy and IRT launch?</w:t>
            </w:r>
          </w:p>
        </w:tc>
      </w:tr>
      <w:tr w:rsidR="006250EC" w:rsidRPr="00105142" w14:paraId="69A91845" w14:textId="77777777" w:rsidTr="006250EC">
        <w:trPr>
          <w:trHeight w:val="213"/>
        </w:trPr>
        <w:tc>
          <w:tcPr>
            <w:tcW w:w="9576" w:type="dxa"/>
          </w:tcPr>
          <w:p w14:paraId="134C1AB4" w14:textId="48D4DE32" w:rsidR="00551DDE" w:rsidRPr="00105142" w:rsidRDefault="00AF134C" w:rsidP="00AF134C">
            <w:pPr>
              <w:pStyle w:val="ListParagraph"/>
              <w:ind w:left="0"/>
            </w:pPr>
            <w:r w:rsidRPr="00105142">
              <w:t>The Board approved the Working Group’s recommendations on 9 August 2016. The IRT held its first meeting on 18 October 2016. ICANN handled various administrative functions in the time between 9 August and 18 October, including, but not limited to, convening the IRT, which includes reaching out to various ICANN stakeholders, deciding on a upon a meeting time that worked for all members, etc.</w:t>
            </w:r>
          </w:p>
        </w:tc>
      </w:tr>
    </w:tbl>
    <w:p w14:paraId="171507B4" w14:textId="77777777" w:rsidR="006250EC" w:rsidRPr="00105142" w:rsidRDefault="006250EC" w:rsidP="00C602D5">
      <w:pPr>
        <w:rPr>
          <w:rFonts w:asciiTheme="minorHAnsi" w:hAnsiTheme="minorHAnsi"/>
          <w:sz w:val="22"/>
          <w:szCs w:val="22"/>
        </w:rPr>
      </w:pPr>
    </w:p>
    <w:p w14:paraId="1CD548CD" w14:textId="77777777" w:rsidR="001F50B3" w:rsidRPr="00105142" w:rsidRDefault="001F50B3" w:rsidP="001F50B3">
      <w:pPr>
        <w:rPr>
          <w:rFonts w:asciiTheme="minorHAnsi" w:hAnsiTheme="minorHAnsi"/>
          <w:b/>
          <w:color w:val="244061" w:themeColor="accent1" w:themeShade="80"/>
          <w:sz w:val="22"/>
          <w:szCs w:val="22"/>
        </w:rPr>
      </w:pPr>
      <w:r w:rsidRPr="00105142">
        <w:rPr>
          <w:rFonts w:asciiTheme="minorHAnsi" w:hAnsiTheme="minorHAnsi"/>
          <w:b/>
          <w:color w:val="244061" w:themeColor="accent1" w:themeShade="80"/>
          <w:sz w:val="22"/>
          <w:szCs w:val="22"/>
        </w:rPr>
        <w:t>Recommendation 12 - The final data model, including (any) requirements for the translation or transliteration of the registration data, should be incorporated in the relevant Registrar and Registry agreements within 6 months of adoption of the working group’s recommendations by the ICANN Board. If these recommendations are not finalized in time for the next revision of such agreements, explicit placeholders for this purpose should be put in place in the agreements for the new gTLD program at this time, and in the existing agreements when they come up for renewal.</w:t>
      </w:r>
    </w:p>
    <w:p w14:paraId="3D56B418" w14:textId="77777777" w:rsidR="001F50B3" w:rsidRPr="00105142" w:rsidRDefault="001F50B3" w:rsidP="00C602D5">
      <w:pPr>
        <w:rPr>
          <w:rFonts w:asciiTheme="minorHAnsi" w:hAnsiTheme="minorHAnsi"/>
          <w:b/>
          <w:color w:val="244061" w:themeColor="accent1" w:themeShade="80"/>
          <w:sz w:val="22"/>
          <w:szCs w:val="22"/>
        </w:rPr>
      </w:pPr>
      <w:r w:rsidRPr="00105142">
        <w:rPr>
          <w:rFonts w:asciiTheme="minorHAnsi" w:hAnsiTheme="minorHAnsi"/>
          <w:b/>
          <w:color w:val="244061" w:themeColor="accent1" w:themeShade="80"/>
          <w:sz w:val="22"/>
          <w:szCs w:val="22"/>
        </w:rPr>
        <w:t>Recommendation 13 - The final data model, including (any) requirements for the translation or transliteration of the registration data, should be incorporated in the relevant Registrar and Registry agreements within 6 months of adoption of the working group’s recommendations by the ICANN Board. If these recommendations are not finalized in time for the next revision of such agreements, explicit placeholders for this purpose should be put in place in the agreements for the new gTLD program at this time, and in the existing agreements when they come up for renewal.</w:t>
      </w:r>
    </w:p>
    <w:p w14:paraId="4247CB78" w14:textId="7B51A3FE" w:rsidR="001F50B3" w:rsidRDefault="001F50B3" w:rsidP="001F50B3">
      <w:pPr>
        <w:rPr>
          <w:rFonts w:asciiTheme="minorHAnsi" w:hAnsiTheme="minorHAnsi"/>
          <w:b/>
          <w:color w:val="244061" w:themeColor="accent1" w:themeShade="80"/>
          <w:sz w:val="22"/>
          <w:szCs w:val="22"/>
        </w:rPr>
      </w:pPr>
      <w:r w:rsidRPr="00105142">
        <w:rPr>
          <w:rFonts w:asciiTheme="minorHAnsi" w:hAnsiTheme="minorHAnsi"/>
          <w:b/>
          <w:color w:val="244061" w:themeColor="accent1" w:themeShade="80"/>
          <w:sz w:val="22"/>
          <w:szCs w:val="22"/>
        </w:rPr>
        <w:t>Recommendation 14 - Metrics should be developed to maintain and measure the accuracy of the internationalized registration data and corresponding data in ASCII, with clearly defined compliance methods and targets.</w:t>
      </w:r>
    </w:p>
    <w:p w14:paraId="295D0546" w14:textId="77777777" w:rsidR="00105142" w:rsidRPr="00105142" w:rsidRDefault="00105142" w:rsidP="001F50B3">
      <w:pPr>
        <w:rPr>
          <w:rFonts w:asciiTheme="minorHAnsi" w:hAnsiTheme="minorHAnsi"/>
          <w:b/>
          <w:color w:val="244061" w:themeColor="accent1" w:themeShade="80"/>
          <w:sz w:val="22"/>
          <w:szCs w:val="22"/>
        </w:rPr>
      </w:pPr>
    </w:p>
    <w:tbl>
      <w:tblPr>
        <w:tblStyle w:val="TableGrid"/>
        <w:tblW w:w="0" w:type="auto"/>
        <w:tblLook w:val="04A0" w:firstRow="1" w:lastRow="0" w:firstColumn="1" w:lastColumn="0" w:noHBand="0" w:noVBand="1"/>
      </w:tblPr>
      <w:tblGrid>
        <w:gridCol w:w="9576"/>
      </w:tblGrid>
      <w:tr w:rsidR="001F50B3" w:rsidRPr="00105142" w14:paraId="089F5E56" w14:textId="77777777" w:rsidTr="00F61162">
        <w:tc>
          <w:tcPr>
            <w:tcW w:w="9576" w:type="dxa"/>
            <w:shd w:val="clear" w:color="auto" w:fill="548DD4" w:themeFill="text2" w:themeFillTint="99"/>
          </w:tcPr>
          <w:p w14:paraId="575590C3" w14:textId="77777777" w:rsidR="001F50B3" w:rsidRPr="00105142" w:rsidRDefault="001F50B3" w:rsidP="00BE1A79">
            <w:pPr>
              <w:pStyle w:val="ListParagraph"/>
              <w:numPr>
                <w:ilvl w:val="0"/>
                <w:numId w:val="6"/>
              </w:numPr>
              <w:rPr>
                <w:color w:val="FFFFFF" w:themeColor="background1"/>
              </w:rPr>
            </w:pPr>
            <w:r w:rsidRPr="00105142">
              <w:rPr>
                <w:color w:val="FFFFFF" w:themeColor="background1"/>
              </w:rPr>
              <w:t>Can staff provide a written briefing with links to where additional detail is available on what was done for each recommendation?</w:t>
            </w:r>
          </w:p>
        </w:tc>
      </w:tr>
      <w:tr w:rsidR="001F50B3" w:rsidRPr="00105142" w14:paraId="50B17FD5" w14:textId="77777777" w:rsidTr="00F61162">
        <w:tc>
          <w:tcPr>
            <w:tcW w:w="9576" w:type="dxa"/>
            <w:tcBorders>
              <w:bottom w:val="single" w:sz="4" w:space="0" w:color="auto"/>
            </w:tcBorders>
          </w:tcPr>
          <w:p w14:paraId="0DCA6F65" w14:textId="77777777" w:rsidR="005A14B7" w:rsidRDefault="005A14B7" w:rsidP="00F61162">
            <w:pPr>
              <w:rPr>
                <w:rFonts w:asciiTheme="minorHAnsi" w:hAnsiTheme="minorHAnsi"/>
                <w:sz w:val="22"/>
                <w:szCs w:val="22"/>
              </w:rPr>
            </w:pPr>
            <w:r w:rsidRPr="00105142">
              <w:rPr>
                <w:rFonts w:asciiTheme="minorHAnsi" w:hAnsiTheme="minorHAnsi"/>
                <w:sz w:val="22"/>
                <w:szCs w:val="22"/>
              </w:rPr>
              <w:t>Yes</w:t>
            </w:r>
            <w:r w:rsidR="00D36338" w:rsidRPr="00D36338">
              <w:rPr>
                <w:rFonts w:asciiTheme="minorHAnsi" w:hAnsiTheme="minorHAnsi"/>
                <w:sz w:val="22"/>
                <w:szCs w:val="22"/>
              </w:rPr>
              <w:t>, ICANN org can provide in written form the verbal implementation briefings provided to the Review Team during plenary meeting numbers 7 (14 September, 2017), 8 (28 September, 2017), and 9 (2-3 October, 2017).</w:t>
            </w:r>
          </w:p>
          <w:p w14:paraId="64F2C662" w14:textId="3DF1907D" w:rsidR="00D36338" w:rsidRPr="00105142" w:rsidRDefault="00D36338" w:rsidP="00F61162">
            <w:pPr>
              <w:rPr>
                <w:rFonts w:asciiTheme="minorHAnsi" w:hAnsiTheme="minorHAnsi"/>
                <w:sz w:val="22"/>
                <w:szCs w:val="22"/>
              </w:rPr>
            </w:pPr>
          </w:p>
        </w:tc>
      </w:tr>
      <w:tr w:rsidR="001F50B3" w:rsidRPr="00105142" w14:paraId="4777155A" w14:textId="77777777" w:rsidTr="00F61162">
        <w:trPr>
          <w:trHeight w:val="213"/>
        </w:trPr>
        <w:tc>
          <w:tcPr>
            <w:tcW w:w="9576" w:type="dxa"/>
            <w:shd w:val="clear" w:color="auto" w:fill="548DD4" w:themeFill="text2" w:themeFillTint="99"/>
          </w:tcPr>
          <w:p w14:paraId="4481ED3D" w14:textId="77777777" w:rsidR="001F50B3" w:rsidRPr="00105142" w:rsidRDefault="001F50B3" w:rsidP="00BE1A79">
            <w:pPr>
              <w:pStyle w:val="ListParagraph"/>
              <w:numPr>
                <w:ilvl w:val="0"/>
                <w:numId w:val="6"/>
              </w:numPr>
              <w:rPr>
                <w:color w:val="FFFFFF" w:themeColor="background1"/>
              </w:rPr>
            </w:pPr>
            <w:r w:rsidRPr="00105142">
              <w:rPr>
                <w:color w:val="FFFFFF" w:themeColor="background1"/>
              </w:rPr>
              <w:t>What support is provided for internationalized email addresses, where transliteration of an email address may render email sent to that address undeliverable?</w:t>
            </w:r>
          </w:p>
        </w:tc>
      </w:tr>
      <w:tr w:rsidR="001F50B3" w:rsidRPr="00105142" w14:paraId="0D438248" w14:textId="77777777" w:rsidTr="00F61162">
        <w:trPr>
          <w:trHeight w:val="213"/>
        </w:trPr>
        <w:tc>
          <w:tcPr>
            <w:tcW w:w="9576" w:type="dxa"/>
          </w:tcPr>
          <w:p w14:paraId="1BB1E1FE" w14:textId="6203E33B" w:rsidR="001F50B3" w:rsidRPr="00105142" w:rsidRDefault="00DD548E" w:rsidP="005A14B7">
            <w:pPr>
              <w:pStyle w:val="ListParagraph"/>
              <w:ind w:left="0"/>
            </w:pPr>
            <w:r w:rsidRPr="00105142">
              <w:t>From a technical point of view, an email address (internationalized or otherwise) is a protocol identifier that has to be used as-is to work.</w:t>
            </w:r>
          </w:p>
          <w:p w14:paraId="06691B5D" w14:textId="77777777" w:rsidR="005A14B7" w:rsidRPr="00105142" w:rsidRDefault="005A14B7" w:rsidP="005A14B7">
            <w:pPr>
              <w:pStyle w:val="ListParagraph"/>
              <w:ind w:left="0"/>
            </w:pPr>
          </w:p>
          <w:p w14:paraId="66D825A9" w14:textId="77777777" w:rsidR="008349FD" w:rsidRPr="00105142" w:rsidRDefault="008349FD" w:rsidP="008349FD">
            <w:pPr>
              <w:pStyle w:val="ListParagraph"/>
              <w:ind w:left="0"/>
            </w:pPr>
            <w:r w:rsidRPr="00105142">
              <w:t>It should also be noted that the </w:t>
            </w:r>
            <w:hyperlink r:id="rId27" w:history="1">
              <w:r w:rsidRPr="00105142">
                <w:rPr>
                  <w:rStyle w:val="Hyperlink"/>
                </w:rPr>
                <w:t>Internationalized Registration Data (IRD) Final Report</w:t>
              </w:r>
            </w:hyperlink>
            <w:r w:rsidRPr="00105142">
              <w:t>, which is informing the current implementation of the </w:t>
            </w:r>
            <w:hyperlink r:id="rId28" w:history="1">
              <w:r w:rsidRPr="00105142">
                <w:rPr>
                  <w:rStyle w:val="Hyperlink"/>
                </w:rPr>
                <w:t>Translation and Transliteration of Contact Information</w:t>
              </w:r>
            </w:hyperlink>
            <w:r w:rsidRPr="00105142">
              <w:t> PDP Recommendations (see </w:t>
            </w:r>
            <w:hyperlink r:id="rId29" w:anchor="1.e" w:history="1">
              <w:r w:rsidRPr="00105142">
                <w:rPr>
                  <w:rStyle w:val="Hyperlink"/>
                </w:rPr>
                <w:t>Board Resolution 2016.03.10.07</w:t>
              </w:r>
            </w:hyperlink>
            <w:r w:rsidRPr="00105142">
              <w:t>), specifies which RDS data fields should have a language tag to enable translation and/or transliteration. Email addresses are not included in that specification. Thus, they are not expected to be translated and/or transliterated.</w:t>
            </w:r>
          </w:p>
          <w:p w14:paraId="0427242E" w14:textId="77777777" w:rsidR="00185F36" w:rsidRPr="00105142" w:rsidRDefault="00185F36" w:rsidP="008349FD">
            <w:pPr>
              <w:pStyle w:val="ListParagraph"/>
              <w:ind w:left="0"/>
            </w:pPr>
          </w:p>
          <w:p w14:paraId="3E7AEF84" w14:textId="722C5D6F" w:rsidR="00C0205E" w:rsidRPr="00105142" w:rsidRDefault="00185F36" w:rsidP="00C0205E">
            <w:pPr>
              <w:pStyle w:val="ListParagraph"/>
              <w:ind w:left="0"/>
            </w:pPr>
            <w:r w:rsidRPr="00105142">
              <w:t xml:space="preserve">The Review Team might also be interested in reviewing the current work of the </w:t>
            </w:r>
            <w:hyperlink r:id="rId30" w:history="1">
              <w:r w:rsidRPr="00105142">
                <w:rPr>
                  <w:rStyle w:val="Hyperlink"/>
                </w:rPr>
                <w:t xml:space="preserve">Universal Acceptance </w:t>
              </w:r>
              <w:r w:rsidRPr="00105142">
                <w:rPr>
                  <w:rStyle w:val="Hyperlink"/>
                </w:rPr>
                <w:lastRenderedPageBreak/>
                <w:t>Steering Group</w:t>
              </w:r>
            </w:hyperlink>
            <w:r w:rsidRPr="00105142">
              <w:t>, who is looking at international email, amongst other things, in their work.</w:t>
            </w:r>
          </w:p>
        </w:tc>
      </w:tr>
    </w:tbl>
    <w:p w14:paraId="71E9CA23" w14:textId="77777777" w:rsidR="001F50B3" w:rsidRPr="00105142" w:rsidRDefault="001F50B3" w:rsidP="00C602D5">
      <w:pPr>
        <w:rPr>
          <w:rFonts w:asciiTheme="minorHAnsi" w:hAnsiTheme="minorHAnsi"/>
          <w:sz w:val="22"/>
          <w:szCs w:val="22"/>
        </w:rPr>
      </w:pPr>
    </w:p>
    <w:p w14:paraId="30FC9395" w14:textId="77777777" w:rsidR="00BE1A79" w:rsidRPr="00105142" w:rsidRDefault="00BE1A79" w:rsidP="00C602D5">
      <w:pPr>
        <w:rPr>
          <w:rFonts w:asciiTheme="minorHAnsi" w:hAnsiTheme="minorHAnsi"/>
          <w:sz w:val="22"/>
          <w:szCs w:val="22"/>
        </w:rPr>
      </w:pPr>
    </w:p>
    <w:sectPr w:rsidR="00BE1A79" w:rsidRPr="00105142" w:rsidSect="00AE2F07">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570AC" w14:textId="77777777" w:rsidR="00CC7B70" w:rsidRDefault="00CC7B70" w:rsidP="00C602D5">
      <w:r>
        <w:separator/>
      </w:r>
    </w:p>
  </w:endnote>
  <w:endnote w:type="continuationSeparator" w:id="0">
    <w:p w14:paraId="642C433A" w14:textId="77777777" w:rsidR="00CC7B70" w:rsidRDefault="00CC7B70" w:rsidP="00C6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E82EB" w14:textId="77777777" w:rsidR="00CC7B70" w:rsidRDefault="00CC7B70" w:rsidP="00C602D5">
      <w:r>
        <w:separator/>
      </w:r>
    </w:p>
  </w:footnote>
  <w:footnote w:type="continuationSeparator" w:id="0">
    <w:p w14:paraId="342D4B94" w14:textId="77777777" w:rsidR="00CC7B70" w:rsidRDefault="00CC7B70" w:rsidP="00C602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4AB1E" w14:textId="77777777" w:rsidR="00C602D5" w:rsidRDefault="00C602D5" w:rsidP="00C602D5">
    <w:pPr>
      <w:pStyle w:val="Header"/>
      <w:jc w:val="center"/>
    </w:pPr>
    <w:r>
      <w:t xml:space="preserve">Implementation Briefing Questions raised during RDS-WHOIS2-RT </w:t>
    </w:r>
    <w:r w:rsidR="0048344A">
      <w:t>Meetings</w:t>
    </w:r>
    <w:r>
      <w:t xml:space="preserve"> #7</w:t>
    </w:r>
    <w:r w:rsidR="001F50B3">
      <w:t>, #8</w:t>
    </w:r>
    <w:r w:rsidR="0048344A">
      <w:t>, #9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63B19"/>
    <w:multiLevelType w:val="hybridMultilevel"/>
    <w:tmpl w:val="3D10FF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9768A3"/>
    <w:multiLevelType w:val="hybridMultilevel"/>
    <w:tmpl w:val="C98A4D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68208B"/>
    <w:multiLevelType w:val="multilevel"/>
    <w:tmpl w:val="4FACD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D70536"/>
    <w:multiLevelType w:val="hybridMultilevel"/>
    <w:tmpl w:val="E3BAF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221922"/>
    <w:multiLevelType w:val="multilevel"/>
    <w:tmpl w:val="CE866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A2676A"/>
    <w:multiLevelType w:val="hybridMultilevel"/>
    <w:tmpl w:val="B8F03F10"/>
    <w:lvl w:ilvl="0" w:tplc="0C36BCF0">
      <w:start w:val="1"/>
      <w:numFmt w:val="decimal"/>
      <w:lvlText w:val="%1."/>
      <w:lvlJc w:val="left"/>
      <w:pPr>
        <w:ind w:left="360" w:hanging="360"/>
      </w:pPr>
      <w:rPr>
        <w:rFonts w:hint="default"/>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B8D5BAE"/>
    <w:multiLevelType w:val="hybridMultilevel"/>
    <w:tmpl w:val="8648DB22"/>
    <w:lvl w:ilvl="0" w:tplc="2ECA8AEE">
      <w:start w:val="1"/>
      <w:numFmt w:val="decimal"/>
      <w:lvlText w:val="%1."/>
      <w:lvlJc w:val="left"/>
      <w:pPr>
        <w:ind w:left="360" w:hanging="360"/>
      </w:pPr>
      <w:rPr>
        <w:rFonts w:hint="default"/>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CDE3F5D"/>
    <w:multiLevelType w:val="hybridMultilevel"/>
    <w:tmpl w:val="5C0A4C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38A3E3A"/>
    <w:multiLevelType w:val="hybridMultilevel"/>
    <w:tmpl w:val="C3B6D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3B11FB0"/>
    <w:multiLevelType w:val="hybridMultilevel"/>
    <w:tmpl w:val="D526A6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3"/>
  </w:num>
  <w:num w:numId="4">
    <w:abstractNumId w:val="9"/>
  </w:num>
  <w:num w:numId="5">
    <w:abstractNumId w:val="8"/>
  </w:num>
  <w:num w:numId="6">
    <w:abstractNumId w:val="5"/>
  </w:num>
  <w:num w:numId="7">
    <w:abstractNumId w:val="1"/>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2D5"/>
    <w:rsid w:val="00000877"/>
    <w:rsid w:val="000248AE"/>
    <w:rsid w:val="00030006"/>
    <w:rsid w:val="0004483C"/>
    <w:rsid w:val="00052305"/>
    <w:rsid w:val="00072DD1"/>
    <w:rsid w:val="00086119"/>
    <w:rsid w:val="000A64AF"/>
    <w:rsid w:val="000C3807"/>
    <w:rsid w:val="000C50B0"/>
    <w:rsid w:val="000D2B84"/>
    <w:rsid w:val="000E5308"/>
    <w:rsid w:val="00100B81"/>
    <w:rsid w:val="00105142"/>
    <w:rsid w:val="00114B8C"/>
    <w:rsid w:val="00117D1F"/>
    <w:rsid w:val="00165393"/>
    <w:rsid w:val="00166646"/>
    <w:rsid w:val="001778CE"/>
    <w:rsid w:val="00185F36"/>
    <w:rsid w:val="00192C9E"/>
    <w:rsid w:val="001B1D91"/>
    <w:rsid w:val="001B29E1"/>
    <w:rsid w:val="001E1FE8"/>
    <w:rsid w:val="001F50B3"/>
    <w:rsid w:val="00251A5F"/>
    <w:rsid w:val="00272AFA"/>
    <w:rsid w:val="00273F76"/>
    <w:rsid w:val="00285BD3"/>
    <w:rsid w:val="002B0E24"/>
    <w:rsid w:val="002E406A"/>
    <w:rsid w:val="002E621C"/>
    <w:rsid w:val="0030459C"/>
    <w:rsid w:val="00304820"/>
    <w:rsid w:val="00342798"/>
    <w:rsid w:val="00342A3F"/>
    <w:rsid w:val="00342C0A"/>
    <w:rsid w:val="003620B1"/>
    <w:rsid w:val="00385CD6"/>
    <w:rsid w:val="00396E54"/>
    <w:rsid w:val="003B3E60"/>
    <w:rsid w:val="003C002E"/>
    <w:rsid w:val="003C1F23"/>
    <w:rsid w:val="003F523E"/>
    <w:rsid w:val="00425E38"/>
    <w:rsid w:val="0046224B"/>
    <w:rsid w:val="0048344A"/>
    <w:rsid w:val="004D34B9"/>
    <w:rsid w:val="004D7D02"/>
    <w:rsid w:val="004F13CD"/>
    <w:rsid w:val="004F77DE"/>
    <w:rsid w:val="00502DDB"/>
    <w:rsid w:val="00510B36"/>
    <w:rsid w:val="00527D5D"/>
    <w:rsid w:val="00532225"/>
    <w:rsid w:val="00551DDE"/>
    <w:rsid w:val="00552EB8"/>
    <w:rsid w:val="00590C2E"/>
    <w:rsid w:val="005A14B7"/>
    <w:rsid w:val="005A4280"/>
    <w:rsid w:val="005C10C1"/>
    <w:rsid w:val="005D42F0"/>
    <w:rsid w:val="005E3ABA"/>
    <w:rsid w:val="005E5E1D"/>
    <w:rsid w:val="00613682"/>
    <w:rsid w:val="006250EC"/>
    <w:rsid w:val="00634AA2"/>
    <w:rsid w:val="00690523"/>
    <w:rsid w:val="006A485A"/>
    <w:rsid w:val="006B5CFA"/>
    <w:rsid w:val="00711A60"/>
    <w:rsid w:val="00714829"/>
    <w:rsid w:val="00746ECF"/>
    <w:rsid w:val="00753CBB"/>
    <w:rsid w:val="00755B32"/>
    <w:rsid w:val="007837DE"/>
    <w:rsid w:val="00787C96"/>
    <w:rsid w:val="007B03C3"/>
    <w:rsid w:val="007B7438"/>
    <w:rsid w:val="007D58AD"/>
    <w:rsid w:val="00800A96"/>
    <w:rsid w:val="00820F5E"/>
    <w:rsid w:val="00827684"/>
    <w:rsid w:val="008349FD"/>
    <w:rsid w:val="00877773"/>
    <w:rsid w:val="008A0453"/>
    <w:rsid w:val="008A0617"/>
    <w:rsid w:val="008C1FFC"/>
    <w:rsid w:val="008F63D7"/>
    <w:rsid w:val="00927674"/>
    <w:rsid w:val="00934C65"/>
    <w:rsid w:val="00956E2B"/>
    <w:rsid w:val="009972FD"/>
    <w:rsid w:val="009A1963"/>
    <w:rsid w:val="009A3608"/>
    <w:rsid w:val="009B764F"/>
    <w:rsid w:val="009C0C5D"/>
    <w:rsid w:val="009E7C4E"/>
    <w:rsid w:val="00A1264C"/>
    <w:rsid w:val="00A220C4"/>
    <w:rsid w:val="00A35D17"/>
    <w:rsid w:val="00A51C83"/>
    <w:rsid w:val="00A651EB"/>
    <w:rsid w:val="00A70D88"/>
    <w:rsid w:val="00A72E57"/>
    <w:rsid w:val="00A741D8"/>
    <w:rsid w:val="00A86E13"/>
    <w:rsid w:val="00A95D50"/>
    <w:rsid w:val="00AA57D0"/>
    <w:rsid w:val="00AD36E4"/>
    <w:rsid w:val="00AE2F07"/>
    <w:rsid w:val="00AE749F"/>
    <w:rsid w:val="00AF134C"/>
    <w:rsid w:val="00AF7868"/>
    <w:rsid w:val="00B04A75"/>
    <w:rsid w:val="00B83B3E"/>
    <w:rsid w:val="00B90A22"/>
    <w:rsid w:val="00BA2908"/>
    <w:rsid w:val="00BB3816"/>
    <w:rsid w:val="00BD4392"/>
    <w:rsid w:val="00BE1A79"/>
    <w:rsid w:val="00BE2AA9"/>
    <w:rsid w:val="00BE6510"/>
    <w:rsid w:val="00BF044E"/>
    <w:rsid w:val="00BF7752"/>
    <w:rsid w:val="00C0205E"/>
    <w:rsid w:val="00C0618F"/>
    <w:rsid w:val="00C06726"/>
    <w:rsid w:val="00C14199"/>
    <w:rsid w:val="00C27CFF"/>
    <w:rsid w:val="00C47111"/>
    <w:rsid w:val="00C602D5"/>
    <w:rsid w:val="00C82084"/>
    <w:rsid w:val="00C82616"/>
    <w:rsid w:val="00C854D4"/>
    <w:rsid w:val="00C92DEC"/>
    <w:rsid w:val="00CA08DB"/>
    <w:rsid w:val="00CB2087"/>
    <w:rsid w:val="00CC4798"/>
    <w:rsid w:val="00CC530B"/>
    <w:rsid w:val="00CC7B70"/>
    <w:rsid w:val="00CF4203"/>
    <w:rsid w:val="00D32A4C"/>
    <w:rsid w:val="00D36338"/>
    <w:rsid w:val="00D54BCB"/>
    <w:rsid w:val="00D65B1C"/>
    <w:rsid w:val="00D82A7F"/>
    <w:rsid w:val="00DB7458"/>
    <w:rsid w:val="00DD548E"/>
    <w:rsid w:val="00DF31AD"/>
    <w:rsid w:val="00DF3332"/>
    <w:rsid w:val="00E12214"/>
    <w:rsid w:val="00E16F06"/>
    <w:rsid w:val="00E51869"/>
    <w:rsid w:val="00E5670F"/>
    <w:rsid w:val="00E60DE5"/>
    <w:rsid w:val="00E903CC"/>
    <w:rsid w:val="00E92271"/>
    <w:rsid w:val="00E97F4C"/>
    <w:rsid w:val="00EA4323"/>
    <w:rsid w:val="00EC3C73"/>
    <w:rsid w:val="00ED105F"/>
    <w:rsid w:val="00F6009F"/>
    <w:rsid w:val="00F735BF"/>
    <w:rsid w:val="00F96704"/>
    <w:rsid w:val="00FD1BC9"/>
    <w:rsid w:val="00FF2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6A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03CC"/>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0A64AF"/>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2D5"/>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C602D5"/>
  </w:style>
  <w:style w:type="paragraph" w:styleId="Footer">
    <w:name w:val="footer"/>
    <w:basedOn w:val="Normal"/>
    <w:link w:val="FooterChar"/>
    <w:uiPriority w:val="99"/>
    <w:unhideWhenUsed/>
    <w:rsid w:val="00C602D5"/>
    <w:pPr>
      <w:tabs>
        <w:tab w:val="center" w:pos="4680"/>
        <w:tab w:val="right" w:pos="9360"/>
      </w:tabs>
    </w:pPr>
    <w:rPr>
      <w:rFonts w:asciiTheme="minorHAnsi" w:hAnsiTheme="minorHAnsi"/>
      <w:sz w:val="22"/>
      <w:szCs w:val="22"/>
    </w:rPr>
  </w:style>
  <w:style w:type="character" w:customStyle="1" w:styleId="FooterChar">
    <w:name w:val="Footer Char"/>
    <w:basedOn w:val="DefaultParagraphFont"/>
    <w:link w:val="Footer"/>
    <w:uiPriority w:val="99"/>
    <w:rsid w:val="00C602D5"/>
  </w:style>
  <w:style w:type="paragraph" w:styleId="ListParagraph">
    <w:name w:val="List Paragraph"/>
    <w:basedOn w:val="Normal"/>
    <w:uiPriority w:val="34"/>
    <w:qFormat/>
    <w:rsid w:val="00C602D5"/>
    <w:pPr>
      <w:spacing w:after="200" w:line="276" w:lineRule="auto"/>
      <w:ind w:left="720"/>
      <w:contextualSpacing/>
    </w:pPr>
    <w:rPr>
      <w:rFonts w:asciiTheme="minorHAnsi" w:hAnsiTheme="minorHAnsi"/>
      <w:sz w:val="22"/>
      <w:szCs w:val="22"/>
    </w:rPr>
  </w:style>
  <w:style w:type="table" w:styleId="TableGrid">
    <w:name w:val="Table Grid"/>
    <w:basedOn w:val="TableNormal"/>
    <w:uiPriority w:val="59"/>
    <w:rsid w:val="004F1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B03C3"/>
    <w:pPr>
      <w:spacing w:before="100" w:beforeAutospacing="1" w:after="100" w:afterAutospacing="1"/>
    </w:pPr>
    <w:rPr>
      <w:rFonts w:cs="Times New Roman"/>
    </w:rPr>
  </w:style>
  <w:style w:type="character" w:styleId="Hyperlink">
    <w:name w:val="Hyperlink"/>
    <w:basedOn w:val="DefaultParagraphFont"/>
    <w:uiPriority w:val="99"/>
    <w:unhideWhenUsed/>
    <w:rsid w:val="009E7C4E"/>
    <w:rPr>
      <w:color w:val="0000FF" w:themeColor="hyperlink"/>
      <w:u w:val="single"/>
    </w:rPr>
  </w:style>
  <w:style w:type="character" w:customStyle="1" w:styleId="Heading1Char">
    <w:name w:val="Heading 1 Char"/>
    <w:basedOn w:val="DefaultParagraphFont"/>
    <w:link w:val="Heading1"/>
    <w:uiPriority w:val="9"/>
    <w:rsid w:val="000A64AF"/>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342798"/>
    <w:rPr>
      <w:rFonts w:cs="Times New Roman"/>
      <w:sz w:val="18"/>
      <w:szCs w:val="18"/>
    </w:rPr>
  </w:style>
  <w:style w:type="character" w:customStyle="1" w:styleId="BalloonTextChar">
    <w:name w:val="Balloon Text Char"/>
    <w:basedOn w:val="DefaultParagraphFont"/>
    <w:link w:val="BalloonText"/>
    <w:uiPriority w:val="99"/>
    <w:semiHidden/>
    <w:rsid w:val="0034279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7D58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853">
      <w:bodyDiv w:val="1"/>
      <w:marLeft w:val="0"/>
      <w:marRight w:val="0"/>
      <w:marTop w:val="0"/>
      <w:marBottom w:val="0"/>
      <w:divBdr>
        <w:top w:val="none" w:sz="0" w:space="0" w:color="auto"/>
        <w:left w:val="none" w:sz="0" w:space="0" w:color="auto"/>
        <w:bottom w:val="none" w:sz="0" w:space="0" w:color="auto"/>
        <w:right w:val="none" w:sz="0" w:space="0" w:color="auto"/>
      </w:divBdr>
    </w:div>
    <w:div w:id="30225607">
      <w:bodyDiv w:val="1"/>
      <w:marLeft w:val="0"/>
      <w:marRight w:val="0"/>
      <w:marTop w:val="0"/>
      <w:marBottom w:val="0"/>
      <w:divBdr>
        <w:top w:val="none" w:sz="0" w:space="0" w:color="auto"/>
        <w:left w:val="none" w:sz="0" w:space="0" w:color="auto"/>
        <w:bottom w:val="none" w:sz="0" w:space="0" w:color="auto"/>
        <w:right w:val="none" w:sz="0" w:space="0" w:color="auto"/>
      </w:divBdr>
    </w:div>
    <w:div w:id="44717347">
      <w:bodyDiv w:val="1"/>
      <w:marLeft w:val="0"/>
      <w:marRight w:val="0"/>
      <w:marTop w:val="0"/>
      <w:marBottom w:val="0"/>
      <w:divBdr>
        <w:top w:val="none" w:sz="0" w:space="0" w:color="auto"/>
        <w:left w:val="none" w:sz="0" w:space="0" w:color="auto"/>
        <w:bottom w:val="none" w:sz="0" w:space="0" w:color="auto"/>
        <w:right w:val="none" w:sz="0" w:space="0" w:color="auto"/>
      </w:divBdr>
    </w:div>
    <w:div w:id="91975255">
      <w:bodyDiv w:val="1"/>
      <w:marLeft w:val="0"/>
      <w:marRight w:val="0"/>
      <w:marTop w:val="0"/>
      <w:marBottom w:val="0"/>
      <w:divBdr>
        <w:top w:val="none" w:sz="0" w:space="0" w:color="auto"/>
        <w:left w:val="none" w:sz="0" w:space="0" w:color="auto"/>
        <w:bottom w:val="none" w:sz="0" w:space="0" w:color="auto"/>
        <w:right w:val="none" w:sz="0" w:space="0" w:color="auto"/>
      </w:divBdr>
    </w:div>
    <w:div w:id="135100815">
      <w:bodyDiv w:val="1"/>
      <w:marLeft w:val="0"/>
      <w:marRight w:val="0"/>
      <w:marTop w:val="0"/>
      <w:marBottom w:val="0"/>
      <w:divBdr>
        <w:top w:val="none" w:sz="0" w:space="0" w:color="auto"/>
        <w:left w:val="none" w:sz="0" w:space="0" w:color="auto"/>
        <w:bottom w:val="none" w:sz="0" w:space="0" w:color="auto"/>
        <w:right w:val="none" w:sz="0" w:space="0" w:color="auto"/>
      </w:divBdr>
    </w:div>
    <w:div w:id="204488648">
      <w:bodyDiv w:val="1"/>
      <w:marLeft w:val="0"/>
      <w:marRight w:val="0"/>
      <w:marTop w:val="0"/>
      <w:marBottom w:val="0"/>
      <w:divBdr>
        <w:top w:val="none" w:sz="0" w:space="0" w:color="auto"/>
        <w:left w:val="none" w:sz="0" w:space="0" w:color="auto"/>
        <w:bottom w:val="none" w:sz="0" w:space="0" w:color="auto"/>
        <w:right w:val="none" w:sz="0" w:space="0" w:color="auto"/>
      </w:divBdr>
    </w:div>
    <w:div w:id="212348410">
      <w:bodyDiv w:val="1"/>
      <w:marLeft w:val="0"/>
      <w:marRight w:val="0"/>
      <w:marTop w:val="0"/>
      <w:marBottom w:val="0"/>
      <w:divBdr>
        <w:top w:val="none" w:sz="0" w:space="0" w:color="auto"/>
        <w:left w:val="none" w:sz="0" w:space="0" w:color="auto"/>
        <w:bottom w:val="none" w:sz="0" w:space="0" w:color="auto"/>
        <w:right w:val="none" w:sz="0" w:space="0" w:color="auto"/>
      </w:divBdr>
    </w:div>
    <w:div w:id="218593815">
      <w:bodyDiv w:val="1"/>
      <w:marLeft w:val="0"/>
      <w:marRight w:val="0"/>
      <w:marTop w:val="0"/>
      <w:marBottom w:val="0"/>
      <w:divBdr>
        <w:top w:val="none" w:sz="0" w:space="0" w:color="auto"/>
        <w:left w:val="none" w:sz="0" w:space="0" w:color="auto"/>
        <w:bottom w:val="none" w:sz="0" w:space="0" w:color="auto"/>
        <w:right w:val="none" w:sz="0" w:space="0" w:color="auto"/>
      </w:divBdr>
    </w:div>
    <w:div w:id="227956368">
      <w:bodyDiv w:val="1"/>
      <w:marLeft w:val="0"/>
      <w:marRight w:val="0"/>
      <w:marTop w:val="0"/>
      <w:marBottom w:val="0"/>
      <w:divBdr>
        <w:top w:val="none" w:sz="0" w:space="0" w:color="auto"/>
        <w:left w:val="none" w:sz="0" w:space="0" w:color="auto"/>
        <w:bottom w:val="none" w:sz="0" w:space="0" w:color="auto"/>
        <w:right w:val="none" w:sz="0" w:space="0" w:color="auto"/>
      </w:divBdr>
    </w:div>
    <w:div w:id="242110578">
      <w:bodyDiv w:val="1"/>
      <w:marLeft w:val="0"/>
      <w:marRight w:val="0"/>
      <w:marTop w:val="0"/>
      <w:marBottom w:val="0"/>
      <w:divBdr>
        <w:top w:val="none" w:sz="0" w:space="0" w:color="auto"/>
        <w:left w:val="none" w:sz="0" w:space="0" w:color="auto"/>
        <w:bottom w:val="none" w:sz="0" w:space="0" w:color="auto"/>
        <w:right w:val="none" w:sz="0" w:space="0" w:color="auto"/>
      </w:divBdr>
    </w:div>
    <w:div w:id="278227416">
      <w:bodyDiv w:val="1"/>
      <w:marLeft w:val="0"/>
      <w:marRight w:val="0"/>
      <w:marTop w:val="0"/>
      <w:marBottom w:val="0"/>
      <w:divBdr>
        <w:top w:val="none" w:sz="0" w:space="0" w:color="auto"/>
        <w:left w:val="none" w:sz="0" w:space="0" w:color="auto"/>
        <w:bottom w:val="none" w:sz="0" w:space="0" w:color="auto"/>
        <w:right w:val="none" w:sz="0" w:space="0" w:color="auto"/>
      </w:divBdr>
    </w:div>
    <w:div w:id="299072992">
      <w:bodyDiv w:val="1"/>
      <w:marLeft w:val="0"/>
      <w:marRight w:val="0"/>
      <w:marTop w:val="0"/>
      <w:marBottom w:val="0"/>
      <w:divBdr>
        <w:top w:val="none" w:sz="0" w:space="0" w:color="auto"/>
        <w:left w:val="none" w:sz="0" w:space="0" w:color="auto"/>
        <w:bottom w:val="none" w:sz="0" w:space="0" w:color="auto"/>
        <w:right w:val="none" w:sz="0" w:space="0" w:color="auto"/>
      </w:divBdr>
    </w:div>
    <w:div w:id="302973836">
      <w:bodyDiv w:val="1"/>
      <w:marLeft w:val="0"/>
      <w:marRight w:val="0"/>
      <w:marTop w:val="0"/>
      <w:marBottom w:val="0"/>
      <w:divBdr>
        <w:top w:val="none" w:sz="0" w:space="0" w:color="auto"/>
        <w:left w:val="none" w:sz="0" w:space="0" w:color="auto"/>
        <w:bottom w:val="none" w:sz="0" w:space="0" w:color="auto"/>
        <w:right w:val="none" w:sz="0" w:space="0" w:color="auto"/>
      </w:divBdr>
    </w:div>
    <w:div w:id="324943231">
      <w:bodyDiv w:val="1"/>
      <w:marLeft w:val="0"/>
      <w:marRight w:val="0"/>
      <w:marTop w:val="0"/>
      <w:marBottom w:val="0"/>
      <w:divBdr>
        <w:top w:val="none" w:sz="0" w:space="0" w:color="auto"/>
        <w:left w:val="none" w:sz="0" w:space="0" w:color="auto"/>
        <w:bottom w:val="none" w:sz="0" w:space="0" w:color="auto"/>
        <w:right w:val="none" w:sz="0" w:space="0" w:color="auto"/>
      </w:divBdr>
    </w:div>
    <w:div w:id="325672161">
      <w:bodyDiv w:val="1"/>
      <w:marLeft w:val="0"/>
      <w:marRight w:val="0"/>
      <w:marTop w:val="0"/>
      <w:marBottom w:val="0"/>
      <w:divBdr>
        <w:top w:val="none" w:sz="0" w:space="0" w:color="auto"/>
        <w:left w:val="none" w:sz="0" w:space="0" w:color="auto"/>
        <w:bottom w:val="none" w:sz="0" w:space="0" w:color="auto"/>
        <w:right w:val="none" w:sz="0" w:space="0" w:color="auto"/>
      </w:divBdr>
    </w:div>
    <w:div w:id="381712529">
      <w:bodyDiv w:val="1"/>
      <w:marLeft w:val="0"/>
      <w:marRight w:val="0"/>
      <w:marTop w:val="0"/>
      <w:marBottom w:val="0"/>
      <w:divBdr>
        <w:top w:val="none" w:sz="0" w:space="0" w:color="auto"/>
        <w:left w:val="none" w:sz="0" w:space="0" w:color="auto"/>
        <w:bottom w:val="none" w:sz="0" w:space="0" w:color="auto"/>
        <w:right w:val="none" w:sz="0" w:space="0" w:color="auto"/>
      </w:divBdr>
    </w:div>
    <w:div w:id="403648622">
      <w:bodyDiv w:val="1"/>
      <w:marLeft w:val="0"/>
      <w:marRight w:val="0"/>
      <w:marTop w:val="0"/>
      <w:marBottom w:val="0"/>
      <w:divBdr>
        <w:top w:val="none" w:sz="0" w:space="0" w:color="auto"/>
        <w:left w:val="none" w:sz="0" w:space="0" w:color="auto"/>
        <w:bottom w:val="none" w:sz="0" w:space="0" w:color="auto"/>
        <w:right w:val="none" w:sz="0" w:space="0" w:color="auto"/>
      </w:divBdr>
    </w:div>
    <w:div w:id="440222880">
      <w:bodyDiv w:val="1"/>
      <w:marLeft w:val="0"/>
      <w:marRight w:val="0"/>
      <w:marTop w:val="0"/>
      <w:marBottom w:val="0"/>
      <w:divBdr>
        <w:top w:val="none" w:sz="0" w:space="0" w:color="auto"/>
        <w:left w:val="none" w:sz="0" w:space="0" w:color="auto"/>
        <w:bottom w:val="none" w:sz="0" w:space="0" w:color="auto"/>
        <w:right w:val="none" w:sz="0" w:space="0" w:color="auto"/>
      </w:divBdr>
    </w:div>
    <w:div w:id="448277224">
      <w:bodyDiv w:val="1"/>
      <w:marLeft w:val="0"/>
      <w:marRight w:val="0"/>
      <w:marTop w:val="0"/>
      <w:marBottom w:val="0"/>
      <w:divBdr>
        <w:top w:val="none" w:sz="0" w:space="0" w:color="auto"/>
        <w:left w:val="none" w:sz="0" w:space="0" w:color="auto"/>
        <w:bottom w:val="none" w:sz="0" w:space="0" w:color="auto"/>
        <w:right w:val="none" w:sz="0" w:space="0" w:color="auto"/>
      </w:divBdr>
    </w:div>
    <w:div w:id="500513083">
      <w:bodyDiv w:val="1"/>
      <w:marLeft w:val="0"/>
      <w:marRight w:val="0"/>
      <w:marTop w:val="0"/>
      <w:marBottom w:val="0"/>
      <w:divBdr>
        <w:top w:val="none" w:sz="0" w:space="0" w:color="auto"/>
        <w:left w:val="none" w:sz="0" w:space="0" w:color="auto"/>
        <w:bottom w:val="none" w:sz="0" w:space="0" w:color="auto"/>
        <w:right w:val="none" w:sz="0" w:space="0" w:color="auto"/>
      </w:divBdr>
    </w:div>
    <w:div w:id="578248078">
      <w:bodyDiv w:val="1"/>
      <w:marLeft w:val="0"/>
      <w:marRight w:val="0"/>
      <w:marTop w:val="0"/>
      <w:marBottom w:val="0"/>
      <w:divBdr>
        <w:top w:val="none" w:sz="0" w:space="0" w:color="auto"/>
        <w:left w:val="none" w:sz="0" w:space="0" w:color="auto"/>
        <w:bottom w:val="none" w:sz="0" w:space="0" w:color="auto"/>
        <w:right w:val="none" w:sz="0" w:space="0" w:color="auto"/>
      </w:divBdr>
    </w:div>
    <w:div w:id="581569138">
      <w:bodyDiv w:val="1"/>
      <w:marLeft w:val="0"/>
      <w:marRight w:val="0"/>
      <w:marTop w:val="0"/>
      <w:marBottom w:val="0"/>
      <w:divBdr>
        <w:top w:val="none" w:sz="0" w:space="0" w:color="auto"/>
        <w:left w:val="none" w:sz="0" w:space="0" w:color="auto"/>
        <w:bottom w:val="none" w:sz="0" w:space="0" w:color="auto"/>
        <w:right w:val="none" w:sz="0" w:space="0" w:color="auto"/>
      </w:divBdr>
      <w:divsChild>
        <w:div w:id="746655943">
          <w:marLeft w:val="0"/>
          <w:marRight w:val="0"/>
          <w:marTop w:val="0"/>
          <w:marBottom w:val="0"/>
          <w:divBdr>
            <w:top w:val="none" w:sz="0" w:space="0" w:color="auto"/>
            <w:left w:val="none" w:sz="0" w:space="0" w:color="auto"/>
            <w:bottom w:val="none" w:sz="0" w:space="0" w:color="auto"/>
            <w:right w:val="none" w:sz="0" w:space="0" w:color="auto"/>
          </w:divBdr>
        </w:div>
      </w:divsChild>
    </w:div>
    <w:div w:id="586815900">
      <w:bodyDiv w:val="1"/>
      <w:marLeft w:val="0"/>
      <w:marRight w:val="0"/>
      <w:marTop w:val="0"/>
      <w:marBottom w:val="0"/>
      <w:divBdr>
        <w:top w:val="none" w:sz="0" w:space="0" w:color="auto"/>
        <w:left w:val="none" w:sz="0" w:space="0" w:color="auto"/>
        <w:bottom w:val="none" w:sz="0" w:space="0" w:color="auto"/>
        <w:right w:val="none" w:sz="0" w:space="0" w:color="auto"/>
      </w:divBdr>
    </w:div>
    <w:div w:id="626393634">
      <w:bodyDiv w:val="1"/>
      <w:marLeft w:val="0"/>
      <w:marRight w:val="0"/>
      <w:marTop w:val="0"/>
      <w:marBottom w:val="0"/>
      <w:divBdr>
        <w:top w:val="none" w:sz="0" w:space="0" w:color="auto"/>
        <w:left w:val="none" w:sz="0" w:space="0" w:color="auto"/>
        <w:bottom w:val="none" w:sz="0" w:space="0" w:color="auto"/>
        <w:right w:val="none" w:sz="0" w:space="0" w:color="auto"/>
      </w:divBdr>
    </w:div>
    <w:div w:id="651065651">
      <w:bodyDiv w:val="1"/>
      <w:marLeft w:val="0"/>
      <w:marRight w:val="0"/>
      <w:marTop w:val="0"/>
      <w:marBottom w:val="0"/>
      <w:divBdr>
        <w:top w:val="none" w:sz="0" w:space="0" w:color="auto"/>
        <w:left w:val="none" w:sz="0" w:space="0" w:color="auto"/>
        <w:bottom w:val="none" w:sz="0" w:space="0" w:color="auto"/>
        <w:right w:val="none" w:sz="0" w:space="0" w:color="auto"/>
      </w:divBdr>
    </w:div>
    <w:div w:id="665087575">
      <w:bodyDiv w:val="1"/>
      <w:marLeft w:val="0"/>
      <w:marRight w:val="0"/>
      <w:marTop w:val="0"/>
      <w:marBottom w:val="0"/>
      <w:divBdr>
        <w:top w:val="none" w:sz="0" w:space="0" w:color="auto"/>
        <w:left w:val="none" w:sz="0" w:space="0" w:color="auto"/>
        <w:bottom w:val="none" w:sz="0" w:space="0" w:color="auto"/>
        <w:right w:val="none" w:sz="0" w:space="0" w:color="auto"/>
      </w:divBdr>
    </w:div>
    <w:div w:id="683017973">
      <w:bodyDiv w:val="1"/>
      <w:marLeft w:val="0"/>
      <w:marRight w:val="0"/>
      <w:marTop w:val="0"/>
      <w:marBottom w:val="0"/>
      <w:divBdr>
        <w:top w:val="none" w:sz="0" w:space="0" w:color="auto"/>
        <w:left w:val="none" w:sz="0" w:space="0" w:color="auto"/>
        <w:bottom w:val="none" w:sz="0" w:space="0" w:color="auto"/>
        <w:right w:val="none" w:sz="0" w:space="0" w:color="auto"/>
      </w:divBdr>
    </w:div>
    <w:div w:id="690448939">
      <w:bodyDiv w:val="1"/>
      <w:marLeft w:val="0"/>
      <w:marRight w:val="0"/>
      <w:marTop w:val="0"/>
      <w:marBottom w:val="0"/>
      <w:divBdr>
        <w:top w:val="none" w:sz="0" w:space="0" w:color="auto"/>
        <w:left w:val="none" w:sz="0" w:space="0" w:color="auto"/>
        <w:bottom w:val="none" w:sz="0" w:space="0" w:color="auto"/>
        <w:right w:val="none" w:sz="0" w:space="0" w:color="auto"/>
      </w:divBdr>
    </w:div>
    <w:div w:id="694690431">
      <w:bodyDiv w:val="1"/>
      <w:marLeft w:val="0"/>
      <w:marRight w:val="0"/>
      <w:marTop w:val="0"/>
      <w:marBottom w:val="0"/>
      <w:divBdr>
        <w:top w:val="none" w:sz="0" w:space="0" w:color="auto"/>
        <w:left w:val="none" w:sz="0" w:space="0" w:color="auto"/>
        <w:bottom w:val="none" w:sz="0" w:space="0" w:color="auto"/>
        <w:right w:val="none" w:sz="0" w:space="0" w:color="auto"/>
      </w:divBdr>
    </w:div>
    <w:div w:id="696008946">
      <w:bodyDiv w:val="1"/>
      <w:marLeft w:val="0"/>
      <w:marRight w:val="0"/>
      <w:marTop w:val="0"/>
      <w:marBottom w:val="0"/>
      <w:divBdr>
        <w:top w:val="none" w:sz="0" w:space="0" w:color="auto"/>
        <w:left w:val="none" w:sz="0" w:space="0" w:color="auto"/>
        <w:bottom w:val="none" w:sz="0" w:space="0" w:color="auto"/>
        <w:right w:val="none" w:sz="0" w:space="0" w:color="auto"/>
      </w:divBdr>
      <w:divsChild>
        <w:div w:id="1092357365">
          <w:marLeft w:val="0"/>
          <w:marRight w:val="0"/>
          <w:marTop w:val="0"/>
          <w:marBottom w:val="0"/>
          <w:divBdr>
            <w:top w:val="none" w:sz="0" w:space="0" w:color="auto"/>
            <w:left w:val="none" w:sz="0" w:space="0" w:color="auto"/>
            <w:bottom w:val="none" w:sz="0" w:space="0" w:color="auto"/>
            <w:right w:val="none" w:sz="0" w:space="0" w:color="auto"/>
          </w:divBdr>
        </w:div>
      </w:divsChild>
    </w:div>
    <w:div w:id="698892998">
      <w:bodyDiv w:val="1"/>
      <w:marLeft w:val="0"/>
      <w:marRight w:val="0"/>
      <w:marTop w:val="0"/>
      <w:marBottom w:val="0"/>
      <w:divBdr>
        <w:top w:val="none" w:sz="0" w:space="0" w:color="auto"/>
        <w:left w:val="none" w:sz="0" w:space="0" w:color="auto"/>
        <w:bottom w:val="none" w:sz="0" w:space="0" w:color="auto"/>
        <w:right w:val="none" w:sz="0" w:space="0" w:color="auto"/>
      </w:divBdr>
    </w:div>
    <w:div w:id="895823912">
      <w:bodyDiv w:val="1"/>
      <w:marLeft w:val="0"/>
      <w:marRight w:val="0"/>
      <w:marTop w:val="0"/>
      <w:marBottom w:val="0"/>
      <w:divBdr>
        <w:top w:val="none" w:sz="0" w:space="0" w:color="auto"/>
        <w:left w:val="none" w:sz="0" w:space="0" w:color="auto"/>
        <w:bottom w:val="none" w:sz="0" w:space="0" w:color="auto"/>
        <w:right w:val="none" w:sz="0" w:space="0" w:color="auto"/>
      </w:divBdr>
    </w:div>
    <w:div w:id="902450790">
      <w:bodyDiv w:val="1"/>
      <w:marLeft w:val="0"/>
      <w:marRight w:val="0"/>
      <w:marTop w:val="0"/>
      <w:marBottom w:val="0"/>
      <w:divBdr>
        <w:top w:val="none" w:sz="0" w:space="0" w:color="auto"/>
        <w:left w:val="none" w:sz="0" w:space="0" w:color="auto"/>
        <w:bottom w:val="none" w:sz="0" w:space="0" w:color="auto"/>
        <w:right w:val="none" w:sz="0" w:space="0" w:color="auto"/>
      </w:divBdr>
    </w:div>
    <w:div w:id="913901249">
      <w:bodyDiv w:val="1"/>
      <w:marLeft w:val="0"/>
      <w:marRight w:val="0"/>
      <w:marTop w:val="0"/>
      <w:marBottom w:val="0"/>
      <w:divBdr>
        <w:top w:val="none" w:sz="0" w:space="0" w:color="auto"/>
        <w:left w:val="none" w:sz="0" w:space="0" w:color="auto"/>
        <w:bottom w:val="none" w:sz="0" w:space="0" w:color="auto"/>
        <w:right w:val="none" w:sz="0" w:space="0" w:color="auto"/>
      </w:divBdr>
    </w:div>
    <w:div w:id="916666333">
      <w:bodyDiv w:val="1"/>
      <w:marLeft w:val="0"/>
      <w:marRight w:val="0"/>
      <w:marTop w:val="0"/>
      <w:marBottom w:val="0"/>
      <w:divBdr>
        <w:top w:val="none" w:sz="0" w:space="0" w:color="auto"/>
        <w:left w:val="none" w:sz="0" w:space="0" w:color="auto"/>
        <w:bottom w:val="none" w:sz="0" w:space="0" w:color="auto"/>
        <w:right w:val="none" w:sz="0" w:space="0" w:color="auto"/>
      </w:divBdr>
    </w:div>
    <w:div w:id="923492575">
      <w:bodyDiv w:val="1"/>
      <w:marLeft w:val="0"/>
      <w:marRight w:val="0"/>
      <w:marTop w:val="0"/>
      <w:marBottom w:val="0"/>
      <w:divBdr>
        <w:top w:val="none" w:sz="0" w:space="0" w:color="auto"/>
        <w:left w:val="none" w:sz="0" w:space="0" w:color="auto"/>
        <w:bottom w:val="none" w:sz="0" w:space="0" w:color="auto"/>
        <w:right w:val="none" w:sz="0" w:space="0" w:color="auto"/>
      </w:divBdr>
    </w:div>
    <w:div w:id="964776317">
      <w:bodyDiv w:val="1"/>
      <w:marLeft w:val="0"/>
      <w:marRight w:val="0"/>
      <w:marTop w:val="0"/>
      <w:marBottom w:val="0"/>
      <w:divBdr>
        <w:top w:val="none" w:sz="0" w:space="0" w:color="auto"/>
        <w:left w:val="none" w:sz="0" w:space="0" w:color="auto"/>
        <w:bottom w:val="none" w:sz="0" w:space="0" w:color="auto"/>
        <w:right w:val="none" w:sz="0" w:space="0" w:color="auto"/>
      </w:divBdr>
    </w:div>
    <w:div w:id="978458696">
      <w:bodyDiv w:val="1"/>
      <w:marLeft w:val="0"/>
      <w:marRight w:val="0"/>
      <w:marTop w:val="0"/>
      <w:marBottom w:val="0"/>
      <w:divBdr>
        <w:top w:val="none" w:sz="0" w:space="0" w:color="auto"/>
        <w:left w:val="none" w:sz="0" w:space="0" w:color="auto"/>
        <w:bottom w:val="none" w:sz="0" w:space="0" w:color="auto"/>
        <w:right w:val="none" w:sz="0" w:space="0" w:color="auto"/>
      </w:divBdr>
    </w:div>
    <w:div w:id="982929134">
      <w:bodyDiv w:val="1"/>
      <w:marLeft w:val="0"/>
      <w:marRight w:val="0"/>
      <w:marTop w:val="0"/>
      <w:marBottom w:val="0"/>
      <w:divBdr>
        <w:top w:val="none" w:sz="0" w:space="0" w:color="auto"/>
        <w:left w:val="none" w:sz="0" w:space="0" w:color="auto"/>
        <w:bottom w:val="none" w:sz="0" w:space="0" w:color="auto"/>
        <w:right w:val="none" w:sz="0" w:space="0" w:color="auto"/>
      </w:divBdr>
    </w:div>
    <w:div w:id="986283685">
      <w:bodyDiv w:val="1"/>
      <w:marLeft w:val="0"/>
      <w:marRight w:val="0"/>
      <w:marTop w:val="0"/>
      <w:marBottom w:val="0"/>
      <w:divBdr>
        <w:top w:val="none" w:sz="0" w:space="0" w:color="auto"/>
        <w:left w:val="none" w:sz="0" w:space="0" w:color="auto"/>
        <w:bottom w:val="none" w:sz="0" w:space="0" w:color="auto"/>
        <w:right w:val="none" w:sz="0" w:space="0" w:color="auto"/>
      </w:divBdr>
    </w:div>
    <w:div w:id="996223590">
      <w:bodyDiv w:val="1"/>
      <w:marLeft w:val="0"/>
      <w:marRight w:val="0"/>
      <w:marTop w:val="0"/>
      <w:marBottom w:val="0"/>
      <w:divBdr>
        <w:top w:val="none" w:sz="0" w:space="0" w:color="auto"/>
        <w:left w:val="none" w:sz="0" w:space="0" w:color="auto"/>
        <w:bottom w:val="none" w:sz="0" w:space="0" w:color="auto"/>
        <w:right w:val="none" w:sz="0" w:space="0" w:color="auto"/>
      </w:divBdr>
    </w:div>
    <w:div w:id="1013730345">
      <w:bodyDiv w:val="1"/>
      <w:marLeft w:val="0"/>
      <w:marRight w:val="0"/>
      <w:marTop w:val="0"/>
      <w:marBottom w:val="0"/>
      <w:divBdr>
        <w:top w:val="none" w:sz="0" w:space="0" w:color="auto"/>
        <w:left w:val="none" w:sz="0" w:space="0" w:color="auto"/>
        <w:bottom w:val="none" w:sz="0" w:space="0" w:color="auto"/>
        <w:right w:val="none" w:sz="0" w:space="0" w:color="auto"/>
      </w:divBdr>
    </w:div>
    <w:div w:id="1053038154">
      <w:bodyDiv w:val="1"/>
      <w:marLeft w:val="0"/>
      <w:marRight w:val="0"/>
      <w:marTop w:val="0"/>
      <w:marBottom w:val="0"/>
      <w:divBdr>
        <w:top w:val="none" w:sz="0" w:space="0" w:color="auto"/>
        <w:left w:val="none" w:sz="0" w:space="0" w:color="auto"/>
        <w:bottom w:val="none" w:sz="0" w:space="0" w:color="auto"/>
        <w:right w:val="none" w:sz="0" w:space="0" w:color="auto"/>
      </w:divBdr>
    </w:div>
    <w:div w:id="1076242673">
      <w:bodyDiv w:val="1"/>
      <w:marLeft w:val="0"/>
      <w:marRight w:val="0"/>
      <w:marTop w:val="0"/>
      <w:marBottom w:val="0"/>
      <w:divBdr>
        <w:top w:val="none" w:sz="0" w:space="0" w:color="auto"/>
        <w:left w:val="none" w:sz="0" w:space="0" w:color="auto"/>
        <w:bottom w:val="none" w:sz="0" w:space="0" w:color="auto"/>
        <w:right w:val="none" w:sz="0" w:space="0" w:color="auto"/>
      </w:divBdr>
    </w:div>
    <w:div w:id="1084109791">
      <w:bodyDiv w:val="1"/>
      <w:marLeft w:val="0"/>
      <w:marRight w:val="0"/>
      <w:marTop w:val="0"/>
      <w:marBottom w:val="0"/>
      <w:divBdr>
        <w:top w:val="none" w:sz="0" w:space="0" w:color="auto"/>
        <w:left w:val="none" w:sz="0" w:space="0" w:color="auto"/>
        <w:bottom w:val="none" w:sz="0" w:space="0" w:color="auto"/>
        <w:right w:val="none" w:sz="0" w:space="0" w:color="auto"/>
      </w:divBdr>
    </w:div>
    <w:div w:id="1100639001">
      <w:bodyDiv w:val="1"/>
      <w:marLeft w:val="0"/>
      <w:marRight w:val="0"/>
      <w:marTop w:val="0"/>
      <w:marBottom w:val="0"/>
      <w:divBdr>
        <w:top w:val="none" w:sz="0" w:space="0" w:color="auto"/>
        <w:left w:val="none" w:sz="0" w:space="0" w:color="auto"/>
        <w:bottom w:val="none" w:sz="0" w:space="0" w:color="auto"/>
        <w:right w:val="none" w:sz="0" w:space="0" w:color="auto"/>
      </w:divBdr>
    </w:div>
    <w:div w:id="1100682051">
      <w:bodyDiv w:val="1"/>
      <w:marLeft w:val="0"/>
      <w:marRight w:val="0"/>
      <w:marTop w:val="0"/>
      <w:marBottom w:val="0"/>
      <w:divBdr>
        <w:top w:val="none" w:sz="0" w:space="0" w:color="auto"/>
        <w:left w:val="none" w:sz="0" w:space="0" w:color="auto"/>
        <w:bottom w:val="none" w:sz="0" w:space="0" w:color="auto"/>
        <w:right w:val="none" w:sz="0" w:space="0" w:color="auto"/>
      </w:divBdr>
    </w:div>
    <w:div w:id="1109354496">
      <w:bodyDiv w:val="1"/>
      <w:marLeft w:val="0"/>
      <w:marRight w:val="0"/>
      <w:marTop w:val="0"/>
      <w:marBottom w:val="0"/>
      <w:divBdr>
        <w:top w:val="none" w:sz="0" w:space="0" w:color="auto"/>
        <w:left w:val="none" w:sz="0" w:space="0" w:color="auto"/>
        <w:bottom w:val="none" w:sz="0" w:space="0" w:color="auto"/>
        <w:right w:val="none" w:sz="0" w:space="0" w:color="auto"/>
      </w:divBdr>
    </w:div>
    <w:div w:id="1133906163">
      <w:bodyDiv w:val="1"/>
      <w:marLeft w:val="0"/>
      <w:marRight w:val="0"/>
      <w:marTop w:val="0"/>
      <w:marBottom w:val="0"/>
      <w:divBdr>
        <w:top w:val="none" w:sz="0" w:space="0" w:color="auto"/>
        <w:left w:val="none" w:sz="0" w:space="0" w:color="auto"/>
        <w:bottom w:val="none" w:sz="0" w:space="0" w:color="auto"/>
        <w:right w:val="none" w:sz="0" w:space="0" w:color="auto"/>
      </w:divBdr>
    </w:div>
    <w:div w:id="1153567043">
      <w:bodyDiv w:val="1"/>
      <w:marLeft w:val="0"/>
      <w:marRight w:val="0"/>
      <w:marTop w:val="0"/>
      <w:marBottom w:val="0"/>
      <w:divBdr>
        <w:top w:val="none" w:sz="0" w:space="0" w:color="auto"/>
        <w:left w:val="none" w:sz="0" w:space="0" w:color="auto"/>
        <w:bottom w:val="none" w:sz="0" w:space="0" w:color="auto"/>
        <w:right w:val="none" w:sz="0" w:space="0" w:color="auto"/>
      </w:divBdr>
    </w:div>
    <w:div w:id="1176503553">
      <w:bodyDiv w:val="1"/>
      <w:marLeft w:val="0"/>
      <w:marRight w:val="0"/>
      <w:marTop w:val="0"/>
      <w:marBottom w:val="0"/>
      <w:divBdr>
        <w:top w:val="none" w:sz="0" w:space="0" w:color="auto"/>
        <w:left w:val="none" w:sz="0" w:space="0" w:color="auto"/>
        <w:bottom w:val="none" w:sz="0" w:space="0" w:color="auto"/>
        <w:right w:val="none" w:sz="0" w:space="0" w:color="auto"/>
      </w:divBdr>
    </w:div>
    <w:div w:id="1194884692">
      <w:bodyDiv w:val="1"/>
      <w:marLeft w:val="0"/>
      <w:marRight w:val="0"/>
      <w:marTop w:val="0"/>
      <w:marBottom w:val="0"/>
      <w:divBdr>
        <w:top w:val="none" w:sz="0" w:space="0" w:color="auto"/>
        <w:left w:val="none" w:sz="0" w:space="0" w:color="auto"/>
        <w:bottom w:val="none" w:sz="0" w:space="0" w:color="auto"/>
        <w:right w:val="none" w:sz="0" w:space="0" w:color="auto"/>
      </w:divBdr>
    </w:div>
    <w:div w:id="1201435552">
      <w:bodyDiv w:val="1"/>
      <w:marLeft w:val="0"/>
      <w:marRight w:val="0"/>
      <w:marTop w:val="0"/>
      <w:marBottom w:val="0"/>
      <w:divBdr>
        <w:top w:val="none" w:sz="0" w:space="0" w:color="auto"/>
        <w:left w:val="none" w:sz="0" w:space="0" w:color="auto"/>
        <w:bottom w:val="none" w:sz="0" w:space="0" w:color="auto"/>
        <w:right w:val="none" w:sz="0" w:space="0" w:color="auto"/>
      </w:divBdr>
    </w:div>
    <w:div w:id="1234436153">
      <w:bodyDiv w:val="1"/>
      <w:marLeft w:val="0"/>
      <w:marRight w:val="0"/>
      <w:marTop w:val="0"/>
      <w:marBottom w:val="0"/>
      <w:divBdr>
        <w:top w:val="none" w:sz="0" w:space="0" w:color="auto"/>
        <w:left w:val="none" w:sz="0" w:space="0" w:color="auto"/>
        <w:bottom w:val="none" w:sz="0" w:space="0" w:color="auto"/>
        <w:right w:val="none" w:sz="0" w:space="0" w:color="auto"/>
      </w:divBdr>
    </w:div>
    <w:div w:id="1260987499">
      <w:bodyDiv w:val="1"/>
      <w:marLeft w:val="0"/>
      <w:marRight w:val="0"/>
      <w:marTop w:val="0"/>
      <w:marBottom w:val="0"/>
      <w:divBdr>
        <w:top w:val="none" w:sz="0" w:space="0" w:color="auto"/>
        <w:left w:val="none" w:sz="0" w:space="0" w:color="auto"/>
        <w:bottom w:val="none" w:sz="0" w:space="0" w:color="auto"/>
        <w:right w:val="none" w:sz="0" w:space="0" w:color="auto"/>
      </w:divBdr>
    </w:div>
    <w:div w:id="1277563173">
      <w:bodyDiv w:val="1"/>
      <w:marLeft w:val="0"/>
      <w:marRight w:val="0"/>
      <w:marTop w:val="0"/>
      <w:marBottom w:val="0"/>
      <w:divBdr>
        <w:top w:val="none" w:sz="0" w:space="0" w:color="auto"/>
        <w:left w:val="none" w:sz="0" w:space="0" w:color="auto"/>
        <w:bottom w:val="none" w:sz="0" w:space="0" w:color="auto"/>
        <w:right w:val="none" w:sz="0" w:space="0" w:color="auto"/>
      </w:divBdr>
    </w:div>
    <w:div w:id="1300065128">
      <w:bodyDiv w:val="1"/>
      <w:marLeft w:val="0"/>
      <w:marRight w:val="0"/>
      <w:marTop w:val="0"/>
      <w:marBottom w:val="0"/>
      <w:divBdr>
        <w:top w:val="none" w:sz="0" w:space="0" w:color="auto"/>
        <w:left w:val="none" w:sz="0" w:space="0" w:color="auto"/>
        <w:bottom w:val="none" w:sz="0" w:space="0" w:color="auto"/>
        <w:right w:val="none" w:sz="0" w:space="0" w:color="auto"/>
      </w:divBdr>
    </w:div>
    <w:div w:id="1318415093">
      <w:bodyDiv w:val="1"/>
      <w:marLeft w:val="0"/>
      <w:marRight w:val="0"/>
      <w:marTop w:val="0"/>
      <w:marBottom w:val="0"/>
      <w:divBdr>
        <w:top w:val="none" w:sz="0" w:space="0" w:color="auto"/>
        <w:left w:val="none" w:sz="0" w:space="0" w:color="auto"/>
        <w:bottom w:val="none" w:sz="0" w:space="0" w:color="auto"/>
        <w:right w:val="none" w:sz="0" w:space="0" w:color="auto"/>
      </w:divBdr>
    </w:div>
    <w:div w:id="1338577694">
      <w:bodyDiv w:val="1"/>
      <w:marLeft w:val="0"/>
      <w:marRight w:val="0"/>
      <w:marTop w:val="0"/>
      <w:marBottom w:val="0"/>
      <w:divBdr>
        <w:top w:val="none" w:sz="0" w:space="0" w:color="auto"/>
        <w:left w:val="none" w:sz="0" w:space="0" w:color="auto"/>
        <w:bottom w:val="none" w:sz="0" w:space="0" w:color="auto"/>
        <w:right w:val="none" w:sz="0" w:space="0" w:color="auto"/>
      </w:divBdr>
    </w:div>
    <w:div w:id="1342124134">
      <w:bodyDiv w:val="1"/>
      <w:marLeft w:val="0"/>
      <w:marRight w:val="0"/>
      <w:marTop w:val="0"/>
      <w:marBottom w:val="0"/>
      <w:divBdr>
        <w:top w:val="none" w:sz="0" w:space="0" w:color="auto"/>
        <w:left w:val="none" w:sz="0" w:space="0" w:color="auto"/>
        <w:bottom w:val="none" w:sz="0" w:space="0" w:color="auto"/>
        <w:right w:val="none" w:sz="0" w:space="0" w:color="auto"/>
      </w:divBdr>
    </w:div>
    <w:div w:id="1433937252">
      <w:bodyDiv w:val="1"/>
      <w:marLeft w:val="0"/>
      <w:marRight w:val="0"/>
      <w:marTop w:val="0"/>
      <w:marBottom w:val="0"/>
      <w:divBdr>
        <w:top w:val="none" w:sz="0" w:space="0" w:color="auto"/>
        <w:left w:val="none" w:sz="0" w:space="0" w:color="auto"/>
        <w:bottom w:val="none" w:sz="0" w:space="0" w:color="auto"/>
        <w:right w:val="none" w:sz="0" w:space="0" w:color="auto"/>
      </w:divBdr>
    </w:div>
    <w:div w:id="1448432166">
      <w:bodyDiv w:val="1"/>
      <w:marLeft w:val="0"/>
      <w:marRight w:val="0"/>
      <w:marTop w:val="0"/>
      <w:marBottom w:val="0"/>
      <w:divBdr>
        <w:top w:val="none" w:sz="0" w:space="0" w:color="auto"/>
        <w:left w:val="none" w:sz="0" w:space="0" w:color="auto"/>
        <w:bottom w:val="none" w:sz="0" w:space="0" w:color="auto"/>
        <w:right w:val="none" w:sz="0" w:space="0" w:color="auto"/>
      </w:divBdr>
    </w:div>
    <w:div w:id="1479151572">
      <w:bodyDiv w:val="1"/>
      <w:marLeft w:val="0"/>
      <w:marRight w:val="0"/>
      <w:marTop w:val="0"/>
      <w:marBottom w:val="0"/>
      <w:divBdr>
        <w:top w:val="none" w:sz="0" w:space="0" w:color="auto"/>
        <w:left w:val="none" w:sz="0" w:space="0" w:color="auto"/>
        <w:bottom w:val="none" w:sz="0" w:space="0" w:color="auto"/>
        <w:right w:val="none" w:sz="0" w:space="0" w:color="auto"/>
      </w:divBdr>
    </w:div>
    <w:div w:id="1491217098">
      <w:bodyDiv w:val="1"/>
      <w:marLeft w:val="0"/>
      <w:marRight w:val="0"/>
      <w:marTop w:val="0"/>
      <w:marBottom w:val="0"/>
      <w:divBdr>
        <w:top w:val="none" w:sz="0" w:space="0" w:color="auto"/>
        <w:left w:val="none" w:sz="0" w:space="0" w:color="auto"/>
        <w:bottom w:val="none" w:sz="0" w:space="0" w:color="auto"/>
        <w:right w:val="none" w:sz="0" w:space="0" w:color="auto"/>
      </w:divBdr>
    </w:div>
    <w:div w:id="1511144726">
      <w:bodyDiv w:val="1"/>
      <w:marLeft w:val="0"/>
      <w:marRight w:val="0"/>
      <w:marTop w:val="0"/>
      <w:marBottom w:val="0"/>
      <w:divBdr>
        <w:top w:val="none" w:sz="0" w:space="0" w:color="auto"/>
        <w:left w:val="none" w:sz="0" w:space="0" w:color="auto"/>
        <w:bottom w:val="none" w:sz="0" w:space="0" w:color="auto"/>
        <w:right w:val="none" w:sz="0" w:space="0" w:color="auto"/>
      </w:divBdr>
    </w:div>
    <w:div w:id="1535730489">
      <w:bodyDiv w:val="1"/>
      <w:marLeft w:val="0"/>
      <w:marRight w:val="0"/>
      <w:marTop w:val="0"/>
      <w:marBottom w:val="0"/>
      <w:divBdr>
        <w:top w:val="none" w:sz="0" w:space="0" w:color="auto"/>
        <w:left w:val="none" w:sz="0" w:space="0" w:color="auto"/>
        <w:bottom w:val="none" w:sz="0" w:space="0" w:color="auto"/>
        <w:right w:val="none" w:sz="0" w:space="0" w:color="auto"/>
      </w:divBdr>
    </w:div>
    <w:div w:id="1539931964">
      <w:bodyDiv w:val="1"/>
      <w:marLeft w:val="0"/>
      <w:marRight w:val="0"/>
      <w:marTop w:val="0"/>
      <w:marBottom w:val="0"/>
      <w:divBdr>
        <w:top w:val="none" w:sz="0" w:space="0" w:color="auto"/>
        <w:left w:val="none" w:sz="0" w:space="0" w:color="auto"/>
        <w:bottom w:val="none" w:sz="0" w:space="0" w:color="auto"/>
        <w:right w:val="none" w:sz="0" w:space="0" w:color="auto"/>
      </w:divBdr>
    </w:div>
    <w:div w:id="1550798438">
      <w:bodyDiv w:val="1"/>
      <w:marLeft w:val="0"/>
      <w:marRight w:val="0"/>
      <w:marTop w:val="0"/>
      <w:marBottom w:val="0"/>
      <w:divBdr>
        <w:top w:val="none" w:sz="0" w:space="0" w:color="auto"/>
        <w:left w:val="none" w:sz="0" w:space="0" w:color="auto"/>
        <w:bottom w:val="none" w:sz="0" w:space="0" w:color="auto"/>
        <w:right w:val="none" w:sz="0" w:space="0" w:color="auto"/>
      </w:divBdr>
    </w:div>
    <w:div w:id="1624266883">
      <w:bodyDiv w:val="1"/>
      <w:marLeft w:val="0"/>
      <w:marRight w:val="0"/>
      <w:marTop w:val="0"/>
      <w:marBottom w:val="0"/>
      <w:divBdr>
        <w:top w:val="none" w:sz="0" w:space="0" w:color="auto"/>
        <w:left w:val="none" w:sz="0" w:space="0" w:color="auto"/>
        <w:bottom w:val="none" w:sz="0" w:space="0" w:color="auto"/>
        <w:right w:val="none" w:sz="0" w:space="0" w:color="auto"/>
      </w:divBdr>
    </w:div>
    <w:div w:id="1677224005">
      <w:bodyDiv w:val="1"/>
      <w:marLeft w:val="0"/>
      <w:marRight w:val="0"/>
      <w:marTop w:val="0"/>
      <w:marBottom w:val="0"/>
      <w:divBdr>
        <w:top w:val="none" w:sz="0" w:space="0" w:color="auto"/>
        <w:left w:val="none" w:sz="0" w:space="0" w:color="auto"/>
        <w:bottom w:val="none" w:sz="0" w:space="0" w:color="auto"/>
        <w:right w:val="none" w:sz="0" w:space="0" w:color="auto"/>
      </w:divBdr>
    </w:div>
    <w:div w:id="1706828655">
      <w:bodyDiv w:val="1"/>
      <w:marLeft w:val="0"/>
      <w:marRight w:val="0"/>
      <w:marTop w:val="0"/>
      <w:marBottom w:val="0"/>
      <w:divBdr>
        <w:top w:val="none" w:sz="0" w:space="0" w:color="auto"/>
        <w:left w:val="none" w:sz="0" w:space="0" w:color="auto"/>
        <w:bottom w:val="none" w:sz="0" w:space="0" w:color="auto"/>
        <w:right w:val="none" w:sz="0" w:space="0" w:color="auto"/>
      </w:divBdr>
    </w:div>
    <w:div w:id="1715813010">
      <w:bodyDiv w:val="1"/>
      <w:marLeft w:val="0"/>
      <w:marRight w:val="0"/>
      <w:marTop w:val="0"/>
      <w:marBottom w:val="0"/>
      <w:divBdr>
        <w:top w:val="none" w:sz="0" w:space="0" w:color="auto"/>
        <w:left w:val="none" w:sz="0" w:space="0" w:color="auto"/>
        <w:bottom w:val="none" w:sz="0" w:space="0" w:color="auto"/>
        <w:right w:val="none" w:sz="0" w:space="0" w:color="auto"/>
      </w:divBdr>
    </w:div>
    <w:div w:id="1738939721">
      <w:bodyDiv w:val="1"/>
      <w:marLeft w:val="0"/>
      <w:marRight w:val="0"/>
      <w:marTop w:val="0"/>
      <w:marBottom w:val="0"/>
      <w:divBdr>
        <w:top w:val="none" w:sz="0" w:space="0" w:color="auto"/>
        <w:left w:val="none" w:sz="0" w:space="0" w:color="auto"/>
        <w:bottom w:val="none" w:sz="0" w:space="0" w:color="auto"/>
        <w:right w:val="none" w:sz="0" w:space="0" w:color="auto"/>
      </w:divBdr>
    </w:div>
    <w:div w:id="1757095693">
      <w:bodyDiv w:val="1"/>
      <w:marLeft w:val="0"/>
      <w:marRight w:val="0"/>
      <w:marTop w:val="0"/>
      <w:marBottom w:val="0"/>
      <w:divBdr>
        <w:top w:val="none" w:sz="0" w:space="0" w:color="auto"/>
        <w:left w:val="none" w:sz="0" w:space="0" w:color="auto"/>
        <w:bottom w:val="none" w:sz="0" w:space="0" w:color="auto"/>
        <w:right w:val="none" w:sz="0" w:space="0" w:color="auto"/>
      </w:divBdr>
    </w:div>
    <w:div w:id="1761901833">
      <w:bodyDiv w:val="1"/>
      <w:marLeft w:val="0"/>
      <w:marRight w:val="0"/>
      <w:marTop w:val="0"/>
      <w:marBottom w:val="0"/>
      <w:divBdr>
        <w:top w:val="none" w:sz="0" w:space="0" w:color="auto"/>
        <w:left w:val="none" w:sz="0" w:space="0" w:color="auto"/>
        <w:bottom w:val="none" w:sz="0" w:space="0" w:color="auto"/>
        <w:right w:val="none" w:sz="0" w:space="0" w:color="auto"/>
      </w:divBdr>
    </w:div>
    <w:div w:id="1780952112">
      <w:bodyDiv w:val="1"/>
      <w:marLeft w:val="0"/>
      <w:marRight w:val="0"/>
      <w:marTop w:val="0"/>
      <w:marBottom w:val="0"/>
      <w:divBdr>
        <w:top w:val="none" w:sz="0" w:space="0" w:color="auto"/>
        <w:left w:val="none" w:sz="0" w:space="0" w:color="auto"/>
        <w:bottom w:val="none" w:sz="0" w:space="0" w:color="auto"/>
        <w:right w:val="none" w:sz="0" w:space="0" w:color="auto"/>
      </w:divBdr>
    </w:div>
    <w:div w:id="1813520080">
      <w:bodyDiv w:val="1"/>
      <w:marLeft w:val="0"/>
      <w:marRight w:val="0"/>
      <w:marTop w:val="0"/>
      <w:marBottom w:val="0"/>
      <w:divBdr>
        <w:top w:val="none" w:sz="0" w:space="0" w:color="auto"/>
        <w:left w:val="none" w:sz="0" w:space="0" w:color="auto"/>
        <w:bottom w:val="none" w:sz="0" w:space="0" w:color="auto"/>
        <w:right w:val="none" w:sz="0" w:space="0" w:color="auto"/>
      </w:divBdr>
    </w:div>
    <w:div w:id="1834712110">
      <w:bodyDiv w:val="1"/>
      <w:marLeft w:val="0"/>
      <w:marRight w:val="0"/>
      <w:marTop w:val="0"/>
      <w:marBottom w:val="0"/>
      <w:divBdr>
        <w:top w:val="none" w:sz="0" w:space="0" w:color="auto"/>
        <w:left w:val="none" w:sz="0" w:space="0" w:color="auto"/>
        <w:bottom w:val="none" w:sz="0" w:space="0" w:color="auto"/>
        <w:right w:val="none" w:sz="0" w:space="0" w:color="auto"/>
      </w:divBdr>
    </w:div>
    <w:div w:id="1852722906">
      <w:bodyDiv w:val="1"/>
      <w:marLeft w:val="0"/>
      <w:marRight w:val="0"/>
      <w:marTop w:val="0"/>
      <w:marBottom w:val="0"/>
      <w:divBdr>
        <w:top w:val="none" w:sz="0" w:space="0" w:color="auto"/>
        <w:left w:val="none" w:sz="0" w:space="0" w:color="auto"/>
        <w:bottom w:val="none" w:sz="0" w:space="0" w:color="auto"/>
        <w:right w:val="none" w:sz="0" w:space="0" w:color="auto"/>
      </w:divBdr>
    </w:div>
    <w:div w:id="1925531856">
      <w:bodyDiv w:val="1"/>
      <w:marLeft w:val="0"/>
      <w:marRight w:val="0"/>
      <w:marTop w:val="0"/>
      <w:marBottom w:val="0"/>
      <w:divBdr>
        <w:top w:val="none" w:sz="0" w:space="0" w:color="auto"/>
        <w:left w:val="none" w:sz="0" w:space="0" w:color="auto"/>
        <w:bottom w:val="none" w:sz="0" w:space="0" w:color="auto"/>
        <w:right w:val="none" w:sz="0" w:space="0" w:color="auto"/>
      </w:divBdr>
    </w:div>
    <w:div w:id="1926645284">
      <w:bodyDiv w:val="1"/>
      <w:marLeft w:val="0"/>
      <w:marRight w:val="0"/>
      <w:marTop w:val="0"/>
      <w:marBottom w:val="0"/>
      <w:divBdr>
        <w:top w:val="none" w:sz="0" w:space="0" w:color="auto"/>
        <w:left w:val="none" w:sz="0" w:space="0" w:color="auto"/>
        <w:bottom w:val="none" w:sz="0" w:space="0" w:color="auto"/>
        <w:right w:val="none" w:sz="0" w:space="0" w:color="auto"/>
      </w:divBdr>
    </w:div>
    <w:div w:id="1941453249">
      <w:bodyDiv w:val="1"/>
      <w:marLeft w:val="0"/>
      <w:marRight w:val="0"/>
      <w:marTop w:val="0"/>
      <w:marBottom w:val="0"/>
      <w:divBdr>
        <w:top w:val="none" w:sz="0" w:space="0" w:color="auto"/>
        <w:left w:val="none" w:sz="0" w:space="0" w:color="auto"/>
        <w:bottom w:val="none" w:sz="0" w:space="0" w:color="auto"/>
        <w:right w:val="none" w:sz="0" w:space="0" w:color="auto"/>
      </w:divBdr>
    </w:div>
    <w:div w:id="1962109418">
      <w:bodyDiv w:val="1"/>
      <w:marLeft w:val="0"/>
      <w:marRight w:val="0"/>
      <w:marTop w:val="0"/>
      <w:marBottom w:val="0"/>
      <w:divBdr>
        <w:top w:val="none" w:sz="0" w:space="0" w:color="auto"/>
        <w:left w:val="none" w:sz="0" w:space="0" w:color="auto"/>
        <w:bottom w:val="none" w:sz="0" w:space="0" w:color="auto"/>
        <w:right w:val="none" w:sz="0" w:space="0" w:color="auto"/>
      </w:divBdr>
    </w:div>
    <w:div w:id="1973095590">
      <w:bodyDiv w:val="1"/>
      <w:marLeft w:val="0"/>
      <w:marRight w:val="0"/>
      <w:marTop w:val="0"/>
      <w:marBottom w:val="0"/>
      <w:divBdr>
        <w:top w:val="none" w:sz="0" w:space="0" w:color="auto"/>
        <w:left w:val="none" w:sz="0" w:space="0" w:color="auto"/>
        <w:bottom w:val="none" w:sz="0" w:space="0" w:color="auto"/>
        <w:right w:val="none" w:sz="0" w:space="0" w:color="auto"/>
      </w:divBdr>
    </w:div>
    <w:div w:id="2004502733">
      <w:bodyDiv w:val="1"/>
      <w:marLeft w:val="0"/>
      <w:marRight w:val="0"/>
      <w:marTop w:val="0"/>
      <w:marBottom w:val="0"/>
      <w:divBdr>
        <w:top w:val="none" w:sz="0" w:space="0" w:color="auto"/>
        <w:left w:val="none" w:sz="0" w:space="0" w:color="auto"/>
        <w:bottom w:val="none" w:sz="0" w:space="0" w:color="auto"/>
        <w:right w:val="none" w:sz="0" w:space="0" w:color="auto"/>
      </w:divBdr>
    </w:div>
    <w:div w:id="2020082629">
      <w:bodyDiv w:val="1"/>
      <w:marLeft w:val="0"/>
      <w:marRight w:val="0"/>
      <w:marTop w:val="0"/>
      <w:marBottom w:val="0"/>
      <w:divBdr>
        <w:top w:val="none" w:sz="0" w:space="0" w:color="auto"/>
        <w:left w:val="none" w:sz="0" w:space="0" w:color="auto"/>
        <w:bottom w:val="none" w:sz="0" w:space="0" w:color="auto"/>
        <w:right w:val="none" w:sz="0" w:space="0" w:color="auto"/>
      </w:divBdr>
    </w:div>
    <w:div w:id="2037807189">
      <w:bodyDiv w:val="1"/>
      <w:marLeft w:val="0"/>
      <w:marRight w:val="0"/>
      <w:marTop w:val="0"/>
      <w:marBottom w:val="0"/>
      <w:divBdr>
        <w:top w:val="none" w:sz="0" w:space="0" w:color="auto"/>
        <w:left w:val="none" w:sz="0" w:space="0" w:color="auto"/>
        <w:bottom w:val="none" w:sz="0" w:space="0" w:color="auto"/>
        <w:right w:val="none" w:sz="0" w:space="0" w:color="auto"/>
      </w:divBdr>
    </w:div>
    <w:div w:id="2078353374">
      <w:bodyDiv w:val="1"/>
      <w:marLeft w:val="0"/>
      <w:marRight w:val="0"/>
      <w:marTop w:val="0"/>
      <w:marBottom w:val="0"/>
      <w:divBdr>
        <w:top w:val="none" w:sz="0" w:space="0" w:color="auto"/>
        <w:left w:val="none" w:sz="0" w:space="0" w:color="auto"/>
        <w:bottom w:val="none" w:sz="0" w:space="0" w:color="auto"/>
        <w:right w:val="none" w:sz="0" w:space="0" w:color="auto"/>
      </w:divBdr>
    </w:div>
    <w:div w:id="21066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resources/pages/responsibilities-2014-03-14-en" TargetMode="External"/><Relationship Id="rId21" Type="http://schemas.openxmlformats.org/officeDocument/2006/relationships/hyperlink" Target="https://www.icann.org/resources/pages/approved-with-specs-2013-09-17-en" TargetMode="External"/><Relationship Id="rId22" Type="http://schemas.openxmlformats.org/officeDocument/2006/relationships/hyperlink" Target="https://www.icann.org/news/announcement-3-2017-10-26-en" TargetMode="External"/><Relationship Id="rId23" Type="http://schemas.openxmlformats.org/officeDocument/2006/relationships/hyperlink" Target="https://community.icann.org/download/attachments/43984221/NORC%20whois-accuracy-study-17jan10.pdf?version=1&amp;modificationDate=1393868725000&amp;api=v2" TargetMode="External"/><Relationship Id="rId24" Type="http://schemas.openxmlformats.org/officeDocument/2006/relationships/hyperlink" Target="https://community.icann.org/download/attachments/43984221/Interisle%20Final%20Report%20on%20P%26P%20R%26R%20Survey%20Aug%202012.pdf?version=1&amp;modificationDate=1386110409000&amp;api=v2" TargetMode="External"/><Relationship Id="rId25" Type="http://schemas.openxmlformats.org/officeDocument/2006/relationships/hyperlink" Target="https://community.icann.org/download/attachments/43984221/WHOIS%20Registrant%20Identification%20Study%20-%20Project%20Summary%20Report.pdf?version=1&amp;modificationDate=1393868686000&amp;api=v2" TargetMode="External"/><Relationship Id="rId26" Type="http://schemas.openxmlformats.org/officeDocument/2006/relationships/hyperlink" Target="https://community.icann.org/download/attachments/43984221/FINAL%20REPORT%20NPL%20Whois%20P%3AP%20Abuse%20Study%20March%202014.pdf?version=1&amp;modificationDate=1398795462000&amp;api=v2" TargetMode="External"/><Relationship Id="rId27" Type="http://schemas.openxmlformats.org/officeDocument/2006/relationships/hyperlink" Target="https://www.icann.org/news/announcement-3-2015-09-25-en" TargetMode="External"/><Relationship Id="rId28" Type="http://schemas.openxmlformats.org/officeDocument/2006/relationships/hyperlink" Target="https://www.icann.org/resources/pages/transliteration-contact-2016-06-27-en" TargetMode="External"/><Relationship Id="rId29" Type="http://schemas.openxmlformats.org/officeDocument/2006/relationships/hyperlink" Target="https://www.icann.org/resources/board-material/resolutions-2016-03-10-en"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www.icann.org/resources/pages/universal-acceptance-2012-02-25-en" TargetMode="External"/><Relationship Id="rId31" Type="http://schemas.openxmlformats.org/officeDocument/2006/relationships/header" Target="header1.xml"/><Relationship Id="rId32" Type="http://schemas.openxmlformats.org/officeDocument/2006/relationships/fontTable" Target="fontTable.xml"/><Relationship Id="rId9" Type="http://schemas.openxmlformats.org/officeDocument/2006/relationships/hyperlink" Target="https://www.icann.org/resources/pages/benefits-2013-09-16-en" TargetMode="External"/><Relationship Id="rId6" Type="http://schemas.openxmlformats.org/officeDocument/2006/relationships/endnotes" Target="endnotes.xml"/><Relationship Id="rId7" Type="http://schemas.openxmlformats.org/officeDocument/2006/relationships/hyperlink" Target="https://www.icann.org/en/system/files/files/implementation-action-08nov12-en.pdf" TargetMode="External"/><Relationship Id="rId8" Type="http://schemas.openxmlformats.org/officeDocument/2006/relationships/hyperlink" Target="https://www.icann.org/resources/pages/whois-policies-provisions-2013-04-15-en" TargetMode="External"/><Relationship Id="rId33" Type="http://schemas.openxmlformats.org/officeDocument/2006/relationships/theme" Target="theme/theme1.xml"/><Relationship Id="rId10" Type="http://schemas.openxmlformats.org/officeDocument/2006/relationships/hyperlink" Target="https://www.icann.org/registrants" TargetMode="External"/><Relationship Id="rId11" Type="http://schemas.openxmlformats.org/officeDocument/2006/relationships/hyperlink" Target="https://gnso.icann.org/en/group-activities/active" TargetMode="External"/><Relationship Id="rId12" Type="http://schemas.openxmlformats.org/officeDocument/2006/relationships/hyperlink" Target="https://www.icann.org/policy/implementation" TargetMode="External"/><Relationship Id="rId13" Type="http://schemas.openxmlformats.org/officeDocument/2006/relationships/hyperlink" Target="https://features.icann.org/compliance" TargetMode="External"/><Relationship Id="rId14" Type="http://schemas.openxmlformats.org/officeDocument/2006/relationships/hyperlink" Target="https://www.icann.org/news/announcements" TargetMode="External"/><Relationship Id="rId15" Type="http://schemas.openxmlformats.org/officeDocument/2006/relationships/hyperlink" Target="https://www.icann.org/news/blog" TargetMode="External"/><Relationship Id="rId16" Type="http://schemas.openxmlformats.org/officeDocument/2006/relationships/hyperlink" Target="https://www.icann.org/public-comments" TargetMode="External"/><Relationship Id="rId17" Type="http://schemas.openxmlformats.org/officeDocument/2006/relationships/hyperlink" Target="https://www.icann.org/resources/pages/customer-support-2015-06-22-en" TargetMode="External"/><Relationship Id="rId18" Type="http://schemas.openxmlformats.org/officeDocument/2006/relationships/hyperlink" Target="https://www.icann.org/en/registrars/registrant-rights-responsibilities-en.htm" TargetMode="External"/><Relationship Id="rId19" Type="http://schemas.openxmlformats.org/officeDocument/2006/relationships/hyperlink" Target="https://www.icann.org/resources/pages/benefits-2013-09-1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3356</Words>
  <Characters>19131</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Alice Jansen</cp:lastModifiedBy>
  <cp:revision>2</cp:revision>
  <dcterms:created xsi:type="dcterms:W3CDTF">2017-11-10T17:05:00Z</dcterms:created>
  <dcterms:modified xsi:type="dcterms:W3CDTF">2017-11-10T17:05:00Z</dcterms:modified>
</cp:coreProperties>
</file>