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FC0" w:rsidRPr="00C10057" w:rsidRDefault="00416749">
      <w:pPr>
        <w:pStyle w:val="Subtitle"/>
        <w:spacing w:line="240" w:lineRule="auto"/>
        <w:jc w:val="center"/>
        <w:rPr>
          <w:b/>
          <w:sz w:val="22"/>
          <w:szCs w:val="24"/>
        </w:rPr>
      </w:pPr>
      <w:bookmarkStart w:id="0" w:name="_wwdxup47sf0z" w:colFirst="0" w:colLast="0"/>
      <w:bookmarkEnd w:id="0"/>
      <w:r w:rsidRPr="00C10057">
        <w:rPr>
          <w:b/>
          <w:sz w:val="22"/>
          <w:szCs w:val="24"/>
        </w:rPr>
        <w:t>Brussels Meeting #2  - Review Team Agreements &amp; Action Items</w:t>
      </w:r>
    </w:p>
    <w:p w:rsidR="00230FC0" w:rsidRPr="00C10057" w:rsidRDefault="00230FC0">
      <w:pPr>
        <w:spacing w:line="240" w:lineRule="auto"/>
        <w:rPr>
          <w:sz w:val="20"/>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jc w:val="center"/>
              <w:rPr>
                <w:b/>
                <w:color w:val="FFFFFF"/>
                <w:sz w:val="20"/>
              </w:rPr>
            </w:pPr>
            <w:r w:rsidRPr="00C10057">
              <w:rPr>
                <w:b/>
                <w:color w:val="FFFFFF"/>
                <w:sz w:val="20"/>
              </w:rPr>
              <w:t>Overarching Implementation Assessment</w:t>
            </w:r>
          </w:p>
        </w:tc>
      </w:tr>
      <w:tr w:rsidR="00230FC0" w:rsidRPr="00C10057">
        <w:trPr>
          <w:trHeight w:val="420"/>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trHeight w:val="420"/>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3"/>
              </w:numPr>
              <w:pBdr>
                <w:top w:val="nil"/>
                <w:left w:val="nil"/>
                <w:bottom w:val="nil"/>
                <w:right w:val="nil"/>
                <w:between w:val="nil"/>
              </w:pBdr>
              <w:spacing w:before="160" w:line="240" w:lineRule="auto"/>
              <w:contextualSpacing/>
              <w:rPr>
                <w:sz w:val="18"/>
                <w:szCs w:val="20"/>
                <w:highlight w:val="white"/>
              </w:rPr>
            </w:pPr>
            <w:r w:rsidRPr="00C10057">
              <w:rPr>
                <w:sz w:val="18"/>
                <w:szCs w:val="20"/>
                <w:highlight w:val="white"/>
              </w:rPr>
              <w:t>Implementation is taking a long time. This identifies a problem; recommendation to be formulated.</w:t>
            </w:r>
          </w:p>
          <w:p w:rsidR="00230FC0" w:rsidRPr="00C10057" w:rsidRDefault="00416749">
            <w:pPr>
              <w:numPr>
                <w:ilvl w:val="0"/>
                <w:numId w:val="3"/>
              </w:numPr>
              <w:pBdr>
                <w:top w:val="nil"/>
                <w:left w:val="nil"/>
                <w:bottom w:val="nil"/>
                <w:right w:val="nil"/>
                <w:between w:val="nil"/>
              </w:pBdr>
              <w:spacing w:before="160" w:line="240" w:lineRule="auto"/>
              <w:contextualSpacing/>
              <w:rPr>
                <w:sz w:val="18"/>
                <w:szCs w:val="20"/>
                <w:highlight w:val="white"/>
              </w:rPr>
            </w:pPr>
            <w:r w:rsidRPr="00C10057">
              <w:rPr>
                <w:sz w:val="18"/>
                <w:szCs w:val="20"/>
                <w:highlight w:val="white"/>
              </w:rPr>
              <w:t>RT examined not just what WHOIS1 recommended but also performed a cumulative review</w:t>
            </w:r>
          </w:p>
        </w:tc>
        <w:tc>
          <w:tcPr>
            <w:tcW w:w="4680" w:type="dxa"/>
            <w:shd w:val="clear" w:color="auto" w:fill="auto"/>
            <w:tcMar>
              <w:top w:w="100" w:type="dxa"/>
              <w:left w:w="100" w:type="dxa"/>
              <w:bottom w:w="100" w:type="dxa"/>
              <w:right w:w="100" w:type="dxa"/>
            </w:tcMar>
          </w:tcPr>
          <w:p w:rsidR="00230FC0" w:rsidRPr="00C10057" w:rsidRDefault="00416749">
            <w:pPr>
              <w:widowControl w:val="0"/>
              <w:spacing w:line="240" w:lineRule="auto"/>
              <w:rPr>
                <w:sz w:val="18"/>
                <w:szCs w:val="20"/>
              </w:rPr>
            </w:pPr>
            <w:r w:rsidRPr="00C10057">
              <w:rPr>
                <w:sz w:val="18"/>
                <w:szCs w:val="20"/>
              </w:rPr>
              <w:t>n/a</w:t>
            </w:r>
          </w:p>
        </w:tc>
      </w:tr>
      <w:tr w:rsidR="00230FC0" w:rsidRPr="00C10057">
        <w:trPr>
          <w:trHeight w:val="440"/>
          <w:jc w:val="center"/>
        </w:trPr>
        <w:tc>
          <w:tcPr>
            <w:tcW w:w="9360" w:type="dxa"/>
            <w:gridSpan w:val="2"/>
            <w:shd w:val="clear" w:color="auto" w:fill="4A86E8"/>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WHOIS1 - Rec 1 - Strategic Priority</w:t>
            </w:r>
          </w:p>
        </w:tc>
      </w:tr>
      <w:tr w:rsidR="00230FC0" w:rsidRPr="00C10057">
        <w:trPr>
          <w:trHeight w:val="440"/>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jc w:val="center"/>
              <w:rPr>
                <w:b/>
                <w:color w:val="FFFFFF"/>
                <w:sz w:val="20"/>
              </w:rPr>
            </w:pPr>
            <w:r w:rsidRPr="00C10057">
              <w:rPr>
                <w:b/>
                <w:color w:val="FFFFFF"/>
                <w:sz w:val="20"/>
              </w:rPr>
              <w:t>RT Action Item(s)</w:t>
            </w:r>
          </w:p>
        </w:tc>
      </w:tr>
      <w:tr w:rsidR="00230FC0" w:rsidRPr="00C10057">
        <w:trPr>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3"/>
              </w:numPr>
              <w:contextualSpacing/>
              <w:rPr>
                <w:sz w:val="18"/>
                <w:szCs w:val="20"/>
              </w:rPr>
            </w:pPr>
            <w:r w:rsidRPr="00C10057">
              <w:rPr>
                <w:sz w:val="18"/>
                <w:szCs w:val="20"/>
              </w:rPr>
              <w:t xml:space="preserve">Unclear that there is strategy. </w:t>
            </w:r>
          </w:p>
          <w:p w:rsidR="00230FC0" w:rsidRPr="00C10057" w:rsidRDefault="00416749">
            <w:pPr>
              <w:numPr>
                <w:ilvl w:val="0"/>
                <w:numId w:val="3"/>
              </w:numPr>
              <w:contextualSpacing/>
              <w:rPr>
                <w:sz w:val="18"/>
                <w:szCs w:val="20"/>
              </w:rPr>
            </w:pPr>
            <w:r w:rsidRPr="00C10057">
              <w:rPr>
                <w:sz w:val="18"/>
                <w:szCs w:val="20"/>
              </w:rPr>
              <w:t>If there is a strategy, there is no clear ownership/oversight, nor sufficient tracking to make sure the strategy is implemented.</w:t>
            </w:r>
          </w:p>
          <w:p w:rsidR="00230FC0" w:rsidRPr="00C10057" w:rsidRDefault="00416749">
            <w:pPr>
              <w:numPr>
                <w:ilvl w:val="0"/>
                <w:numId w:val="3"/>
              </w:numPr>
              <w:contextualSpacing/>
              <w:rPr>
                <w:sz w:val="18"/>
                <w:szCs w:val="20"/>
              </w:rPr>
            </w:pPr>
            <w:r w:rsidRPr="00C10057">
              <w:rPr>
                <w:sz w:val="18"/>
                <w:szCs w:val="20"/>
              </w:rPr>
              <w:t>Need to provide high level guidance to ICANN Board on criteria for defining success in implementing strategy.</w:t>
            </w:r>
          </w:p>
          <w:p w:rsidR="00230FC0" w:rsidRPr="00C10057" w:rsidRDefault="00416749">
            <w:pPr>
              <w:numPr>
                <w:ilvl w:val="0"/>
                <w:numId w:val="3"/>
              </w:numPr>
              <w:spacing w:before="160" w:line="240" w:lineRule="auto"/>
              <w:contextualSpacing/>
              <w:rPr>
                <w:sz w:val="18"/>
                <w:szCs w:val="20"/>
                <w:highlight w:val="white"/>
              </w:rPr>
            </w:pPr>
            <w:r w:rsidRPr="00C10057">
              <w:rPr>
                <w:sz w:val="18"/>
                <w:szCs w:val="20"/>
                <w:highlight w:val="white"/>
              </w:rPr>
              <w:t>ICANN took actions but not those envisioned by the WHOIS1 recommendation - notably: the Board WG or EWG are not the cross-community committee that WHOIS1 recommended.</w:t>
            </w:r>
          </w:p>
        </w:tc>
        <w:tc>
          <w:tcPr>
            <w:tcW w:w="4680" w:type="dxa"/>
            <w:shd w:val="clear" w:color="auto" w:fill="auto"/>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rPr>
                <w:sz w:val="18"/>
                <w:szCs w:val="20"/>
              </w:rPr>
            </w:pPr>
            <w:r w:rsidRPr="00C10057">
              <w:rPr>
                <w:sz w:val="18"/>
                <w:szCs w:val="20"/>
              </w:rPr>
              <w:t>n/a</w:t>
            </w: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jc w:val="center"/>
              <w:rPr>
                <w:b/>
                <w:color w:val="FFFFFF"/>
                <w:sz w:val="20"/>
              </w:rPr>
            </w:pPr>
            <w:r w:rsidRPr="00C10057">
              <w:rPr>
                <w:b/>
                <w:color w:val="FFFFFF"/>
                <w:sz w:val="20"/>
              </w:rPr>
              <w:t>WHOIS1 - Rec 2 - Single WHOIS Policy</w:t>
            </w:r>
          </w:p>
        </w:tc>
      </w:tr>
      <w:tr w:rsidR="00230FC0" w:rsidRPr="00C10057">
        <w:trPr>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4"/>
              </w:numPr>
              <w:spacing w:before="160" w:line="240" w:lineRule="auto"/>
              <w:contextualSpacing/>
              <w:rPr>
                <w:sz w:val="18"/>
                <w:szCs w:val="20"/>
                <w:highlight w:val="white"/>
              </w:rPr>
            </w:pPr>
            <w:r w:rsidRPr="00C10057">
              <w:rPr>
                <w:sz w:val="18"/>
                <w:szCs w:val="20"/>
                <w:highlight w:val="white"/>
              </w:rPr>
              <w:t>There is no single WHOIS policy.</w:t>
            </w:r>
          </w:p>
          <w:p w:rsidR="00230FC0" w:rsidRPr="00C10057" w:rsidRDefault="00416749">
            <w:pPr>
              <w:numPr>
                <w:ilvl w:val="0"/>
                <w:numId w:val="4"/>
              </w:numPr>
              <w:spacing w:before="160" w:line="240" w:lineRule="auto"/>
              <w:contextualSpacing/>
              <w:rPr>
                <w:sz w:val="18"/>
                <w:szCs w:val="20"/>
                <w:highlight w:val="white"/>
              </w:rPr>
            </w:pPr>
            <w:r w:rsidRPr="00C10057">
              <w:rPr>
                <w:sz w:val="18"/>
                <w:szCs w:val="20"/>
                <w:highlight w:val="white"/>
              </w:rPr>
              <w:t>The Board did not have power to produce a single WHOIS policy but took actions it is empowered to take  (initiated a PDP, developed a process framework, etc.) .</w:t>
            </w:r>
          </w:p>
          <w:p w:rsidR="00230FC0" w:rsidRPr="00C10057" w:rsidRDefault="00416749">
            <w:pPr>
              <w:numPr>
                <w:ilvl w:val="0"/>
                <w:numId w:val="4"/>
              </w:numPr>
              <w:spacing w:before="160" w:line="240" w:lineRule="auto"/>
              <w:contextualSpacing/>
              <w:rPr>
                <w:sz w:val="18"/>
                <w:szCs w:val="20"/>
                <w:highlight w:val="white"/>
              </w:rPr>
            </w:pPr>
            <w:r w:rsidRPr="00C10057">
              <w:rPr>
                <w:sz w:val="18"/>
                <w:szCs w:val="20"/>
                <w:highlight w:val="white"/>
              </w:rPr>
              <w:t xml:space="preserve">In absence of single WHOIS policy, actions were taken to provide consolidation and navigation - although if improvements could be made to that, it still would not be a single policy </w:t>
            </w:r>
          </w:p>
          <w:p w:rsidR="00230FC0" w:rsidRPr="00C10057" w:rsidRDefault="00416749">
            <w:pPr>
              <w:numPr>
                <w:ilvl w:val="0"/>
                <w:numId w:val="4"/>
              </w:numPr>
              <w:spacing w:before="160" w:line="240" w:lineRule="auto"/>
              <w:contextualSpacing/>
              <w:rPr>
                <w:sz w:val="18"/>
                <w:szCs w:val="20"/>
                <w:highlight w:val="white"/>
              </w:rPr>
            </w:pPr>
            <w:r w:rsidRPr="00C10057">
              <w:rPr>
                <w:sz w:val="18"/>
                <w:szCs w:val="20"/>
                <w:highlight w:val="white"/>
              </w:rPr>
              <w:t xml:space="preserve">RT agreement with subgroup recommendation: </w:t>
            </w:r>
          </w:p>
          <w:p w:rsidR="00230FC0" w:rsidRPr="00C10057" w:rsidRDefault="00416749">
            <w:pPr>
              <w:numPr>
                <w:ilvl w:val="1"/>
                <w:numId w:val="4"/>
              </w:numPr>
              <w:spacing w:before="160" w:line="240" w:lineRule="auto"/>
              <w:contextualSpacing/>
              <w:rPr>
                <w:sz w:val="18"/>
                <w:szCs w:val="20"/>
                <w:highlight w:val="white"/>
              </w:rPr>
            </w:pPr>
            <w:r w:rsidRPr="00C10057">
              <w:rPr>
                <w:sz w:val="18"/>
                <w:szCs w:val="20"/>
                <w:highlight w:val="white"/>
              </w:rPr>
              <w:t xml:space="preserve">Accept that WHOIS1 RT Recommendation is fully implemented. </w:t>
            </w:r>
          </w:p>
          <w:p w:rsidR="00230FC0" w:rsidRPr="00C10057" w:rsidRDefault="00416749">
            <w:pPr>
              <w:numPr>
                <w:ilvl w:val="1"/>
                <w:numId w:val="4"/>
              </w:numPr>
              <w:spacing w:before="160" w:line="240" w:lineRule="auto"/>
              <w:contextualSpacing/>
              <w:rPr>
                <w:sz w:val="18"/>
                <w:szCs w:val="20"/>
                <w:highlight w:val="white"/>
              </w:rPr>
            </w:pPr>
            <w:r w:rsidRPr="00C10057">
              <w:rPr>
                <w:sz w:val="18"/>
                <w:szCs w:val="20"/>
                <w:highlight w:val="white"/>
              </w:rPr>
              <w:t xml:space="preserve">Accept that the adoption of the EWG’s Final Report and development of the framework for the Board-initiated GNSO RDS PDP[s] is </w:t>
            </w:r>
            <w:r w:rsidRPr="00C10057">
              <w:rPr>
                <w:sz w:val="18"/>
                <w:szCs w:val="20"/>
                <w:highlight w:val="white"/>
              </w:rPr>
              <w:lastRenderedPageBreak/>
              <w:t xml:space="preserve">intended to deliver a holistic next generation WHOIS policy framework that would address current set of fragmented and decentralized WHOIS policies. </w:t>
            </w:r>
          </w:p>
          <w:p w:rsidR="00230FC0" w:rsidRPr="00C10057" w:rsidRDefault="00416749">
            <w:pPr>
              <w:numPr>
                <w:ilvl w:val="0"/>
                <w:numId w:val="4"/>
              </w:numPr>
              <w:spacing w:before="160" w:line="240" w:lineRule="auto"/>
              <w:contextualSpacing/>
              <w:rPr>
                <w:sz w:val="18"/>
                <w:szCs w:val="20"/>
                <w:highlight w:val="white"/>
              </w:rPr>
            </w:pPr>
            <w:r w:rsidRPr="00C10057">
              <w:rPr>
                <w:sz w:val="18"/>
                <w:szCs w:val="20"/>
                <w:highlight w:val="white"/>
              </w:rPr>
              <w:t xml:space="preserve">Objection from Stephanie Perrin. </w:t>
            </w:r>
          </w:p>
        </w:tc>
        <w:tc>
          <w:tcPr>
            <w:tcW w:w="4680" w:type="dxa"/>
            <w:shd w:val="clear" w:color="auto" w:fill="auto"/>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rPr>
                <w:sz w:val="18"/>
                <w:szCs w:val="20"/>
              </w:rPr>
            </w:pPr>
            <w:r w:rsidRPr="00C10057">
              <w:rPr>
                <w:sz w:val="18"/>
                <w:szCs w:val="20"/>
              </w:rPr>
              <w:lastRenderedPageBreak/>
              <w:t>n/a</w:t>
            </w: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jc w:val="center"/>
              <w:rPr>
                <w:sz w:val="20"/>
              </w:rPr>
            </w:pPr>
            <w:r w:rsidRPr="00C10057">
              <w:rPr>
                <w:b/>
                <w:color w:val="FFFFFF"/>
                <w:sz w:val="20"/>
              </w:rPr>
              <w:t>WHOIS1 - Rec 3 - Outreach</w:t>
            </w:r>
          </w:p>
        </w:tc>
      </w:tr>
      <w:tr w:rsidR="00230FC0" w:rsidRPr="00C10057">
        <w:trPr>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23"/>
              </w:numPr>
              <w:spacing w:before="160" w:line="240" w:lineRule="auto"/>
              <w:contextualSpacing/>
              <w:rPr>
                <w:sz w:val="18"/>
                <w:szCs w:val="20"/>
                <w:highlight w:val="white"/>
              </w:rPr>
            </w:pPr>
            <w:r w:rsidRPr="00C10057">
              <w:rPr>
                <w:sz w:val="18"/>
                <w:szCs w:val="20"/>
                <w:highlight w:val="white"/>
              </w:rPr>
              <w:t>Materials are available but not up-to-date, not consistent, nor labeled appropriately. (not definitive list for draft report)</w:t>
            </w:r>
          </w:p>
          <w:p w:rsidR="00230FC0" w:rsidRPr="00C10057" w:rsidRDefault="00416749">
            <w:pPr>
              <w:numPr>
                <w:ilvl w:val="0"/>
                <w:numId w:val="23"/>
              </w:numPr>
              <w:spacing w:before="160" w:line="240" w:lineRule="auto"/>
              <w:contextualSpacing/>
              <w:rPr>
                <w:sz w:val="18"/>
                <w:szCs w:val="20"/>
                <w:highlight w:val="white"/>
              </w:rPr>
            </w:pPr>
            <w:r w:rsidRPr="00C10057">
              <w:rPr>
                <w:sz w:val="18"/>
                <w:szCs w:val="20"/>
                <w:highlight w:val="white"/>
              </w:rPr>
              <w:t xml:space="preserve">Insufficient targeted outreach outside the ICANN community. Need to identify where outreach is needed.  </w:t>
            </w:r>
          </w:p>
          <w:p w:rsidR="00230FC0" w:rsidRPr="00C10057" w:rsidRDefault="00416749">
            <w:pPr>
              <w:numPr>
                <w:ilvl w:val="0"/>
                <w:numId w:val="23"/>
              </w:numPr>
              <w:contextualSpacing/>
              <w:rPr>
                <w:sz w:val="18"/>
                <w:szCs w:val="20"/>
                <w:highlight w:val="white"/>
              </w:rPr>
            </w:pPr>
            <w:r w:rsidRPr="00C10057">
              <w:rPr>
                <w:sz w:val="18"/>
                <w:szCs w:val="20"/>
                <w:highlight w:val="white"/>
              </w:rPr>
              <w:t>Agreement on recommendations: [</w:t>
            </w:r>
            <w:r w:rsidRPr="00C10057">
              <w:rPr>
                <w:sz w:val="18"/>
                <w:szCs w:val="20"/>
              </w:rPr>
              <w:t>should not be done until after GDPR</w:t>
            </w:r>
            <w:r w:rsidRPr="00C10057">
              <w:rPr>
                <w:sz w:val="18"/>
                <w:szCs w:val="20"/>
                <w:highlight w:val="white"/>
              </w:rPr>
              <w:t xml:space="preserve">] </w:t>
            </w:r>
          </w:p>
          <w:p w:rsidR="00230FC0" w:rsidRPr="00C10057" w:rsidRDefault="00416749">
            <w:pPr>
              <w:numPr>
                <w:ilvl w:val="1"/>
                <w:numId w:val="23"/>
              </w:numPr>
              <w:spacing w:before="160" w:line="240" w:lineRule="auto"/>
              <w:contextualSpacing/>
              <w:rPr>
                <w:sz w:val="18"/>
                <w:szCs w:val="20"/>
                <w:highlight w:val="white"/>
              </w:rPr>
            </w:pPr>
            <w:r w:rsidRPr="00C10057">
              <w:rPr>
                <w:sz w:val="18"/>
                <w:szCs w:val="20"/>
                <w:highlight w:val="white"/>
              </w:rPr>
              <w:t>Public-facing info related to gTLD registration needs to be reviewed and formulated to ensure up to date and consistent messaging. Information to be updated includes RAA related documents on registrant rights, benefits and responsibilities, the WHOIS portal, and education tools (e.g., ICANN Learn, video tutorials).</w:t>
            </w:r>
          </w:p>
          <w:p w:rsidR="00230FC0" w:rsidRPr="00C10057" w:rsidRDefault="00416749">
            <w:pPr>
              <w:numPr>
                <w:ilvl w:val="1"/>
                <w:numId w:val="23"/>
              </w:numPr>
              <w:spacing w:before="160" w:line="240" w:lineRule="auto"/>
              <w:contextualSpacing/>
              <w:rPr>
                <w:sz w:val="20"/>
              </w:rPr>
            </w:pPr>
            <w:r w:rsidRPr="00C10057">
              <w:rPr>
                <w:sz w:val="18"/>
                <w:szCs w:val="20"/>
                <w:highlight w:val="white"/>
              </w:rPr>
              <w:t>Recommendation to perform outreach activities should be reiterated. Goals for outreach should be more explicitly enumerated.</w:t>
            </w:r>
          </w:p>
        </w:tc>
        <w:tc>
          <w:tcPr>
            <w:tcW w:w="4680" w:type="dxa"/>
            <w:shd w:val="clear" w:color="auto" w:fill="auto"/>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rPr>
                <w:sz w:val="20"/>
              </w:rPr>
            </w:pPr>
            <w:r w:rsidRPr="00C10057">
              <w:rPr>
                <w:sz w:val="20"/>
              </w:rPr>
              <w:t>n/a</w:t>
            </w: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jc w:val="center"/>
              <w:rPr>
                <w:b/>
                <w:color w:val="FFFFFF"/>
                <w:sz w:val="20"/>
              </w:rPr>
            </w:pPr>
            <w:r w:rsidRPr="00C10057">
              <w:rPr>
                <w:b/>
                <w:color w:val="FFFFFF"/>
                <w:sz w:val="20"/>
              </w:rPr>
              <w:t>WHOIS1 - Rec 4 - Compliance</w:t>
            </w:r>
          </w:p>
        </w:tc>
      </w:tr>
      <w:tr w:rsidR="00230FC0" w:rsidRPr="00C10057">
        <w:trPr>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22"/>
              </w:numPr>
              <w:spacing w:before="160" w:line="240" w:lineRule="auto"/>
              <w:contextualSpacing/>
              <w:rPr>
                <w:sz w:val="18"/>
                <w:szCs w:val="20"/>
                <w:highlight w:val="white"/>
              </w:rPr>
            </w:pPr>
            <w:r w:rsidRPr="00C10057">
              <w:rPr>
                <w:sz w:val="18"/>
                <w:szCs w:val="20"/>
                <w:highlight w:val="white"/>
              </w:rPr>
              <w:t xml:space="preserve">Subgroup analyzed findings for rec 4 implementation but has not formulated recommendations yet . </w:t>
            </w:r>
          </w:p>
          <w:p w:rsidR="00230FC0" w:rsidRPr="00C10057" w:rsidRDefault="00416749">
            <w:pPr>
              <w:numPr>
                <w:ilvl w:val="0"/>
                <w:numId w:val="22"/>
              </w:numPr>
              <w:spacing w:before="160" w:line="240" w:lineRule="auto"/>
              <w:contextualSpacing/>
              <w:rPr>
                <w:sz w:val="18"/>
                <w:szCs w:val="20"/>
                <w:highlight w:val="white"/>
              </w:rPr>
            </w:pPr>
            <w:r w:rsidRPr="00C10057">
              <w:rPr>
                <w:sz w:val="18"/>
                <w:szCs w:val="20"/>
                <w:highlight w:val="white"/>
              </w:rPr>
              <w:t xml:space="preserve">Subgroup has not documented findings/analysis for its second objective yet, although it put forward two recommendations associated with that objective. </w:t>
            </w:r>
          </w:p>
          <w:p w:rsidR="00230FC0" w:rsidRPr="00C10057" w:rsidRDefault="00416749">
            <w:pPr>
              <w:numPr>
                <w:ilvl w:val="0"/>
                <w:numId w:val="22"/>
              </w:numPr>
              <w:spacing w:before="160" w:line="240" w:lineRule="auto"/>
              <w:contextualSpacing/>
              <w:rPr>
                <w:sz w:val="18"/>
                <w:szCs w:val="20"/>
                <w:highlight w:val="white"/>
              </w:rPr>
            </w:pPr>
            <w:r w:rsidRPr="00C10057">
              <w:rPr>
                <w:sz w:val="18"/>
                <w:szCs w:val="20"/>
                <w:highlight w:val="white"/>
              </w:rPr>
              <w:t>The compliance and accuracy subgroups need to consider how to reconcile overlaps between their findings and recommendations.</w:t>
            </w:r>
          </w:p>
          <w:p w:rsidR="00230FC0" w:rsidRPr="00C10057" w:rsidRDefault="00416749">
            <w:pPr>
              <w:numPr>
                <w:ilvl w:val="0"/>
                <w:numId w:val="22"/>
              </w:numPr>
              <w:contextualSpacing/>
              <w:rPr>
                <w:sz w:val="18"/>
                <w:szCs w:val="20"/>
              </w:rPr>
            </w:pPr>
            <w:r w:rsidRPr="00C10057">
              <w:rPr>
                <w:sz w:val="18"/>
                <w:szCs w:val="20"/>
              </w:rPr>
              <w:t>Accuracy-related findings/issues remain in the accuracy subgroup report; however, recommendations related to compliance will be integrated into the compliance subgroup report.</w:t>
            </w:r>
          </w:p>
          <w:p w:rsidR="00230FC0" w:rsidRPr="00C10057" w:rsidRDefault="00416749">
            <w:pPr>
              <w:numPr>
                <w:ilvl w:val="0"/>
                <w:numId w:val="2"/>
              </w:numPr>
              <w:spacing w:before="160" w:line="240" w:lineRule="auto"/>
              <w:contextualSpacing/>
              <w:rPr>
                <w:sz w:val="18"/>
                <w:szCs w:val="20"/>
              </w:rPr>
            </w:pPr>
            <w:r w:rsidRPr="00C10057">
              <w:rPr>
                <w:sz w:val="18"/>
                <w:szCs w:val="20"/>
              </w:rPr>
              <w:t xml:space="preserve">Rec (4)1: All policies implemented should require metrics, measurement, auditing, tracking, reporting and enforcement by the compliance team. </w:t>
            </w:r>
          </w:p>
          <w:p w:rsidR="00230FC0" w:rsidRPr="00C10057" w:rsidRDefault="00416749">
            <w:pPr>
              <w:numPr>
                <w:ilvl w:val="0"/>
                <w:numId w:val="2"/>
              </w:numPr>
              <w:spacing w:before="160"/>
              <w:contextualSpacing/>
              <w:rPr>
                <w:sz w:val="18"/>
                <w:szCs w:val="20"/>
              </w:rPr>
            </w:pPr>
            <w:r w:rsidRPr="00C10057">
              <w:rPr>
                <w:sz w:val="18"/>
                <w:szCs w:val="20"/>
              </w:rPr>
              <w:lastRenderedPageBreak/>
              <w:t>Rec (4)2: All DN registrations should be required to adhere to the WHOIS requirements in the 2013 RAA</w:t>
            </w:r>
          </w:p>
        </w:tc>
        <w:tc>
          <w:tcPr>
            <w:tcW w:w="4680" w:type="dxa"/>
            <w:shd w:val="clear" w:color="auto" w:fill="auto"/>
            <w:tcMar>
              <w:top w:w="100" w:type="dxa"/>
              <w:left w:w="100" w:type="dxa"/>
              <w:bottom w:w="100" w:type="dxa"/>
              <w:right w:w="100" w:type="dxa"/>
            </w:tcMar>
          </w:tcPr>
          <w:p w:rsidR="00230FC0" w:rsidRPr="00C10057" w:rsidRDefault="00416749">
            <w:pPr>
              <w:numPr>
                <w:ilvl w:val="0"/>
                <w:numId w:val="2"/>
              </w:numPr>
              <w:spacing w:line="240" w:lineRule="auto"/>
              <w:contextualSpacing/>
              <w:rPr>
                <w:sz w:val="18"/>
                <w:szCs w:val="20"/>
                <w:highlight w:val="white"/>
              </w:rPr>
            </w:pPr>
            <w:r w:rsidRPr="00C10057">
              <w:rPr>
                <w:sz w:val="18"/>
                <w:szCs w:val="20"/>
                <w:highlight w:val="white"/>
              </w:rPr>
              <w:lastRenderedPageBreak/>
              <w:t xml:space="preserve">Susan to confirm questions for ICANN compliance. </w:t>
            </w:r>
          </w:p>
          <w:p w:rsidR="00230FC0" w:rsidRPr="00C10057" w:rsidRDefault="00416749">
            <w:pPr>
              <w:numPr>
                <w:ilvl w:val="0"/>
                <w:numId w:val="2"/>
              </w:numPr>
              <w:spacing w:line="240" w:lineRule="auto"/>
              <w:contextualSpacing/>
              <w:rPr>
                <w:sz w:val="18"/>
                <w:szCs w:val="20"/>
              </w:rPr>
            </w:pPr>
            <w:r w:rsidRPr="00C10057">
              <w:rPr>
                <w:sz w:val="18"/>
                <w:szCs w:val="20"/>
              </w:rPr>
              <w:t>Subgroup to try testing recommendation on WHOIS policies that are being examined by this review (e.g., PP, IDN) to see if metrics/monitoring/reporting and enforcement have been defined for those</w:t>
            </w:r>
          </w:p>
          <w:p w:rsidR="00230FC0" w:rsidRPr="00C10057" w:rsidRDefault="00416749">
            <w:pPr>
              <w:numPr>
                <w:ilvl w:val="0"/>
                <w:numId w:val="2"/>
              </w:numPr>
              <w:spacing w:line="240" w:lineRule="auto"/>
              <w:contextualSpacing/>
              <w:rPr>
                <w:sz w:val="18"/>
                <w:szCs w:val="20"/>
              </w:rPr>
            </w:pPr>
            <w:r w:rsidRPr="00C10057">
              <w:rPr>
                <w:sz w:val="18"/>
                <w:szCs w:val="20"/>
              </w:rPr>
              <w:t xml:space="preserve">Susan to formulate recommendation to include compliance taking a risk-based approach that is not just reactive - </w:t>
            </w:r>
            <w:r w:rsidRPr="00C10057">
              <w:rPr>
                <w:i/>
                <w:sz w:val="18"/>
                <w:szCs w:val="20"/>
              </w:rPr>
              <w:t>addressing systemic complaints and taking a risk-based approach</w:t>
            </w:r>
          </w:p>
          <w:p w:rsidR="00230FC0" w:rsidRPr="00C10057" w:rsidRDefault="00416749">
            <w:pPr>
              <w:numPr>
                <w:ilvl w:val="0"/>
                <w:numId w:val="2"/>
              </w:numPr>
              <w:spacing w:line="240" w:lineRule="auto"/>
              <w:contextualSpacing/>
              <w:rPr>
                <w:sz w:val="18"/>
                <w:szCs w:val="20"/>
              </w:rPr>
            </w:pPr>
            <w:r w:rsidRPr="00C10057">
              <w:rPr>
                <w:sz w:val="18"/>
                <w:szCs w:val="20"/>
              </w:rPr>
              <w:t>Susan to examine CCT recommendation on DAAR to build this subgroup’s recommendation</w:t>
            </w:r>
          </w:p>
          <w:p w:rsidR="00230FC0" w:rsidRPr="00C10057" w:rsidRDefault="00416749">
            <w:pPr>
              <w:numPr>
                <w:ilvl w:val="0"/>
                <w:numId w:val="2"/>
              </w:numPr>
              <w:spacing w:line="240" w:lineRule="auto"/>
              <w:contextualSpacing/>
              <w:rPr>
                <w:sz w:val="18"/>
                <w:szCs w:val="20"/>
              </w:rPr>
            </w:pPr>
            <w:r w:rsidRPr="00C10057">
              <w:rPr>
                <w:sz w:val="18"/>
                <w:szCs w:val="20"/>
              </w:rPr>
              <w:t xml:space="preserve">Susan to research 2013 RAA negotiation materials to determine any reasons for allowing grandfathering. </w:t>
            </w: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jc w:val="center"/>
              <w:rPr>
                <w:sz w:val="20"/>
              </w:rPr>
            </w:pPr>
            <w:r w:rsidRPr="00C10057">
              <w:rPr>
                <w:b/>
                <w:color w:val="FFFFFF"/>
                <w:sz w:val="20"/>
              </w:rPr>
              <w:t>WHOIS1 - Recs 5-9 - Data Accuracy</w:t>
            </w:r>
          </w:p>
        </w:tc>
      </w:tr>
      <w:tr w:rsidR="00230FC0" w:rsidRPr="00C10057">
        <w:trPr>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17"/>
              </w:numPr>
              <w:contextualSpacing/>
              <w:rPr>
                <w:sz w:val="18"/>
                <w:szCs w:val="20"/>
                <w:highlight w:val="white"/>
              </w:rPr>
            </w:pPr>
            <w:r w:rsidRPr="00C10057">
              <w:rPr>
                <w:sz w:val="18"/>
                <w:szCs w:val="20"/>
              </w:rPr>
              <w:t>ICANN has done a lot of work but accuracy reports are not linked to the measurable objectives identified by WHOIS1</w:t>
            </w:r>
          </w:p>
          <w:p w:rsidR="00230FC0" w:rsidRPr="00C10057" w:rsidRDefault="00416749">
            <w:pPr>
              <w:numPr>
                <w:ilvl w:val="0"/>
                <w:numId w:val="17"/>
              </w:numPr>
              <w:spacing w:before="160" w:line="240" w:lineRule="auto"/>
              <w:contextualSpacing/>
              <w:rPr>
                <w:sz w:val="18"/>
                <w:szCs w:val="20"/>
                <w:highlight w:val="white"/>
              </w:rPr>
            </w:pPr>
            <w:r w:rsidRPr="00C10057">
              <w:rPr>
                <w:sz w:val="18"/>
                <w:szCs w:val="20"/>
                <w:highlight w:val="white"/>
              </w:rPr>
              <w:t xml:space="preserve">However, there is a question as to what extent the objectives can be achieved. </w:t>
            </w:r>
          </w:p>
          <w:p w:rsidR="00230FC0" w:rsidRPr="00C10057" w:rsidRDefault="00416749">
            <w:pPr>
              <w:numPr>
                <w:ilvl w:val="0"/>
                <w:numId w:val="17"/>
              </w:numPr>
              <w:spacing w:before="160" w:line="240" w:lineRule="auto"/>
              <w:contextualSpacing/>
              <w:rPr>
                <w:sz w:val="18"/>
                <w:szCs w:val="20"/>
                <w:highlight w:val="white"/>
              </w:rPr>
            </w:pPr>
            <w:r w:rsidRPr="00C10057">
              <w:rPr>
                <w:sz w:val="18"/>
                <w:szCs w:val="20"/>
                <w:highlight w:val="white"/>
              </w:rPr>
              <w:t>Findings/issues/recommendations will be handled by the two subgroups to avoid duplication of effort.</w:t>
            </w:r>
          </w:p>
        </w:tc>
        <w:tc>
          <w:tcPr>
            <w:tcW w:w="4680" w:type="dxa"/>
            <w:shd w:val="clear" w:color="auto" w:fill="auto"/>
            <w:tcMar>
              <w:top w:w="100" w:type="dxa"/>
              <w:left w:w="100" w:type="dxa"/>
              <w:bottom w:w="100" w:type="dxa"/>
              <w:right w:w="100" w:type="dxa"/>
            </w:tcMar>
          </w:tcPr>
          <w:p w:rsidR="00230FC0" w:rsidRPr="00C10057" w:rsidRDefault="00416749">
            <w:pPr>
              <w:widowControl w:val="0"/>
              <w:numPr>
                <w:ilvl w:val="0"/>
                <w:numId w:val="18"/>
              </w:numPr>
              <w:spacing w:line="240" w:lineRule="auto"/>
              <w:contextualSpacing/>
              <w:rPr>
                <w:sz w:val="18"/>
                <w:szCs w:val="20"/>
              </w:rPr>
            </w:pPr>
            <w:r w:rsidRPr="00C10057">
              <w:rPr>
                <w:sz w:val="18"/>
                <w:szCs w:val="20"/>
              </w:rPr>
              <w:t>Lili to look into Compliance actions and link their work to data accuracy subgroup</w:t>
            </w:r>
          </w:p>
          <w:p w:rsidR="00230FC0" w:rsidRPr="00C10057" w:rsidRDefault="00416749">
            <w:pPr>
              <w:widowControl w:val="0"/>
              <w:numPr>
                <w:ilvl w:val="0"/>
                <w:numId w:val="18"/>
              </w:numPr>
              <w:spacing w:line="240" w:lineRule="auto"/>
              <w:contextualSpacing/>
              <w:rPr>
                <w:sz w:val="18"/>
                <w:szCs w:val="20"/>
              </w:rPr>
            </w:pPr>
            <w:r w:rsidRPr="00C10057">
              <w:rPr>
                <w:sz w:val="18"/>
                <w:szCs w:val="20"/>
              </w:rPr>
              <w:t xml:space="preserve">Lili to confirm list of questions to ICANN Compliance </w:t>
            </w: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jc w:val="center"/>
              <w:rPr>
                <w:sz w:val="20"/>
              </w:rPr>
            </w:pPr>
            <w:r w:rsidRPr="00C10057">
              <w:rPr>
                <w:b/>
                <w:color w:val="FFFFFF"/>
                <w:sz w:val="20"/>
              </w:rPr>
              <w:t>WHOIS1 - Rec 10 - Privacy/Proxy Services</w:t>
            </w:r>
          </w:p>
        </w:tc>
      </w:tr>
      <w:tr w:rsidR="00230FC0" w:rsidRPr="00C10057">
        <w:trPr>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16"/>
              </w:numPr>
              <w:spacing w:line="240" w:lineRule="auto"/>
              <w:contextualSpacing/>
              <w:rPr>
                <w:sz w:val="18"/>
                <w:szCs w:val="20"/>
              </w:rPr>
            </w:pPr>
            <w:r w:rsidRPr="00C10057">
              <w:rPr>
                <w:sz w:val="18"/>
                <w:szCs w:val="20"/>
              </w:rPr>
              <w:t>Several Issues identified based on findings - of those, Volker has an action to clarify</w:t>
            </w:r>
          </w:p>
          <w:p w:rsidR="00230FC0" w:rsidRPr="00C10057" w:rsidRDefault="00416749">
            <w:pPr>
              <w:numPr>
                <w:ilvl w:val="0"/>
                <w:numId w:val="16"/>
              </w:numPr>
              <w:spacing w:line="240" w:lineRule="auto"/>
              <w:contextualSpacing/>
              <w:rPr>
                <w:sz w:val="18"/>
                <w:szCs w:val="20"/>
              </w:rPr>
            </w:pPr>
            <w:r w:rsidRPr="00C10057">
              <w:rPr>
                <w:sz w:val="18"/>
                <w:szCs w:val="20"/>
              </w:rPr>
              <w:t>Two new issues identified: the length of time this recommendation took to implement, and risk for PP service abuse by criminals</w:t>
            </w:r>
          </w:p>
          <w:p w:rsidR="00230FC0" w:rsidRPr="00C10057" w:rsidRDefault="00416749">
            <w:pPr>
              <w:numPr>
                <w:ilvl w:val="0"/>
                <w:numId w:val="16"/>
              </w:numPr>
              <w:spacing w:line="240" w:lineRule="auto"/>
              <w:contextualSpacing/>
              <w:rPr>
                <w:sz w:val="18"/>
                <w:szCs w:val="20"/>
              </w:rPr>
            </w:pPr>
            <w:r w:rsidRPr="00C10057">
              <w:rPr>
                <w:sz w:val="18"/>
                <w:szCs w:val="20"/>
              </w:rPr>
              <w:t>No recommendations at this time specific to Rec 10, but the RT should track the progress of the IRT and consider recommendation(s) related to compliance if necessary. In addition to specific recommendations, there will likely be a general recommendation about the duration of policy development/implementation.</w:t>
            </w:r>
          </w:p>
        </w:tc>
        <w:tc>
          <w:tcPr>
            <w:tcW w:w="4680" w:type="dxa"/>
            <w:shd w:val="clear" w:color="auto" w:fill="auto"/>
            <w:tcMar>
              <w:top w:w="100" w:type="dxa"/>
              <w:left w:w="100" w:type="dxa"/>
              <w:bottom w:w="100" w:type="dxa"/>
              <w:right w:w="100" w:type="dxa"/>
            </w:tcMar>
          </w:tcPr>
          <w:p w:rsidR="00230FC0" w:rsidRPr="00C10057" w:rsidRDefault="00416749">
            <w:pPr>
              <w:widowControl w:val="0"/>
              <w:numPr>
                <w:ilvl w:val="0"/>
                <w:numId w:val="20"/>
              </w:numPr>
              <w:spacing w:line="240" w:lineRule="auto"/>
              <w:contextualSpacing/>
              <w:rPr>
                <w:b/>
                <w:sz w:val="18"/>
                <w:szCs w:val="20"/>
              </w:rPr>
            </w:pPr>
            <w:r w:rsidRPr="00C10057">
              <w:rPr>
                <w:sz w:val="18"/>
                <w:szCs w:val="20"/>
              </w:rPr>
              <w:t>Volker to clarify following issues for RT:</w:t>
            </w:r>
          </w:p>
          <w:p w:rsidR="00230FC0" w:rsidRPr="00C10057" w:rsidRDefault="00416749">
            <w:pPr>
              <w:widowControl w:val="0"/>
              <w:numPr>
                <w:ilvl w:val="1"/>
                <w:numId w:val="20"/>
              </w:numPr>
              <w:spacing w:line="240" w:lineRule="auto"/>
              <w:contextualSpacing/>
              <w:rPr>
                <w:b/>
                <w:i/>
                <w:sz w:val="18"/>
                <w:szCs w:val="20"/>
              </w:rPr>
            </w:pPr>
            <w:r w:rsidRPr="00C10057">
              <w:rPr>
                <w:i/>
                <w:sz w:val="18"/>
                <w:szCs w:val="20"/>
              </w:rPr>
              <w:t xml:space="preserve">Issue #1: Current funding proposals for accreditation program create concerns of ICANN failing the goal of onboarding all providers of such services due to inflation of costs. ICANN Org staff seems to be unable to justify proposed accreditation fees, which may endanger the entire program. </w:t>
            </w:r>
          </w:p>
          <w:p w:rsidR="00230FC0" w:rsidRPr="00C10057" w:rsidRDefault="00416749">
            <w:pPr>
              <w:widowControl w:val="0"/>
              <w:numPr>
                <w:ilvl w:val="1"/>
                <w:numId w:val="20"/>
              </w:numPr>
              <w:spacing w:line="240" w:lineRule="auto"/>
              <w:contextualSpacing/>
              <w:rPr>
                <w:b/>
                <w:i/>
                <w:sz w:val="18"/>
                <w:szCs w:val="20"/>
              </w:rPr>
            </w:pPr>
            <w:r w:rsidRPr="00C10057">
              <w:rPr>
                <w:i/>
                <w:sz w:val="18"/>
                <w:szCs w:val="20"/>
              </w:rPr>
              <w:t>Issue #2: Impact of GDPR data redaction requirements on privacy services are yet unknown, but significant impact is expected as personal data becomes hidden by default without use of privacy services.</w:t>
            </w: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jc w:val="center"/>
              <w:rPr>
                <w:sz w:val="20"/>
              </w:rPr>
            </w:pPr>
            <w:r w:rsidRPr="00C10057">
              <w:rPr>
                <w:b/>
                <w:color w:val="FFFFFF"/>
                <w:sz w:val="20"/>
              </w:rPr>
              <w:t>WHOIS 1 - Rec 11 - Common Interface</w:t>
            </w:r>
          </w:p>
        </w:tc>
      </w:tr>
      <w:tr w:rsidR="00230FC0" w:rsidRPr="00C10057">
        <w:trPr>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13"/>
              </w:numPr>
              <w:spacing w:line="240" w:lineRule="auto"/>
              <w:contextualSpacing/>
              <w:rPr>
                <w:sz w:val="18"/>
                <w:szCs w:val="20"/>
              </w:rPr>
            </w:pPr>
            <w:r w:rsidRPr="00C10057">
              <w:rPr>
                <w:sz w:val="18"/>
                <w:szCs w:val="20"/>
              </w:rPr>
              <w:t>InterNIC was not overhauled, but common interface was provided</w:t>
            </w:r>
          </w:p>
          <w:p w:rsidR="00230FC0" w:rsidRPr="00C10057" w:rsidRDefault="00416749">
            <w:pPr>
              <w:numPr>
                <w:ilvl w:val="0"/>
                <w:numId w:val="13"/>
              </w:numPr>
              <w:spacing w:line="240" w:lineRule="auto"/>
              <w:contextualSpacing/>
              <w:rPr>
                <w:sz w:val="18"/>
                <w:szCs w:val="20"/>
              </w:rPr>
            </w:pPr>
            <w:r w:rsidRPr="00C10057">
              <w:rPr>
                <w:sz w:val="18"/>
                <w:szCs w:val="20"/>
              </w:rPr>
              <w:t>However, common interface has no metrics that can be used to determine its effectiveness</w:t>
            </w:r>
          </w:p>
          <w:p w:rsidR="00230FC0" w:rsidRPr="00C10057" w:rsidRDefault="00416749">
            <w:pPr>
              <w:numPr>
                <w:ilvl w:val="0"/>
                <w:numId w:val="13"/>
              </w:numPr>
              <w:spacing w:line="240" w:lineRule="auto"/>
              <w:contextualSpacing/>
              <w:rPr>
                <w:sz w:val="18"/>
                <w:szCs w:val="20"/>
              </w:rPr>
            </w:pPr>
            <w:r w:rsidRPr="00C10057">
              <w:rPr>
                <w:sz w:val="18"/>
                <w:szCs w:val="20"/>
              </w:rPr>
              <w:t>Metrics and SLAs could be used to address this and also to proactively spot non-compliance</w:t>
            </w:r>
          </w:p>
          <w:p w:rsidR="00230FC0" w:rsidRPr="00C10057" w:rsidRDefault="00416749">
            <w:pPr>
              <w:numPr>
                <w:ilvl w:val="0"/>
                <w:numId w:val="13"/>
              </w:numPr>
              <w:spacing w:line="240" w:lineRule="auto"/>
              <w:contextualSpacing/>
              <w:rPr>
                <w:sz w:val="18"/>
                <w:szCs w:val="20"/>
              </w:rPr>
            </w:pPr>
            <w:r w:rsidRPr="00C10057">
              <w:rPr>
                <w:sz w:val="18"/>
                <w:szCs w:val="20"/>
              </w:rPr>
              <w:t>In any recommendation made, be more explicit about intent of common interface (one stop access to data, across all gTLDs and registrars/resellers). It would apply to either the current common interface or any future replacement for it.</w:t>
            </w:r>
          </w:p>
        </w:tc>
        <w:tc>
          <w:tcPr>
            <w:tcW w:w="4680" w:type="dxa"/>
            <w:shd w:val="clear" w:color="auto" w:fill="auto"/>
            <w:tcMar>
              <w:top w:w="100" w:type="dxa"/>
              <w:left w:w="100" w:type="dxa"/>
              <w:bottom w:w="100" w:type="dxa"/>
              <w:right w:w="100" w:type="dxa"/>
            </w:tcMar>
          </w:tcPr>
          <w:p w:rsidR="00230FC0" w:rsidRPr="00C10057" w:rsidRDefault="00416749">
            <w:pPr>
              <w:widowControl w:val="0"/>
              <w:spacing w:line="240" w:lineRule="auto"/>
              <w:rPr>
                <w:sz w:val="20"/>
              </w:rPr>
            </w:pPr>
            <w:r w:rsidRPr="00C10057">
              <w:rPr>
                <w:sz w:val="18"/>
                <w:szCs w:val="20"/>
              </w:rPr>
              <w:t>n/a</w:t>
            </w: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jc w:val="center"/>
              <w:rPr>
                <w:sz w:val="20"/>
              </w:rPr>
            </w:pPr>
            <w:r w:rsidRPr="00C10057">
              <w:rPr>
                <w:b/>
                <w:color w:val="FFFFFF"/>
                <w:sz w:val="20"/>
              </w:rPr>
              <w:lastRenderedPageBreak/>
              <w:t>WHOIS 1 - Rec 12-14 - IDNs</w:t>
            </w:r>
          </w:p>
        </w:tc>
      </w:tr>
      <w:tr w:rsidR="00230FC0" w:rsidRPr="00C10057">
        <w:trPr>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6"/>
              </w:numPr>
              <w:spacing w:line="240" w:lineRule="auto"/>
              <w:contextualSpacing/>
              <w:rPr>
                <w:sz w:val="18"/>
                <w:szCs w:val="20"/>
              </w:rPr>
            </w:pPr>
            <w:r w:rsidRPr="00C10057">
              <w:rPr>
                <w:sz w:val="18"/>
                <w:szCs w:val="20"/>
              </w:rPr>
              <w:t xml:space="preserve">Work was done to the extent it can be done without an RDAP-based WHOIS system. </w:t>
            </w:r>
          </w:p>
          <w:p w:rsidR="00230FC0" w:rsidRPr="00C10057" w:rsidRDefault="00416749">
            <w:pPr>
              <w:numPr>
                <w:ilvl w:val="0"/>
                <w:numId w:val="6"/>
              </w:numPr>
              <w:spacing w:line="240" w:lineRule="auto"/>
              <w:contextualSpacing/>
              <w:rPr>
                <w:sz w:val="18"/>
                <w:szCs w:val="20"/>
              </w:rPr>
            </w:pPr>
            <w:r w:rsidRPr="00C10057">
              <w:rPr>
                <w:sz w:val="18"/>
                <w:szCs w:val="20"/>
              </w:rPr>
              <w:t>Note the commercial feasibility loophole in the current contracts allows registrars and registries to not implement RDAP.</w:t>
            </w:r>
          </w:p>
        </w:tc>
        <w:tc>
          <w:tcPr>
            <w:tcW w:w="4680" w:type="dxa"/>
            <w:shd w:val="clear" w:color="auto" w:fill="auto"/>
            <w:tcMar>
              <w:top w:w="100" w:type="dxa"/>
              <w:left w:w="100" w:type="dxa"/>
              <w:bottom w:w="100" w:type="dxa"/>
              <w:right w:w="100" w:type="dxa"/>
            </w:tcMar>
          </w:tcPr>
          <w:p w:rsidR="00230FC0" w:rsidRPr="00C10057" w:rsidRDefault="00416749">
            <w:pPr>
              <w:widowControl w:val="0"/>
              <w:spacing w:line="240" w:lineRule="auto"/>
              <w:rPr>
                <w:sz w:val="20"/>
              </w:rPr>
            </w:pPr>
            <w:r w:rsidRPr="00C10057">
              <w:rPr>
                <w:sz w:val="18"/>
                <w:szCs w:val="20"/>
              </w:rPr>
              <w:t>n/a</w:t>
            </w: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jc w:val="center"/>
              <w:rPr>
                <w:sz w:val="20"/>
              </w:rPr>
            </w:pPr>
            <w:r w:rsidRPr="00C10057">
              <w:rPr>
                <w:b/>
                <w:color w:val="FFFFFF"/>
                <w:sz w:val="20"/>
              </w:rPr>
              <w:t>WHOIS 1 - Recs 15-16 - Plan/Annual Report</w:t>
            </w:r>
          </w:p>
        </w:tc>
      </w:tr>
      <w:tr w:rsidR="00230FC0" w:rsidRPr="00C10057">
        <w:trPr>
          <w:trHeight w:val="480"/>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trHeight w:val="3040"/>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25"/>
              </w:numPr>
              <w:spacing w:before="160" w:line="240" w:lineRule="auto"/>
              <w:contextualSpacing/>
              <w:rPr>
                <w:sz w:val="18"/>
                <w:szCs w:val="20"/>
                <w:highlight w:val="white"/>
              </w:rPr>
            </w:pPr>
            <w:r w:rsidRPr="00C10057">
              <w:rPr>
                <w:sz w:val="18"/>
                <w:szCs w:val="20"/>
                <w:highlight w:val="white"/>
              </w:rPr>
              <w:t xml:space="preserve">Recommendation to improve methodology when documenting implementation steps/milestones: </w:t>
            </w:r>
            <w:r w:rsidRPr="00C10057">
              <w:rPr>
                <w:sz w:val="18"/>
                <w:szCs w:val="20"/>
                <w:highlight w:val="white"/>
              </w:rPr>
              <w:br/>
              <w:t>A more effective reporting structure is needed</w:t>
            </w:r>
          </w:p>
          <w:p w:rsidR="00230FC0" w:rsidRPr="00C10057" w:rsidRDefault="00416749">
            <w:pPr>
              <w:numPr>
                <w:ilvl w:val="0"/>
                <w:numId w:val="25"/>
              </w:numPr>
              <w:spacing w:before="160" w:line="240" w:lineRule="auto"/>
              <w:contextualSpacing/>
              <w:rPr>
                <w:sz w:val="18"/>
                <w:szCs w:val="20"/>
                <w:highlight w:val="white"/>
              </w:rPr>
            </w:pPr>
            <w:r w:rsidRPr="00C10057">
              <w:rPr>
                <w:sz w:val="18"/>
                <w:szCs w:val="20"/>
                <w:highlight w:val="white"/>
              </w:rPr>
              <w:t>Outcome-based reporting, not just activity-based reporting</w:t>
            </w:r>
          </w:p>
          <w:p w:rsidR="00230FC0" w:rsidRPr="00C10057" w:rsidRDefault="00416749">
            <w:pPr>
              <w:numPr>
                <w:ilvl w:val="0"/>
                <w:numId w:val="25"/>
              </w:numPr>
              <w:spacing w:before="160" w:line="240" w:lineRule="auto"/>
              <w:contextualSpacing/>
              <w:rPr>
                <w:sz w:val="18"/>
                <w:szCs w:val="20"/>
                <w:highlight w:val="white"/>
              </w:rPr>
            </w:pPr>
            <w:r w:rsidRPr="00C10057">
              <w:rPr>
                <w:sz w:val="18"/>
                <w:szCs w:val="20"/>
                <w:highlight w:val="white"/>
              </w:rPr>
              <w:t xml:space="preserve">Develop/track progress against a work plan, not just an action plan. </w:t>
            </w:r>
          </w:p>
          <w:p w:rsidR="00230FC0" w:rsidRPr="00C10057" w:rsidRDefault="00416749">
            <w:pPr>
              <w:numPr>
                <w:ilvl w:val="0"/>
                <w:numId w:val="25"/>
              </w:numPr>
              <w:spacing w:before="160" w:line="240" w:lineRule="auto"/>
              <w:contextualSpacing/>
              <w:rPr>
                <w:sz w:val="18"/>
                <w:szCs w:val="20"/>
                <w:highlight w:val="white"/>
              </w:rPr>
            </w:pPr>
            <w:r w:rsidRPr="00C10057">
              <w:rPr>
                <w:sz w:val="18"/>
                <w:szCs w:val="20"/>
                <w:highlight w:val="white"/>
              </w:rPr>
              <w:t>Make similar recommendation for reporting on implementation of this RT’s recommendations and the annual WHOIS reports, but including desired characteristics for those reports to make them more effective. For example, are quarterly status reports in implementation a substitute for an annual report on the implementation</w:t>
            </w:r>
          </w:p>
        </w:tc>
        <w:tc>
          <w:tcPr>
            <w:tcW w:w="4680" w:type="dxa"/>
            <w:shd w:val="clear" w:color="auto" w:fill="auto"/>
            <w:tcMar>
              <w:top w:w="100" w:type="dxa"/>
              <w:left w:w="100" w:type="dxa"/>
              <w:bottom w:w="100" w:type="dxa"/>
              <w:right w:w="100" w:type="dxa"/>
            </w:tcMar>
          </w:tcPr>
          <w:p w:rsidR="00230FC0" w:rsidRPr="00C10057" w:rsidRDefault="00416749">
            <w:pPr>
              <w:numPr>
                <w:ilvl w:val="0"/>
                <w:numId w:val="7"/>
              </w:numPr>
              <w:contextualSpacing/>
              <w:rPr>
                <w:sz w:val="18"/>
                <w:szCs w:val="20"/>
              </w:rPr>
            </w:pPr>
            <w:r w:rsidRPr="00C10057">
              <w:rPr>
                <w:sz w:val="18"/>
                <w:szCs w:val="20"/>
              </w:rPr>
              <w:t>Cathrin and Lili to coordinate on recommendations related to Reports also addressed under Strategic Priority</w:t>
            </w:r>
          </w:p>
        </w:tc>
      </w:tr>
      <w:tr w:rsidR="00230FC0" w:rsidRPr="00C10057">
        <w:trPr>
          <w:trHeight w:val="120"/>
          <w:jc w:val="center"/>
        </w:trPr>
        <w:tc>
          <w:tcPr>
            <w:tcW w:w="9360" w:type="dxa"/>
            <w:gridSpan w:val="2"/>
            <w:shd w:val="clear" w:color="auto" w:fill="4A86E8"/>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Subgroup 2 - Anything New</w:t>
            </w:r>
          </w:p>
        </w:tc>
      </w:tr>
      <w:tr w:rsidR="00230FC0" w:rsidRPr="00C10057">
        <w:trPr>
          <w:trHeight w:val="360"/>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trHeight w:val="740"/>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9"/>
              </w:numPr>
              <w:contextualSpacing/>
              <w:rPr>
                <w:sz w:val="18"/>
                <w:szCs w:val="20"/>
              </w:rPr>
            </w:pPr>
            <w:r w:rsidRPr="00C10057">
              <w:rPr>
                <w:sz w:val="18"/>
                <w:szCs w:val="20"/>
              </w:rPr>
              <w:t>Several items have compliance implications - to be addressed by the compliance subgroup</w:t>
            </w:r>
          </w:p>
          <w:p w:rsidR="00230FC0" w:rsidRPr="00C10057" w:rsidRDefault="00416749">
            <w:pPr>
              <w:numPr>
                <w:ilvl w:val="0"/>
                <w:numId w:val="9"/>
              </w:numPr>
              <w:contextualSpacing/>
              <w:rPr>
                <w:sz w:val="18"/>
                <w:szCs w:val="20"/>
              </w:rPr>
            </w:pPr>
            <w:r w:rsidRPr="00C10057">
              <w:rPr>
                <w:sz w:val="18"/>
                <w:szCs w:val="20"/>
              </w:rPr>
              <w:t>Several items already covered by WHOIS1 rec subgroups</w:t>
            </w:r>
          </w:p>
          <w:p w:rsidR="00230FC0" w:rsidRPr="00C10057" w:rsidRDefault="00416749">
            <w:pPr>
              <w:numPr>
                <w:ilvl w:val="0"/>
                <w:numId w:val="9"/>
              </w:numPr>
              <w:contextualSpacing/>
              <w:rPr>
                <w:sz w:val="18"/>
                <w:szCs w:val="20"/>
              </w:rPr>
            </w:pPr>
            <w:r w:rsidRPr="00C10057">
              <w:rPr>
                <w:sz w:val="18"/>
                <w:szCs w:val="20"/>
              </w:rPr>
              <w:t>Agree to deal with Reseller lack of transparency under Consumer Trust subgroup</w:t>
            </w:r>
          </w:p>
          <w:p w:rsidR="00230FC0" w:rsidRPr="00C10057" w:rsidRDefault="00416749">
            <w:pPr>
              <w:numPr>
                <w:ilvl w:val="0"/>
                <w:numId w:val="9"/>
              </w:numPr>
              <w:contextualSpacing/>
              <w:rPr>
                <w:sz w:val="18"/>
                <w:szCs w:val="20"/>
              </w:rPr>
            </w:pPr>
            <w:r w:rsidRPr="00C10057">
              <w:rPr>
                <w:sz w:val="18"/>
                <w:szCs w:val="20"/>
              </w:rPr>
              <w:t>Agree to make general comment re: dissatisfaction with handling of conflicts with privacy law (under auspices of overall report)</w:t>
            </w:r>
          </w:p>
          <w:p w:rsidR="00230FC0" w:rsidRPr="00C10057" w:rsidRDefault="00416749">
            <w:pPr>
              <w:numPr>
                <w:ilvl w:val="0"/>
                <w:numId w:val="9"/>
              </w:numPr>
              <w:contextualSpacing/>
              <w:rPr>
                <w:sz w:val="18"/>
                <w:szCs w:val="20"/>
              </w:rPr>
            </w:pPr>
            <w:r w:rsidRPr="00C10057">
              <w:rPr>
                <w:sz w:val="18"/>
                <w:szCs w:val="20"/>
              </w:rPr>
              <w:t>Noting overall that the impact of GDPR has not yet been addressed in this review (under auspices of overall report’s preamble)</w:t>
            </w:r>
          </w:p>
        </w:tc>
        <w:tc>
          <w:tcPr>
            <w:tcW w:w="4680" w:type="dxa"/>
            <w:shd w:val="clear" w:color="auto" w:fill="auto"/>
            <w:tcMar>
              <w:top w:w="100" w:type="dxa"/>
              <w:left w:w="100" w:type="dxa"/>
              <w:bottom w:w="100" w:type="dxa"/>
              <w:right w:w="100" w:type="dxa"/>
            </w:tcMar>
          </w:tcPr>
          <w:p w:rsidR="00230FC0" w:rsidRPr="00C10057" w:rsidRDefault="00416749">
            <w:pPr>
              <w:numPr>
                <w:ilvl w:val="0"/>
                <w:numId w:val="5"/>
              </w:numPr>
              <w:contextualSpacing/>
              <w:rPr>
                <w:sz w:val="18"/>
                <w:szCs w:val="20"/>
              </w:rPr>
            </w:pPr>
            <w:r w:rsidRPr="00C10057">
              <w:rPr>
                <w:sz w:val="18"/>
                <w:szCs w:val="20"/>
              </w:rPr>
              <w:t>Stephanie to formulate text describing the lack of strategic plan for WHOIS leads to disjoint development of policies and procedures</w:t>
            </w: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spacing w:line="240" w:lineRule="auto"/>
              <w:jc w:val="center"/>
              <w:rPr>
                <w:b/>
                <w:color w:val="FFFFFF"/>
                <w:sz w:val="20"/>
                <w:highlight w:val="white"/>
              </w:rPr>
            </w:pPr>
            <w:r w:rsidRPr="00C10057">
              <w:rPr>
                <w:b/>
                <w:color w:val="FFFFFF"/>
                <w:sz w:val="20"/>
              </w:rPr>
              <w:t>Subgroup 3 - Law Enforcement Needs</w:t>
            </w:r>
          </w:p>
        </w:tc>
      </w:tr>
      <w:tr w:rsidR="00230FC0" w:rsidRPr="00C10057">
        <w:trPr>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19"/>
              </w:numPr>
              <w:spacing w:line="240" w:lineRule="auto"/>
              <w:contextualSpacing/>
              <w:rPr>
                <w:sz w:val="18"/>
                <w:szCs w:val="20"/>
              </w:rPr>
            </w:pPr>
            <w:r w:rsidRPr="00C10057">
              <w:rPr>
                <w:sz w:val="18"/>
                <w:szCs w:val="20"/>
              </w:rPr>
              <w:lastRenderedPageBreak/>
              <w:t>It would be useful to survey LE now, to establish a baseline for comparison</w:t>
            </w:r>
          </w:p>
          <w:p w:rsidR="00230FC0" w:rsidRPr="00C10057" w:rsidRDefault="00416749">
            <w:pPr>
              <w:numPr>
                <w:ilvl w:val="0"/>
                <w:numId w:val="19"/>
              </w:numPr>
              <w:spacing w:line="240" w:lineRule="auto"/>
              <w:contextualSpacing/>
              <w:rPr>
                <w:sz w:val="18"/>
                <w:szCs w:val="20"/>
              </w:rPr>
            </w:pPr>
            <w:r w:rsidRPr="00C10057">
              <w:rPr>
                <w:sz w:val="18"/>
                <w:szCs w:val="20"/>
              </w:rPr>
              <w:t>The same survey would need to be re-run post-GDPR to assess impact</w:t>
            </w:r>
          </w:p>
          <w:p w:rsidR="00230FC0" w:rsidRPr="00C10057" w:rsidRDefault="00416749">
            <w:pPr>
              <w:numPr>
                <w:ilvl w:val="0"/>
                <w:numId w:val="19"/>
              </w:numPr>
              <w:spacing w:line="240" w:lineRule="auto"/>
              <w:contextualSpacing/>
              <w:rPr>
                <w:sz w:val="18"/>
                <w:szCs w:val="20"/>
              </w:rPr>
            </w:pPr>
            <w:r w:rsidRPr="00C10057">
              <w:rPr>
                <w:sz w:val="18"/>
                <w:szCs w:val="20"/>
              </w:rPr>
              <w:t>It is important the survey have global reach</w:t>
            </w:r>
          </w:p>
          <w:p w:rsidR="00230FC0" w:rsidRPr="00C10057" w:rsidRDefault="00416749">
            <w:pPr>
              <w:numPr>
                <w:ilvl w:val="0"/>
                <w:numId w:val="19"/>
              </w:numPr>
              <w:spacing w:line="240" w:lineRule="auto"/>
              <w:contextualSpacing/>
              <w:rPr>
                <w:sz w:val="18"/>
                <w:szCs w:val="20"/>
              </w:rPr>
            </w:pPr>
            <w:r w:rsidRPr="00C10057">
              <w:rPr>
                <w:sz w:val="18"/>
                <w:szCs w:val="20"/>
              </w:rPr>
              <w:t>The full RT can assist on survey methodology</w:t>
            </w:r>
          </w:p>
          <w:p w:rsidR="00230FC0" w:rsidRPr="00C10057" w:rsidRDefault="00416749">
            <w:pPr>
              <w:numPr>
                <w:ilvl w:val="0"/>
                <w:numId w:val="19"/>
              </w:numPr>
              <w:spacing w:line="240" w:lineRule="auto"/>
              <w:contextualSpacing/>
              <w:rPr>
                <w:sz w:val="18"/>
                <w:szCs w:val="20"/>
              </w:rPr>
            </w:pPr>
            <w:r w:rsidRPr="00C10057">
              <w:rPr>
                <w:sz w:val="18"/>
                <w:szCs w:val="20"/>
              </w:rPr>
              <w:t>Lili agreed to join subgroup to assist - especially in conducting outreach to her Interpol contacts.</w:t>
            </w:r>
          </w:p>
          <w:p w:rsidR="00230FC0" w:rsidRPr="00C10057" w:rsidRDefault="00416749">
            <w:pPr>
              <w:numPr>
                <w:ilvl w:val="0"/>
                <w:numId w:val="19"/>
              </w:numPr>
              <w:spacing w:line="240" w:lineRule="auto"/>
              <w:rPr>
                <w:sz w:val="18"/>
                <w:szCs w:val="20"/>
              </w:rPr>
            </w:pPr>
            <w:r w:rsidRPr="00C10057">
              <w:rPr>
                <w:sz w:val="18"/>
                <w:szCs w:val="20"/>
              </w:rPr>
              <w:t xml:space="preserve">Goal of survey: to examine the questions raised in the objective (speed, availability, accuracy of data…). </w:t>
            </w:r>
          </w:p>
          <w:p w:rsidR="00230FC0" w:rsidRPr="00C10057" w:rsidRDefault="00416749">
            <w:pPr>
              <w:numPr>
                <w:ilvl w:val="0"/>
                <w:numId w:val="19"/>
              </w:numPr>
              <w:spacing w:line="240" w:lineRule="auto"/>
              <w:rPr>
                <w:sz w:val="18"/>
                <w:szCs w:val="20"/>
              </w:rPr>
            </w:pPr>
            <w:r w:rsidRPr="00C10057">
              <w:rPr>
                <w:sz w:val="18"/>
                <w:szCs w:val="20"/>
              </w:rPr>
              <w:t>Stephanie joining LE needs subgroup in addition to Lili</w:t>
            </w:r>
          </w:p>
        </w:tc>
        <w:tc>
          <w:tcPr>
            <w:tcW w:w="4680" w:type="dxa"/>
            <w:shd w:val="clear" w:color="auto" w:fill="auto"/>
            <w:tcMar>
              <w:top w:w="100" w:type="dxa"/>
              <w:left w:w="100" w:type="dxa"/>
              <w:bottom w:w="100" w:type="dxa"/>
              <w:right w:w="100" w:type="dxa"/>
            </w:tcMar>
          </w:tcPr>
          <w:p w:rsidR="00230FC0" w:rsidRPr="00C10057" w:rsidRDefault="00416749">
            <w:pPr>
              <w:widowControl w:val="0"/>
              <w:numPr>
                <w:ilvl w:val="0"/>
                <w:numId w:val="15"/>
              </w:numPr>
              <w:spacing w:line="240" w:lineRule="auto"/>
              <w:contextualSpacing/>
              <w:rPr>
                <w:sz w:val="18"/>
                <w:szCs w:val="20"/>
              </w:rPr>
            </w:pPr>
            <w:r w:rsidRPr="00C10057">
              <w:rPr>
                <w:sz w:val="18"/>
                <w:szCs w:val="20"/>
              </w:rPr>
              <w:t xml:space="preserve">Cathrin to draft survey questions for subgroup to review the questions </w:t>
            </w:r>
          </w:p>
          <w:p w:rsidR="00230FC0" w:rsidRPr="00C10057" w:rsidRDefault="00230FC0">
            <w:pPr>
              <w:widowControl w:val="0"/>
              <w:spacing w:line="240" w:lineRule="auto"/>
              <w:rPr>
                <w:sz w:val="18"/>
                <w:szCs w:val="20"/>
              </w:rPr>
            </w:pP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Subgroup 4 - Consumer Trust</w:t>
            </w:r>
          </w:p>
        </w:tc>
      </w:tr>
      <w:tr w:rsidR="00230FC0" w:rsidRPr="00C10057">
        <w:trPr>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11"/>
              </w:numPr>
              <w:spacing w:line="240" w:lineRule="auto"/>
              <w:contextualSpacing/>
              <w:rPr>
                <w:sz w:val="18"/>
                <w:szCs w:val="20"/>
              </w:rPr>
            </w:pPr>
            <w:r w:rsidRPr="00C10057">
              <w:rPr>
                <w:sz w:val="18"/>
                <w:szCs w:val="20"/>
              </w:rPr>
              <w:t>Definition of consumer to be addressed must be broad and include Internet users</w:t>
            </w:r>
          </w:p>
          <w:p w:rsidR="00230FC0" w:rsidRPr="00C10057" w:rsidRDefault="00416749">
            <w:pPr>
              <w:numPr>
                <w:ilvl w:val="0"/>
                <w:numId w:val="11"/>
              </w:numPr>
              <w:spacing w:line="240" w:lineRule="auto"/>
              <w:contextualSpacing/>
              <w:rPr>
                <w:sz w:val="18"/>
                <w:szCs w:val="20"/>
              </w:rPr>
            </w:pPr>
            <w:r w:rsidRPr="00C10057">
              <w:rPr>
                <w:sz w:val="18"/>
                <w:szCs w:val="20"/>
              </w:rPr>
              <w:t>WHOIS contributes to consumer trust, mostly indirectly</w:t>
            </w:r>
          </w:p>
          <w:p w:rsidR="00230FC0" w:rsidRPr="00C10057" w:rsidRDefault="00416749">
            <w:pPr>
              <w:numPr>
                <w:ilvl w:val="0"/>
                <w:numId w:val="11"/>
              </w:numPr>
              <w:spacing w:line="240" w:lineRule="auto"/>
              <w:contextualSpacing/>
              <w:rPr>
                <w:sz w:val="18"/>
                <w:szCs w:val="20"/>
              </w:rPr>
            </w:pPr>
            <w:r w:rsidRPr="00C10057">
              <w:rPr>
                <w:sz w:val="18"/>
                <w:szCs w:val="20"/>
              </w:rPr>
              <w:t>Subgroup will take feedback on-board and use outputs of other subgroups to assess impact of WHOIS1 rec implementation on consumer trust</w:t>
            </w:r>
          </w:p>
          <w:p w:rsidR="00230FC0" w:rsidRPr="00C10057" w:rsidRDefault="00416749">
            <w:pPr>
              <w:numPr>
                <w:ilvl w:val="0"/>
                <w:numId w:val="11"/>
              </w:numPr>
              <w:spacing w:line="240" w:lineRule="auto"/>
              <w:contextualSpacing/>
              <w:rPr>
                <w:sz w:val="20"/>
              </w:rPr>
            </w:pPr>
            <w:r w:rsidRPr="00C10057">
              <w:rPr>
                <w:sz w:val="18"/>
                <w:szCs w:val="20"/>
              </w:rPr>
              <w:t>Strong direction but still need to do work, being aware of potential for drift into non-WHOIS aspects of CT.</w:t>
            </w:r>
          </w:p>
          <w:p w:rsidR="00230FC0" w:rsidRPr="00C10057" w:rsidRDefault="00416749">
            <w:pPr>
              <w:numPr>
                <w:ilvl w:val="0"/>
                <w:numId w:val="11"/>
              </w:numPr>
              <w:spacing w:line="240" w:lineRule="auto"/>
              <w:contextualSpacing/>
              <w:rPr>
                <w:i/>
                <w:sz w:val="20"/>
              </w:rPr>
            </w:pPr>
            <w:r w:rsidRPr="00C10057">
              <w:rPr>
                <w:sz w:val="18"/>
                <w:szCs w:val="20"/>
              </w:rPr>
              <w:t>Subgroup should formulate a recommendation noting lack of Reseller transparency in WHOIS as a potential gap, to be addressed through policy and/or contractual changes</w:t>
            </w:r>
          </w:p>
        </w:tc>
        <w:tc>
          <w:tcPr>
            <w:tcW w:w="4680" w:type="dxa"/>
            <w:shd w:val="clear" w:color="auto" w:fill="auto"/>
            <w:tcMar>
              <w:top w:w="100" w:type="dxa"/>
              <w:left w:w="100" w:type="dxa"/>
              <w:bottom w:w="100" w:type="dxa"/>
              <w:right w:w="100" w:type="dxa"/>
            </w:tcMar>
          </w:tcPr>
          <w:p w:rsidR="00230FC0" w:rsidRPr="00C10057" w:rsidRDefault="00416749">
            <w:pPr>
              <w:widowControl w:val="0"/>
              <w:numPr>
                <w:ilvl w:val="0"/>
                <w:numId w:val="24"/>
              </w:numPr>
              <w:pBdr>
                <w:top w:val="nil"/>
                <w:left w:val="nil"/>
                <w:bottom w:val="nil"/>
                <w:right w:val="nil"/>
                <w:between w:val="nil"/>
              </w:pBdr>
              <w:spacing w:line="240" w:lineRule="auto"/>
              <w:contextualSpacing/>
              <w:rPr>
                <w:sz w:val="18"/>
                <w:szCs w:val="20"/>
              </w:rPr>
            </w:pPr>
            <w:r w:rsidRPr="00C10057">
              <w:rPr>
                <w:sz w:val="18"/>
                <w:szCs w:val="20"/>
              </w:rPr>
              <w:t>Erika to take feedback on-board and use outputs of other subgroups to assess impact of WHOIS1 rec implementation on consumer trust</w:t>
            </w:r>
          </w:p>
          <w:p w:rsidR="00230FC0" w:rsidRPr="00C10057" w:rsidRDefault="00416749">
            <w:pPr>
              <w:widowControl w:val="0"/>
              <w:numPr>
                <w:ilvl w:val="0"/>
                <w:numId w:val="24"/>
              </w:numPr>
              <w:pBdr>
                <w:top w:val="nil"/>
                <w:left w:val="nil"/>
                <w:bottom w:val="nil"/>
                <w:right w:val="nil"/>
                <w:between w:val="nil"/>
              </w:pBdr>
              <w:spacing w:line="240" w:lineRule="auto"/>
              <w:contextualSpacing/>
              <w:rPr>
                <w:sz w:val="18"/>
                <w:szCs w:val="20"/>
              </w:rPr>
            </w:pPr>
            <w:r w:rsidRPr="00C10057">
              <w:rPr>
                <w:sz w:val="18"/>
                <w:szCs w:val="20"/>
              </w:rPr>
              <w:t>Subgroup to take on “reseller lack of transparency” topic</w:t>
            </w: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Subgroup 5 - Safeguarding Registrant Data</w:t>
            </w:r>
          </w:p>
        </w:tc>
      </w:tr>
      <w:tr w:rsidR="00230FC0" w:rsidRPr="00C10057">
        <w:trPr>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1"/>
              </w:numPr>
              <w:contextualSpacing/>
              <w:rPr>
                <w:sz w:val="18"/>
                <w:szCs w:val="20"/>
              </w:rPr>
            </w:pPr>
            <w:r w:rsidRPr="00C10057">
              <w:rPr>
                <w:sz w:val="18"/>
                <w:szCs w:val="20"/>
              </w:rPr>
              <w:t>Formulate new recommendation that subject to subgroup review of current contracts to confirm gap, ICANN should use contemporary standards for securing data storage and retention in its contracts.</w:t>
            </w:r>
          </w:p>
          <w:p w:rsidR="00230FC0" w:rsidRPr="00C10057" w:rsidRDefault="00416749">
            <w:pPr>
              <w:numPr>
                <w:ilvl w:val="0"/>
                <w:numId w:val="1"/>
              </w:numPr>
              <w:contextualSpacing/>
              <w:rPr>
                <w:sz w:val="18"/>
                <w:szCs w:val="20"/>
              </w:rPr>
            </w:pPr>
            <w:r w:rsidRPr="00C10057">
              <w:rPr>
                <w:sz w:val="18"/>
                <w:szCs w:val="20"/>
              </w:rPr>
              <w:t xml:space="preserve">Subgroup defers request to interview escrow providers and contracted parties. </w:t>
            </w:r>
          </w:p>
          <w:p w:rsidR="00230FC0" w:rsidRPr="00C10057" w:rsidRDefault="00416749">
            <w:pPr>
              <w:numPr>
                <w:ilvl w:val="0"/>
                <w:numId w:val="1"/>
              </w:numPr>
              <w:contextualSpacing/>
              <w:rPr>
                <w:sz w:val="18"/>
                <w:szCs w:val="20"/>
              </w:rPr>
            </w:pPr>
            <w:r w:rsidRPr="00C10057">
              <w:rPr>
                <w:sz w:val="18"/>
                <w:szCs w:val="20"/>
              </w:rPr>
              <w:t xml:space="preserve">Subgroup wishes to review of contracts in place with escrow providers </w:t>
            </w:r>
          </w:p>
          <w:p w:rsidR="00230FC0" w:rsidRPr="00C10057" w:rsidRDefault="00416749">
            <w:pPr>
              <w:numPr>
                <w:ilvl w:val="0"/>
                <w:numId w:val="1"/>
              </w:numPr>
              <w:contextualSpacing/>
              <w:rPr>
                <w:sz w:val="18"/>
                <w:szCs w:val="20"/>
              </w:rPr>
            </w:pPr>
            <w:r w:rsidRPr="00C10057">
              <w:rPr>
                <w:sz w:val="18"/>
                <w:szCs w:val="20"/>
              </w:rPr>
              <w:t>Subgroup to develop further findings/issues after examining contracts</w:t>
            </w:r>
          </w:p>
          <w:p w:rsidR="00230FC0" w:rsidRPr="00C10057" w:rsidRDefault="00416749">
            <w:pPr>
              <w:numPr>
                <w:ilvl w:val="0"/>
                <w:numId w:val="1"/>
              </w:numPr>
              <w:contextualSpacing/>
              <w:rPr>
                <w:sz w:val="18"/>
                <w:szCs w:val="20"/>
              </w:rPr>
            </w:pPr>
            <w:r w:rsidRPr="00C10057">
              <w:rPr>
                <w:sz w:val="18"/>
                <w:szCs w:val="20"/>
              </w:rPr>
              <w:t>RT does not wish to recommend that escrow providers notify individual registrants because local breach notification laws would apply</w:t>
            </w:r>
          </w:p>
        </w:tc>
        <w:tc>
          <w:tcPr>
            <w:tcW w:w="4680" w:type="dxa"/>
            <w:shd w:val="clear" w:color="auto" w:fill="auto"/>
            <w:tcMar>
              <w:top w:w="100" w:type="dxa"/>
              <w:left w:w="100" w:type="dxa"/>
              <w:bottom w:w="100" w:type="dxa"/>
              <w:right w:w="100" w:type="dxa"/>
            </w:tcMar>
          </w:tcPr>
          <w:p w:rsidR="00230FC0" w:rsidRPr="00C10057" w:rsidRDefault="00416749">
            <w:pPr>
              <w:widowControl w:val="0"/>
              <w:numPr>
                <w:ilvl w:val="0"/>
                <w:numId w:val="12"/>
              </w:numPr>
              <w:pBdr>
                <w:top w:val="nil"/>
                <w:left w:val="nil"/>
                <w:bottom w:val="nil"/>
                <w:right w:val="nil"/>
                <w:between w:val="nil"/>
              </w:pBdr>
              <w:spacing w:line="240" w:lineRule="auto"/>
              <w:contextualSpacing/>
              <w:rPr>
                <w:sz w:val="20"/>
              </w:rPr>
            </w:pPr>
            <w:r w:rsidRPr="00C10057">
              <w:rPr>
                <w:sz w:val="18"/>
                <w:szCs w:val="20"/>
              </w:rPr>
              <w:t>Questions for ICANN org :</w:t>
            </w:r>
          </w:p>
          <w:p w:rsidR="00230FC0" w:rsidRPr="00C10057" w:rsidRDefault="00416749">
            <w:pPr>
              <w:numPr>
                <w:ilvl w:val="1"/>
                <w:numId w:val="12"/>
              </w:numPr>
              <w:contextualSpacing/>
              <w:rPr>
                <w:sz w:val="18"/>
                <w:szCs w:val="20"/>
              </w:rPr>
            </w:pPr>
            <w:r w:rsidRPr="00C10057">
              <w:rPr>
                <w:sz w:val="18"/>
                <w:szCs w:val="20"/>
              </w:rPr>
              <w:t>What are contractual requirements to secure stored escrow data</w:t>
            </w:r>
          </w:p>
          <w:p w:rsidR="00230FC0" w:rsidRPr="00C10057" w:rsidRDefault="00416749">
            <w:pPr>
              <w:numPr>
                <w:ilvl w:val="1"/>
                <w:numId w:val="12"/>
              </w:numPr>
              <w:contextualSpacing/>
              <w:rPr>
                <w:sz w:val="18"/>
                <w:szCs w:val="20"/>
              </w:rPr>
            </w:pPr>
            <w:r w:rsidRPr="00C10057">
              <w:rPr>
                <w:sz w:val="18"/>
                <w:szCs w:val="20"/>
              </w:rPr>
              <w:t>What are contractual requirements to notify ICANN in the event of breach</w:t>
            </w:r>
          </w:p>
          <w:p w:rsidR="00230FC0" w:rsidRPr="00C10057" w:rsidRDefault="00416749">
            <w:pPr>
              <w:numPr>
                <w:ilvl w:val="1"/>
                <w:numId w:val="12"/>
              </w:numPr>
              <w:contextualSpacing/>
              <w:rPr>
                <w:sz w:val="18"/>
                <w:szCs w:val="20"/>
              </w:rPr>
            </w:pPr>
            <w:r w:rsidRPr="00C10057">
              <w:rPr>
                <w:sz w:val="18"/>
                <w:szCs w:val="20"/>
              </w:rPr>
              <w:t>How do you secure registrant data under your control?</w:t>
            </w:r>
          </w:p>
          <w:p w:rsidR="00230FC0" w:rsidRPr="00C10057" w:rsidRDefault="00416749">
            <w:pPr>
              <w:numPr>
                <w:ilvl w:val="0"/>
                <w:numId w:val="12"/>
              </w:numPr>
              <w:contextualSpacing/>
              <w:rPr>
                <w:sz w:val="18"/>
                <w:szCs w:val="20"/>
              </w:rPr>
            </w:pPr>
            <w:r w:rsidRPr="00C10057">
              <w:rPr>
                <w:sz w:val="18"/>
                <w:szCs w:val="20"/>
              </w:rPr>
              <w:t>Alan to refine question number 3.</w:t>
            </w:r>
          </w:p>
          <w:p w:rsidR="00230FC0" w:rsidRPr="00C10057" w:rsidRDefault="00416749">
            <w:pPr>
              <w:numPr>
                <w:ilvl w:val="0"/>
                <w:numId w:val="12"/>
              </w:numPr>
              <w:contextualSpacing/>
              <w:rPr>
                <w:sz w:val="18"/>
                <w:szCs w:val="20"/>
              </w:rPr>
            </w:pPr>
            <w:r w:rsidRPr="00C10057">
              <w:rPr>
                <w:sz w:val="18"/>
                <w:szCs w:val="20"/>
              </w:rPr>
              <w:t>Stephanie to provide draft formulation to Alan</w:t>
            </w:r>
          </w:p>
          <w:p w:rsidR="00230FC0" w:rsidRPr="00C10057" w:rsidRDefault="00416749">
            <w:pPr>
              <w:numPr>
                <w:ilvl w:val="0"/>
                <w:numId w:val="12"/>
              </w:numPr>
              <w:contextualSpacing/>
              <w:rPr>
                <w:sz w:val="18"/>
                <w:szCs w:val="20"/>
              </w:rPr>
            </w:pPr>
            <w:r w:rsidRPr="00C10057">
              <w:rPr>
                <w:sz w:val="18"/>
                <w:szCs w:val="20"/>
              </w:rPr>
              <w:t xml:space="preserve">Alan to confirm revisions made RT agreements. </w:t>
            </w: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Draft Report</w:t>
            </w:r>
          </w:p>
        </w:tc>
      </w:tr>
      <w:tr w:rsidR="00230FC0" w:rsidRPr="00C10057">
        <w:trPr>
          <w:trHeight w:val="420"/>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lastRenderedPageBreak/>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trHeight w:val="420"/>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21"/>
              </w:numPr>
              <w:contextualSpacing/>
              <w:rPr>
                <w:sz w:val="18"/>
                <w:szCs w:val="20"/>
              </w:rPr>
            </w:pPr>
            <w:r w:rsidRPr="00C10057">
              <w:rPr>
                <w:sz w:val="18"/>
                <w:szCs w:val="20"/>
              </w:rPr>
              <w:t>Lead off with statement about GDPR and how to the RT handled the changing landscape</w:t>
            </w:r>
          </w:p>
          <w:p w:rsidR="00230FC0" w:rsidRPr="00C10057" w:rsidRDefault="00416749">
            <w:pPr>
              <w:numPr>
                <w:ilvl w:val="0"/>
                <w:numId w:val="21"/>
              </w:numPr>
              <w:contextualSpacing/>
              <w:rPr>
                <w:sz w:val="18"/>
                <w:szCs w:val="20"/>
              </w:rPr>
            </w:pPr>
            <w:r w:rsidRPr="00C10057">
              <w:rPr>
                <w:sz w:val="18"/>
                <w:szCs w:val="20"/>
              </w:rPr>
              <w:t>Include a statement (observation/recommendation) about how ICANN handled GDPR and other applicable laws</w:t>
            </w:r>
          </w:p>
          <w:p w:rsidR="00230FC0" w:rsidRPr="00C10057" w:rsidRDefault="00416749">
            <w:pPr>
              <w:numPr>
                <w:ilvl w:val="0"/>
                <w:numId w:val="21"/>
              </w:numPr>
              <w:contextualSpacing/>
              <w:rPr>
                <w:sz w:val="18"/>
                <w:szCs w:val="20"/>
              </w:rPr>
            </w:pPr>
            <w:r w:rsidRPr="00C10057">
              <w:rPr>
                <w:sz w:val="18"/>
                <w:szCs w:val="20"/>
              </w:rPr>
              <w:t xml:space="preserve">Within each subgroup report, include standard section that would address any impact the GDPR has on its findings (e.g. where recommendations apply without impact by data protection laws, areas that might need to be reassessed after policies change as a result of applicable laws) </w:t>
            </w:r>
          </w:p>
        </w:tc>
        <w:tc>
          <w:tcPr>
            <w:tcW w:w="4680" w:type="dxa"/>
            <w:shd w:val="clear" w:color="auto" w:fill="auto"/>
            <w:tcMar>
              <w:top w:w="100" w:type="dxa"/>
              <w:left w:w="100" w:type="dxa"/>
              <w:bottom w:w="100" w:type="dxa"/>
              <w:right w:w="100" w:type="dxa"/>
            </w:tcMar>
          </w:tcPr>
          <w:p w:rsidR="00230FC0" w:rsidRPr="00C10057" w:rsidRDefault="00230FC0">
            <w:pPr>
              <w:widowControl w:val="0"/>
              <w:spacing w:line="240" w:lineRule="auto"/>
              <w:rPr>
                <w:sz w:val="20"/>
              </w:rPr>
            </w:pP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jc w:val="center"/>
              <w:rPr>
                <w:sz w:val="20"/>
              </w:rPr>
            </w:pPr>
            <w:r w:rsidRPr="00C10057">
              <w:rPr>
                <w:b/>
                <w:color w:val="FFFFFF"/>
                <w:sz w:val="20"/>
              </w:rPr>
              <w:t>Next Steps</w:t>
            </w:r>
          </w:p>
        </w:tc>
      </w:tr>
      <w:tr w:rsidR="00230FC0" w:rsidRPr="00C10057">
        <w:trPr>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jc w:val="center"/>
        </w:trPr>
        <w:tc>
          <w:tcPr>
            <w:tcW w:w="4680" w:type="dxa"/>
            <w:shd w:val="clear" w:color="auto" w:fill="auto"/>
            <w:tcMar>
              <w:top w:w="100" w:type="dxa"/>
              <w:left w:w="100" w:type="dxa"/>
              <w:bottom w:w="100" w:type="dxa"/>
              <w:right w:w="100" w:type="dxa"/>
            </w:tcMar>
          </w:tcPr>
          <w:p w:rsidR="00230FC0" w:rsidRPr="00C10057" w:rsidRDefault="00416749">
            <w:pPr>
              <w:numPr>
                <w:ilvl w:val="0"/>
                <w:numId w:val="8"/>
              </w:numPr>
              <w:contextualSpacing/>
              <w:rPr>
                <w:sz w:val="18"/>
                <w:szCs w:val="20"/>
              </w:rPr>
            </w:pPr>
            <w:r w:rsidRPr="00C10057">
              <w:rPr>
                <w:sz w:val="18"/>
                <w:szCs w:val="20"/>
              </w:rPr>
              <w:t xml:space="preserve">Subgroups to use WHOIS implementation assessment framework as a checklist </w:t>
            </w:r>
          </w:p>
          <w:p w:rsidR="00230FC0" w:rsidRPr="00C10057" w:rsidRDefault="00416749">
            <w:pPr>
              <w:numPr>
                <w:ilvl w:val="0"/>
                <w:numId w:val="8"/>
              </w:numPr>
              <w:contextualSpacing/>
              <w:rPr>
                <w:sz w:val="18"/>
                <w:szCs w:val="20"/>
              </w:rPr>
            </w:pPr>
            <w:r w:rsidRPr="00C10057">
              <w:rPr>
                <w:sz w:val="18"/>
                <w:szCs w:val="20"/>
              </w:rPr>
              <w:t xml:space="preserve">No adjustments needed to work plan </w:t>
            </w:r>
          </w:p>
          <w:p w:rsidR="00230FC0" w:rsidRPr="00C10057" w:rsidRDefault="00416749">
            <w:pPr>
              <w:numPr>
                <w:ilvl w:val="0"/>
                <w:numId w:val="8"/>
              </w:numPr>
              <w:contextualSpacing/>
              <w:rPr>
                <w:sz w:val="18"/>
                <w:szCs w:val="20"/>
              </w:rPr>
            </w:pPr>
            <w:r w:rsidRPr="00C10057">
              <w:rPr>
                <w:sz w:val="18"/>
                <w:szCs w:val="20"/>
              </w:rPr>
              <w:t>Proceed with the current draft report structure (with caveat that changes may be needed)</w:t>
            </w:r>
          </w:p>
          <w:p w:rsidR="00230FC0" w:rsidRPr="00C10057" w:rsidRDefault="00230FC0">
            <w:pPr>
              <w:rPr>
                <w:sz w:val="18"/>
                <w:szCs w:val="20"/>
              </w:rPr>
            </w:pPr>
          </w:p>
        </w:tc>
        <w:tc>
          <w:tcPr>
            <w:tcW w:w="4680" w:type="dxa"/>
            <w:shd w:val="clear" w:color="auto" w:fill="auto"/>
            <w:tcMar>
              <w:top w:w="100" w:type="dxa"/>
              <w:left w:w="100" w:type="dxa"/>
              <w:bottom w:w="100" w:type="dxa"/>
              <w:right w:w="100" w:type="dxa"/>
            </w:tcMar>
          </w:tcPr>
          <w:p w:rsidR="00230FC0" w:rsidRPr="00C10057" w:rsidRDefault="00416749">
            <w:pPr>
              <w:widowControl w:val="0"/>
              <w:numPr>
                <w:ilvl w:val="0"/>
                <w:numId w:val="10"/>
              </w:numPr>
              <w:spacing w:line="240" w:lineRule="auto"/>
              <w:contextualSpacing/>
              <w:rPr>
                <w:sz w:val="18"/>
                <w:szCs w:val="20"/>
              </w:rPr>
            </w:pPr>
            <w:r w:rsidRPr="00C10057">
              <w:rPr>
                <w:sz w:val="18"/>
                <w:szCs w:val="20"/>
              </w:rPr>
              <w:t>ICANN org to ensure/monitor the ICANN62 session does not conflict with the Auctions Proceed session. (Session was submitted as a high interest session by Alan)</w:t>
            </w:r>
          </w:p>
          <w:p w:rsidR="00230FC0" w:rsidRPr="00C10057" w:rsidRDefault="00416749">
            <w:pPr>
              <w:widowControl w:val="0"/>
              <w:numPr>
                <w:ilvl w:val="0"/>
                <w:numId w:val="10"/>
              </w:numPr>
              <w:spacing w:line="240" w:lineRule="auto"/>
              <w:contextualSpacing/>
              <w:rPr>
                <w:sz w:val="18"/>
                <w:szCs w:val="20"/>
              </w:rPr>
            </w:pPr>
            <w:r w:rsidRPr="00C10057">
              <w:rPr>
                <w:sz w:val="18"/>
                <w:szCs w:val="20"/>
              </w:rPr>
              <w:t>Leadership to contact Volker and Thomas to determine if the matters that prevented them from participating actively are expected to continue.</w:t>
            </w:r>
          </w:p>
          <w:p w:rsidR="00230FC0" w:rsidRPr="00C10057" w:rsidRDefault="00416749">
            <w:pPr>
              <w:widowControl w:val="0"/>
              <w:numPr>
                <w:ilvl w:val="0"/>
                <w:numId w:val="10"/>
              </w:numPr>
              <w:spacing w:line="240" w:lineRule="auto"/>
              <w:contextualSpacing/>
              <w:rPr>
                <w:sz w:val="18"/>
                <w:szCs w:val="20"/>
              </w:rPr>
            </w:pPr>
            <w:r w:rsidRPr="00C10057">
              <w:rPr>
                <w:sz w:val="18"/>
                <w:szCs w:val="20"/>
              </w:rPr>
              <w:t>Rapporteurs to reach out to Stephanie if need help (Stephanie’s areas of expertise: risk management, privacy, and law enforcement)</w:t>
            </w:r>
          </w:p>
          <w:p w:rsidR="00230FC0" w:rsidRPr="00C10057" w:rsidRDefault="00416749">
            <w:pPr>
              <w:widowControl w:val="0"/>
              <w:numPr>
                <w:ilvl w:val="0"/>
                <w:numId w:val="10"/>
              </w:numPr>
              <w:spacing w:line="240" w:lineRule="auto"/>
              <w:contextualSpacing/>
              <w:rPr>
                <w:sz w:val="18"/>
                <w:szCs w:val="20"/>
              </w:rPr>
            </w:pPr>
            <w:r w:rsidRPr="00C10057">
              <w:rPr>
                <w:sz w:val="18"/>
                <w:szCs w:val="20"/>
              </w:rPr>
              <w:t>Stephanie and Lili to be added to Subgroup 3 - Law Enforcement</w:t>
            </w:r>
          </w:p>
          <w:p w:rsidR="00230FC0" w:rsidRPr="00C10057" w:rsidRDefault="00416749">
            <w:pPr>
              <w:widowControl w:val="0"/>
              <w:numPr>
                <w:ilvl w:val="0"/>
                <w:numId w:val="10"/>
              </w:numPr>
              <w:spacing w:line="240" w:lineRule="auto"/>
              <w:contextualSpacing/>
              <w:rPr>
                <w:sz w:val="18"/>
                <w:szCs w:val="20"/>
              </w:rPr>
            </w:pPr>
            <w:r w:rsidRPr="00C10057">
              <w:rPr>
                <w:sz w:val="18"/>
                <w:szCs w:val="20"/>
              </w:rPr>
              <w:t>Dmitry to be added to Rec #10: Privacy/Proxy Services</w:t>
            </w:r>
          </w:p>
          <w:p w:rsidR="00230FC0" w:rsidRPr="00C10057" w:rsidRDefault="00416749">
            <w:pPr>
              <w:widowControl w:val="0"/>
              <w:numPr>
                <w:ilvl w:val="0"/>
                <w:numId w:val="10"/>
              </w:numPr>
              <w:spacing w:line="240" w:lineRule="auto"/>
              <w:contextualSpacing/>
              <w:rPr>
                <w:sz w:val="18"/>
                <w:szCs w:val="20"/>
              </w:rPr>
            </w:pPr>
            <w:r w:rsidRPr="00C10057">
              <w:rPr>
                <w:sz w:val="18"/>
                <w:szCs w:val="20"/>
              </w:rPr>
              <w:t>ICANN org to contact meetings team to enquire about availability for a 2 day face-to-face meeting in July (preferably in Brussels).</w:t>
            </w:r>
          </w:p>
          <w:p w:rsidR="00230FC0" w:rsidRPr="00C10057" w:rsidRDefault="00416749">
            <w:pPr>
              <w:numPr>
                <w:ilvl w:val="0"/>
                <w:numId w:val="10"/>
              </w:numPr>
              <w:contextualSpacing/>
              <w:rPr>
                <w:sz w:val="18"/>
                <w:szCs w:val="20"/>
              </w:rPr>
            </w:pPr>
            <w:r w:rsidRPr="00C10057">
              <w:rPr>
                <w:sz w:val="18"/>
                <w:szCs w:val="20"/>
              </w:rPr>
              <w:t xml:space="preserve">ICANN org to insert Introduction section to contain over-arching findings and recommendations, including impact of GDPR </w:t>
            </w:r>
          </w:p>
          <w:p w:rsidR="00230FC0" w:rsidRPr="00C10057" w:rsidRDefault="00416749">
            <w:pPr>
              <w:numPr>
                <w:ilvl w:val="0"/>
                <w:numId w:val="10"/>
              </w:numPr>
              <w:contextualSpacing/>
              <w:rPr>
                <w:sz w:val="18"/>
                <w:szCs w:val="20"/>
              </w:rPr>
            </w:pPr>
            <w:r w:rsidRPr="00C10057">
              <w:rPr>
                <w:sz w:val="18"/>
                <w:szCs w:val="20"/>
              </w:rPr>
              <w:t xml:space="preserve">ICANN org to begin populating sections that pertain to background, methodology etc. </w:t>
            </w:r>
          </w:p>
          <w:p w:rsidR="00230FC0" w:rsidRPr="00C10057" w:rsidRDefault="00416749">
            <w:pPr>
              <w:numPr>
                <w:ilvl w:val="0"/>
                <w:numId w:val="10"/>
              </w:numPr>
              <w:contextualSpacing/>
              <w:rPr>
                <w:sz w:val="18"/>
                <w:szCs w:val="20"/>
              </w:rPr>
            </w:pPr>
            <w:r w:rsidRPr="00C10057">
              <w:rPr>
                <w:sz w:val="18"/>
                <w:szCs w:val="20"/>
              </w:rPr>
              <w:t xml:space="preserve">No plenary call scheduled for 30 April. </w:t>
            </w:r>
          </w:p>
        </w:tc>
      </w:tr>
      <w:tr w:rsidR="00230FC0" w:rsidRPr="00C10057">
        <w:trPr>
          <w:trHeight w:val="420"/>
          <w:jc w:val="center"/>
        </w:trPr>
        <w:tc>
          <w:tcPr>
            <w:tcW w:w="9360" w:type="dxa"/>
            <w:gridSpan w:val="2"/>
            <w:shd w:val="clear" w:color="auto" w:fill="4A86E8"/>
            <w:tcMar>
              <w:top w:w="100" w:type="dxa"/>
              <w:left w:w="100" w:type="dxa"/>
              <w:bottom w:w="100" w:type="dxa"/>
              <w:right w:w="100" w:type="dxa"/>
            </w:tcMar>
          </w:tcPr>
          <w:p w:rsidR="00230FC0" w:rsidRPr="00C10057" w:rsidRDefault="00416749">
            <w:pPr>
              <w:widowControl w:val="0"/>
              <w:pBdr>
                <w:top w:val="nil"/>
                <w:left w:val="nil"/>
                <w:bottom w:val="nil"/>
                <w:right w:val="nil"/>
                <w:between w:val="nil"/>
              </w:pBdr>
              <w:spacing w:line="240" w:lineRule="auto"/>
              <w:jc w:val="center"/>
              <w:rPr>
                <w:b/>
                <w:color w:val="FFFFFF"/>
                <w:sz w:val="20"/>
              </w:rPr>
            </w:pPr>
            <w:r w:rsidRPr="00C10057">
              <w:rPr>
                <w:b/>
                <w:color w:val="FFFFFF"/>
                <w:sz w:val="20"/>
              </w:rPr>
              <w:t>Other</w:t>
            </w:r>
          </w:p>
        </w:tc>
      </w:tr>
      <w:tr w:rsidR="00230FC0" w:rsidRPr="00C10057">
        <w:trPr>
          <w:jc w:val="center"/>
        </w:trPr>
        <w:tc>
          <w:tcPr>
            <w:tcW w:w="4680" w:type="dxa"/>
            <w:shd w:val="clear" w:color="auto" w:fill="A4C2F4"/>
            <w:tcMar>
              <w:top w:w="100" w:type="dxa"/>
              <w:left w:w="100" w:type="dxa"/>
              <w:bottom w:w="100" w:type="dxa"/>
              <w:right w:w="100" w:type="dxa"/>
            </w:tcMar>
          </w:tcPr>
          <w:p w:rsidR="00230FC0" w:rsidRPr="00C10057" w:rsidRDefault="00416749">
            <w:pPr>
              <w:spacing w:line="240" w:lineRule="auto"/>
              <w:jc w:val="center"/>
              <w:rPr>
                <w:b/>
                <w:color w:val="FFFFFF"/>
                <w:sz w:val="20"/>
              </w:rPr>
            </w:pPr>
            <w:r w:rsidRPr="00C10057">
              <w:rPr>
                <w:b/>
                <w:color w:val="FFFFFF"/>
                <w:sz w:val="20"/>
              </w:rPr>
              <w:t>RT Agreement</w:t>
            </w:r>
            <w:r w:rsidR="00C10057" w:rsidRPr="00C10057">
              <w:rPr>
                <w:b/>
                <w:color w:val="FFFFFF"/>
                <w:sz w:val="20"/>
              </w:rPr>
              <w:t>s</w:t>
            </w:r>
          </w:p>
        </w:tc>
        <w:tc>
          <w:tcPr>
            <w:tcW w:w="4680" w:type="dxa"/>
            <w:shd w:val="clear" w:color="auto" w:fill="A4C2F4"/>
            <w:tcMar>
              <w:top w:w="100" w:type="dxa"/>
              <w:left w:w="100" w:type="dxa"/>
              <w:bottom w:w="100" w:type="dxa"/>
              <w:right w:w="100" w:type="dxa"/>
            </w:tcMar>
          </w:tcPr>
          <w:p w:rsidR="00230FC0" w:rsidRPr="00C10057" w:rsidRDefault="00416749">
            <w:pPr>
              <w:widowControl w:val="0"/>
              <w:spacing w:line="240" w:lineRule="auto"/>
              <w:jc w:val="center"/>
              <w:rPr>
                <w:b/>
                <w:color w:val="FFFFFF"/>
                <w:sz w:val="20"/>
              </w:rPr>
            </w:pPr>
            <w:r w:rsidRPr="00C10057">
              <w:rPr>
                <w:b/>
                <w:color w:val="FFFFFF"/>
                <w:sz w:val="20"/>
              </w:rPr>
              <w:t>RT Action Item(s)</w:t>
            </w:r>
          </w:p>
        </w:tc>
      </w:tr>
      <w:tr w:rsidR="00230FC0" w:rsidRPr="00C10057">
        <w:trPr>
          <w:jc w:val="center"/>
        </w:trPr>
        <w:tc>
          <w:tcPr>
            <w:tcW w:w="4680" w:type="dxa"/>
            <w:shd w:val="clear" w:color="auto" w:fill="auto"/>
            <w:tcMar>
              <w:top w:w="100" w:type="dxa"/>
              <w:left w:w="100" w:type="dxa"/>
              <w:bottom w:w="100" w:type="dxa"/>
              <w:right w:w="100" w:type="dxa"/>
            </w:tcMar>
          </w:tcPr>
          <w:p w:rsidR="00230FC0" w:rsidRPr="00C10057" w:rsidRDefault="00230FC0">
            <w:pPr>
              <w:widowControl w:val="0"/>
              <w:pBdr>
                <w:top w:val="nil"/>
                <w:left w:val="nil"/>
                <w:bottom w:val="nil"/>
                <w:right w:val="nil"/>
                <w:between w:val="nil"/>
              </w:pBdr>
              <w:spacing w:line="240" w:lineRule="auto"/>
              <w:rPr>
                <w:sz w:val="20"/>
              </w:rPr>
            </w:pPr>
          </w:p>
        </w:tc>
        <w:tc>
          <w:tcPr>
            <w:tcW w:w="4680" w:type="dxa"/>
            <w:shd w:val="clear" w:color="auto" w:fill="auto"/>
            <w:tcMar>
              <w:top w:w="100" w:type="dxa"/>
              <w:left w:w="100" w:type="dxa"/>
              <w:bottom w:w="100" w:type="dxa"/>
              <w:right w:w="100" w:type="dxa"/>
            </w:tcMar>
          </w:tcPr>
          <w:p w:rsidR="00904136" w:rsidRDefault="00416749" w:rsidP="00904136">
            <w:pPr>
              <w:widowControl w:val="0"/>
              <w:numPr>
                <w:ilvl w:val="0"/>
                <w:numId w:val="14"/>
              </w:numPr>
              <w:pBdr>
                <w:top w:val="nil"/>
                <w:left w:val="nil"/>
                <w:bottom w:val="nil"/>
                <w:right w:val="nil"/>
                <w:between w:val="nil"/>
              </w:pBdr>
              <w:spacing w:line="240" w:lineRule="auto"/>
              <w:contextualSpacing/>
              <w:rPr>
                <w:sz w:val="18"/>
                <w:szCs w:val="20"/>
              </w:rPr>
            </w:pPr>
            <w:r w:rsidRPr="00C10057">
              <w:rPr>
                <w:sz w:val="18"/>
                <w:szCs w:val="20"/>
              </w:rPr>
              <w:t>ICANN Org to produce meeting statemen</w:t>
            </w:r>
            <w:r w:rsidR="00904136">
              <w:rPr>
                <w:sz w:val="18"/>
                <w:szCs w:val="20"/>
              </w:rPr>
              <w:t>t</w:t>
            </w:r>
          </w:p>
          <w:p w:rsidR="00230FC0" w:rsidRPr="00904136" w:rsidRDefault="00416749" w:rsidP="00904136">
            <w:pPr>
              <w:widowControl w:val="0"/>
              <w:numPr>
                <w:ilvl w:val="0"/>
                <w:numId w:val="14"/>
              </w:numPr>
              <w:pBdr>
                <w:top w:val="nil"/>
                <w:left w:val="nil"/>
                <w:bottom w:val="nil"/>
                <w:right w:val="nil"/>
                <w:between w:val="nil"/>
              </w:pBdr>
              <w:spacing w:line="240" w:lineRule="auto"/>
              <w:contextualSpacing/>
              <w:rPr>
                <w:sz w:val="18"/>
                <w:szCs w:val="20"/>
              </w:rPr>
            </w:pPr>
            <w:r w:rsidRPr="00904136">
              <w:rPr>
                <w:sz w:val="18"/>
                <w:szCs w:val="20"/>
              </w:rPr>
              <w:t>RT to submit any comments</w:t>
            </w:r>
            <w:r w:rsidR="00904136">
              <w:rPr>
                <w:sz w:val="18"/>
                <w:szCs w:val="20"/>
              </w:rPr>
              <w:t xml:space="preserve"> on agreements/action items</w:t>
            </w:r>
            <w:bookmarkStart w:id="1" w:name="_GoBack"/>
            <w:bookmarkEnd w:id="1"/>
            <w:r w:rsidRPr="00904136">
              <w:rPr>
                <w:sz w:val="18"/>
                <w:szCs w:val="20"/>
              </w:rPr>
              <w:t xml:space="preserve"> by Wednesday 25 April 2018, COB.</w:t>
            </w:r>
          </w:p>
        </w:tc>
      </w:tr>
    </w:tbl>
    <w:p w:rsidR="00230FC0" w:rsidRPr="00C10057" w:rsidRDefault="00230FC0">
      <w:pPr>
        <w:spacing w:line="240" w:lineRule="auto"/>
        <w:rPr>
          <w:sz w:val="20"/>
        </w:rPr>
      </w:pPr>
    </w:p>
    <w:sectPr w:rsidR="00230FC0" w:rsidRPr="00C10057">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063" w:rsidRDefault="000B3063">
      <w:pPr>
        <w:spacing w:line="240" w:lineRule="auto"/>
      </w:pPr>
      <w:r>
        <w:separator/>
      </w:r>
    </w:p>
  </w:endnote>
  <w:endnote w:type="continuationSeparator" w:id="0">
    <w:p w:rsidR="000B3063" w:rsidRDefault="000B3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FC0" w:rsidRDefault="00416749">
    <w:pPr>
      <w:jc w:val="right"/>
    </w:pPr>
    <w:r>
      <w:fldChar w:fldCharType="begin"/>
    </w:r>
    <w:r>
      <w:instrText>PAGE</w:instrText>
    </w:r>
    <w:r>
      <w:fldChar w:fldCharType="separate"/>
    </w:r>
    <w:r w:rsidR="00C1005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063" w:rsidRDefault="000B3063">
      <w:pPr>
        <w:spacing w:line="240" w:lineRule="auto"/>
      </w:pPr>
      <w:r>
        <w:separator/>
      </w:r>
    </w:p>
  </w:footnote>
  <w:footnote w:type="continuationSeparator" w:id="0">
    <w:p w:rsidR="000B3063" w:rsidRDefault="000B30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FC0" w:rsidRDefault="00230FC0"/>
  <w:p w:rsidR="00230FC0" w:rsidRDefault="00230FC0"/>
  <w:p w:rsidR="00230FC0" w:rsidRDefault="00416749">
    <w:pPr>
      <w:rPr>
        <w:i/>
      </w:rPr>
    </w:pPr>
    <w:r>
      <w:rPr>
        <w:i/>
      </w:rPr>
      <w:t>RDS-WHOIS2 Face-to-Face Meeting #2 - 16-17-18 April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E5C"/>
    <w:multiLevelType w:val="multilevel"/>
    <w:tmpl w:val="AC5E2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3321C0"/>
    <w:multiLevelType w:val="multilevel"/>
    <w:tmpl w:val="EF460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941A22"/>
    <w:multiLevelType w:val="multilevel"/>
    <w:tmpl w:val="67D27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32308A"/>
    <w:multiLevelType w:val="multilevel"/>
    <w:tmpl w:val="B8AA0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291EE9"/>
    <w:multiLevelType w:val="multilevel"/>
    <w:tmpl w:val="2CF41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4A7A60"/>
    <w:multiLevelType w:val="multilevel"/>
    <w:tmpl w:val="EC984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7F6C26"/>
    <w:multiLevelType w:val="multilevel"/>
    <w:tmpl w:val="857EC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080947"/>
    <w:multiLevelType w:val="multilevel"/>
    <w:tmpl w:val="2458A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5F3678"/>
    <w:multiLevelType w:val="multilevel"/>
    <w:tmpl w:val="B12A3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0972AA"/>
    <w:multiLevelType w:val="multilevel"/>
    <w:tmpl w:val="809ED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7222C1"/>
    <w:multiLevelType w:val="multilevel"/>
    <w:tmpl w:val="F558E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3430FD"/>
    <w:multiLevelType w:val="multilevel"/>
    <w:tmpl w:val="39246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FA6392"/>
    <w:multiLevelType w:val="multilevel"/>
    <w:tmpl w:val="4C164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7068FF"/>
    <w:multiLevelType w:val="multilevel"/>
    <w:tmpl w:val="8604D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AF71EAD"/>
    <w:multiLevelType w:val="multilevel"/>
    <w:tmpl w:val="19BC9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7E087C"/>
    <w:multiLevelType w:val="multilevel"/>
    <w:tmpl w:val="500C6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0B44E5"/>
    <w:multiLevelType w:val="multilevel"/>
    <w:tmpl w:val="9552F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8069E1"/>
    <w:multiLevelType w:val="multilevel"/>
    <w:tmpl w:val="6D084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D1942A0"/>
    <w:multiLevelType w:val="multilevel"/>
    <w:tmpl w:val="4E2C5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1F2068"/>
    <w:multiLevelType w:val="multilevel"/>
    <w:tmpl w:val="FBA6D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560FCF"/>
    <w:multiLevelType w:val="multilevel"/>
    <w:tmpl w:val="4490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C4E47B1"/>
    <w:multiLevelType w:val="multilevel"/>
    <w:tmpl w:val="3D30C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DD96780"/>
    <w:multiLevelType w:val="multilevel"/>
    <w:tmpl w:val="BCDCD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DF741E"/>
    <w:multiLevelType w:val="multilevel"/>
    <w:tmpl w:val="FFF4D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D3C4A29"/>
    <w:multiLevelType w:val="multilevel"/>
    <w:tmpl w:val="B16E4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23"/>
  </w:num>
  <w:num w:numId="3">
    <w:abstractNumId w:val="22"/>
  </w:num>
  <w:num w:numId="4">
    <w:abstractNumId w:val="17"/>
  </w:num>
  <w:num w:numId="5">
    <w:abstractNumId w:val="9"/>
  </w:num>
  <w:num w:numId="6">
    <w:abstractNumId w:val="14"/>
  </w:num>
  <w:num w:numId="7">
    <w:abstractNumId w:val="16"/>
  </w:num>
  <w:num w:numId="8">
    <w:abstractNumId w:val="4"/>
  </w:num>
  <w:num w:numId="9">
    <w:abstractNumId w:val="11"/>
  </w:num>
  <w:num w:numId="10">
    <w:abstractNumId w:val="3"/>
  </w:num>
  <w:num w:numId="11">
    <w:abstractNumId w:val="0"/>
  </w:num>
  <w:num w:numId="12">
    <w:abstractNumId w:val="10"/>
  </w:num>
  <w:num w:numId="13">
    <w:abstractNumId w:val="1"/>
  </w:num>
  <w:num w:numId="14">
    <w:abstractNumId w:val="7"/>
  </w:num>
  <w:num w:numId="15">
    <w:abstractNumId w:val="19"/>
  </w:num>
  <w:num w:numId="16">
    <w:abstractNumId w:val="13"/>
  </w:num>
  <w:num w:numId="17">
    <w:abstractNumId w:val="18"/>
  </w:num>
  <w:num w:numId="18">
    <w:abstractNumId w:val="2"/>
  </w:num>
  <w:num w:numId="19">
    <w:abstractNumId w:val="6"/>
  </w:num>
  <w:num w:numId="20">
    <w:abstractNumId w:val="20"/>
  </w:num>
  <w:num w:numId="21">
    <w:abstractNumId w:val="24"/>
  </w:num>
  <w:num w:numId="22">
    <w:abstractNumId w:val="12"/>
  </w:num>
  <w:num w:numId="23">
    <w:abstractNumId w:val="5"/>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C0"/>
    <w:rsid w:val="000B3063"/>
    <w:rsid w:val="00230FC0"/>
    <w:rsid w:val="002D3074"/>
    <w:rsid w:val="00416749"/>
    <w:rsid w:val="00904136"/>
    <w:rsid w:val="00921C77"/>
    <w:rsid w:val="00C10057"/>
    <w:rsid w:val="00CD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89EBB"/>
  <w15:docId w15:val="{F7B099D5-8599-B54C-9306-DC09CE72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1814</Words>
  <Characters>10343</Characters>
  <Application>Microsoft Office Word</Application>
  <DocSecurity>0</DocSecurity>
  <Lines>86</Lines>
  <Paragraphs>24</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2018-04-19T12:06:00Z</dcterms:created>
  <dcterms:modified xsi:type="dcterms:W3CDTF">2018-04-19T12:07:00Z</dcterms:modified>
</cp:coreProperties>
</file>