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97F643" w14:textId="77777777" w:rsidR="00D60F69" w:rsidRDefault="00D60F69" w:rsidP="00D60F69">
      <w:pPr>
        <w:jc w:val="both"/>
      </w:pPr>
      <w:r>
        <w:rPr>
          <w:b/>
        </w:rPr>
        <w:t xml:space="preserve">Section </w:t>
      </w:r>
      <w:r>
        <w:t xml:space="preserve">9.3.1 of the Affirmation of Commitments states that: </w:t>
      </w:r>
    </w:p>
    <w:p w14:paraId="3BCF2A81" w14:textId="77777777" w:rsidR="00D60F69" w:rsidRDefault="00D60F69" w:rsidP="00D60F69">
      <w:pPr>
        <w:ind w:left="720"/>
        <w:jc w:val="both"/>
        <w:rPr>
          <w:b/>
        </w:rPr>
      </w:pPr>
      <w:r>
        <w:t>“ICANN additionally commits to enforcing its existing policy relating to WHOIS, subject to applicable laws.”</w:t>
      </w:r>
    </w:p>
    <w:p w14:paraId="159E5941" w14:textId="77777777" w:rsidR="00D60F69" w:rsidRDefault="00D60F69" w:rsidP="008C0A5B">
      <w:pPr>
        <w:jc w:val="both"/>
        <w:rPr>
          <w:b/>
        </w:rPr>
      </w:pPr>
    </w:p>
    <w:p w14:paraId="76D2C38A" w14:textId="77777777" w:rsidR="00D60F69" w:rsidRDefault="00D60F69" w:rsidP="008C0A5B">
      <w:pPr>
        <w:jc w:val="both"/>
        <w:rPr>
          <w:b/>
        </w:rPr>
      </w:pPr>
    </w:p>
    <w:p w14:paraId="0EA4766D" w14:textId="77777777" w:rsidR="00AF42EF" w:rsidRPr="007B0236" w:rsidRDefault="007B5C27" w:rsidP="008C0A5B">
      <w:pPr>
        <w:jc w:val="both"/>
        <w:rPr>
          <w:b/>
        </w:rPr>
      </w:pPr>
      <w:r w:rsidRPr="007B0236">
        <w:rPr>
          <w:b/>
        </w:rPr>
        <w:t>Applicable Laws</w:t>
      </w:r>
    </w:p>
    <w:p w14:paraId="565FFFA6" w14:textId="77777777" w:rsidR="007B5C27" w:rsidRDefault="007B5C27" w:rsidP="008C0A5B">
      <w:pPr>
        <w:jc w:val="both"/>
      </w:pPr>
    </w:p>
    <w:p w14:paraId="3BDF6B28" w14:textId="77777777" w:rsidR="00B40EC8" w:rsidRDefault="00B40EC8" w:rsidP="008C0A5B">
      <w:pPr>
        <w:jc w:val="both"/>
      </w:pPr>
      <w:r>
        <w:t xml:space="preserve">The Affirmation of Commitments requires ICANN’s </w:t>
      </w:r>
      <w:r w:rsidR="00694AE9">
        <w:t>WHOIS</w:t>
      </w:r>
      <w:r>
        <w:t xml:space="preserve"> Policy to be enforced, and reviewed, subject to “applicable laws.” The term applicable laws is not defined, and this memo sets forward a first cut on how we, the Review Team, might approach this issue.</w:t>
      </w:r>
    </w:p>
    <w:p w14:paraId="051EADEF" w14:textId="77777777" w:rsidR="00B40EC8" w:rsidRDefault="00B40EC8" w:rsidP="008C0A5B">
      <w:pPr>
        <w:jc w:val="both"/>
      </w:pPr>
    </w:p>
    <w:p w14:paraId="0503597C" w14:textId="44110642" w:rsidR="007C4F03" w:rsidRDefault="00B40EC8" w:rsidP="00694AE9">
      <w:pPr>
        <w:pStyle w:val="ListParagraph"/>
        <w:numPr>
          <w:ilvl w:val="0"/>
          <w:numId w:val="5"/>
        </w:numPr>
        <w:jc w:val="both"/>
      </w:pPr>
      <w:r>
        <w:t>Background: What applicable laws?</w:t>
      </w:r>
    </w:p>
    <w:p w14:paraId="6C8C8B3D" w14:textId="77777777" w:rsidR="007B5C27" w:rsidRDefault="007B5C27" w:rsidP="008C0A5B">
      <w:pPr>
        <w:jc w:val="both"/>
      </w:pPr>
    </w:p>
    <w:p w14:paraId="3E06698B" w14:textId="75C57517" w:rsidR="00915660" w:rsidRDefault="003B4DE3" w:rsidP="008C0A5B">
      <w:pPr>
        <w:pStyle w:val="ListParagraph"/>
        <w:numPr>
          <w:ilvl w:val="0"/>
          <w:numId w:val="1"/>
        </w:numPr>
        <w:jc w:val="both"/>
      </w:pPr>
      <w:r>
        <w:t xml:space="preserve">The applicable law </w:t>
      </w:r>
      <w:r w:rsidR="00915660">
        <w:t xml:space="preserve">or applicable laws, per se, range from privacy, data protection, criminal law, tort, contract, regulatory legal frameworks, and many more.  </w:t>
      </w:r>
    </w:p>
    <w:p w14:paraId="2A486FDD" w14:textId="6C1B1F23" w:rsidR="00915660" w:rsidRDefault="00915660" w:rsidP="008C0A5B">
      <w:pPr>
        <w:pStyle w:val="ListParagraph"/>
        <w:numPr>
          <w:ilvl w:val="0"/>
          <w:numId w:val="1"/>
        </w:numPr>
        <w:jc w:val="both"/>
      </w:pPr>
      <w:r>
        <w:t>However, with respect to the question of the WHOIS policy, it is proposed that the starting point should be base</w:t>
      </w:r>
      <w:r w:rsidR="003B6AC8">
        <w:t>d in privacy and data protection</w:t>
      </w:r>
      <w:r>
        <w:t xml:space="preserve">.  </w:t>
      </w:r>
    </w:p>
    <w:p w14:paraId="4375639D" w14:textId="6CDC35E0" w:rsidR="003B6AC8" w:rsidRDefault="00915660" w:rsidP="008C0A5B">
      <w:pPr>
        <w:pStyle w:val="ListParagraph"/>
        <w:numPr>
          <w:ilvl w:val="0"/>
          <w:numId w:val="1"/>
        </w:numPr>
        <w:jc w:val="both"/>
      </w:pPr>
      <w:r>
        <w:t>Privacy and data protection should be the core tenant of the initial discussion because</w:t>
      </w:r>
      <w:r w:rsidR="003B6AC8">
        <w:t>, among others</w:t>
      </w:r>
      <w:r>
        <w:t>: (1) some of the information in the WHOIS is personally identifiable information; (2) that information, based on international and many State laws, is fundamentally entitled to be protected</w:t>
      </w:r>
      <w:r w:rsidR="003B6AC8">
        <w:t xml:space="preserve"> from “</w:t>
      </w:r>
      <w:r w:rsidR="003B6AC8" w:rsidRPr="00E03267">
        <w:t>arbitrary</w:t>
      </w:r>
      <w:r w:rsidR="003B6AC8">
        <w:t>”</w:t>
      </w:r>
      <w:r w:rsidR="003B6AC8" w:rsidRPr="00E03267">
        <w:t xml:space="preserve"> or </w:t>
      </w:r>
      <w:r w:rsidR="003B6AC8">
        <w:t>“</w:t>
      </w:r>
      <w:r w:rsidR="003B6AC8" w:rsidRPr="00E03267">
        <w:t>unlawful interference</w:t>
      </w:r>
      <w:r w:rsidR="003B6AC8">
        <w:t>”</w:t>
      </w:r>
      <w:r w:rsidR="00487D14">
        <w:t xml:space="preserve">; and (3) in light of (2) there should be a presumption of privacy and the burden to discard that presumption needs to be discharged by any “legitimate interest”, at least, on </w:t>
      </w:r>
      <w:r w:rsidR="00487D14" w:rsidRPr="00487D14">
        <w:rPr>
          <w:i/>
        </w:rPr>
        <w:t>prima facie</w:t>
      </w:r>
      <w:r w:rsidR="00487D14">
        <w:t xml:space="preserve"> basis.  </w:t>
      </w:r>
      <w:r>
        <w:t xml:space="preserve">  </w:t>
      </w:r>
    </w:p>
    <w:p w14:paraId="105D0AE5" w14:textId="77777777" w:rsidR="003B6AC8" w:rsidRDefault="003B6AC8" w:rsidP="008C0A5B">
      <w:pPr>
        <w:pStyle w:val="ListParagraph"/>
        <w:numPr>
          <w:ilvl w:val="0"/>
          <w:numId w:val="1"/>
        </w:numPr>
        <w:jc w:val="both"/>
      </w:pPr>
      <w:r>
        <w:t xml:space="preserve">Any deviation of that fundamental human right of the protection of one’s privacy ought to be based on reasonable and legitimate reasons for encroachment.  </w:t>
      </w:r>
    </w:p>
    <w:p w14:paraId="78D73127" w14:textId="77777777" w:rsidR="003B6AC8" w:rsidRDefault="003B6AC8" w:rsidP="008C0A5B">
      <w:pPr>
        <w:pStyle w:val="ListParagraph"/>
        <w:numPr>
          <w:ilvl w:val="0"/>
          <w:numId w:val="1"/>
        </w:numPr>
        <w:jc w:val="both"/>
      </w:pPr>
      <w:r>
        <w:t xml:space="preserve">Any and all other laws that affect the WHOIS policy are State and international law imposed boundaries or encroachments on this internationally and State recognized right.   Therefore, the </w:t>
      </w:r>
      <w:proofErr w:type="gramStart"/>
      <w:r>
        <w:t>discussion of those laws are</w:t>
      </w:r>
      <w:proofErr w:type="gramEnd"/>
      <w:r>
        <w:t xml:space="preserve"> more appropriately dealt with in the “legitimate interest” analysis.  </w:t>
      </w:r>
    </w:p>
    <w:p w14:paraId="66C68EE8" w14:textId="465D48B4" w:rsidR="003B4DE3" w:rsidRDefault="003B6AC8" w:rsidP="008C0A5B">
      <w:pPr>
        <w:pStyle w:val="ListParagraph"/>
        <w:numPr>
          <w:ilvl w:val="0"/>
          <w:numId w:val="1"/>
        </w:numPr>
        <w:jc w:val="both"/>
      </w:pPr>
      <w:r>
        <w:t>Therefore, w</w:t>
      </w:r>
      <w:r w:rsidR="003B4DE3">
        <w:t>hile numerous other laws have a significant impact on that right (e.g., legitimate enforcement rights with respect to illegal activities</w:t>
      </w:r>
      <w:r w:rsidR="00694AE9">
        <w:t xml:space="preserve"> as touched upon below</w:t>
      </w:r>
      <w:r w:rsidR="003B4DE3">
        <w:t>), the base line is the question of what rights of privacy can be expected with respect to WHOIS information and how will those rights be held accountable.  Once that is established, the follow u</w:t>
      </w:r>
      <w:r w:rsidR="00915660">
        <w:t>p question</w:t>
      </w:r>
      <w:r w:rsidR="003B4DE3">
        <w:t xml:space="preserve"> is: what are legitimate interests and how will those “interest</w:t>
      </w:r>
      <w:r w:rsidR="00EA6984">
        <w:t>s</w:t>
      </w:r>
      <w:r w:rsidR="003B4DE3">
        <w:t xml:space="preserve">” or “access rights” be held accountable. </w:t>
      </w:r>
    </w:p>
    <w:p w14:paraId="7997C095" w14:textId="77777777" w:rsidR="00487D14" w:rsidRDefault="00487D14" w:rsidP="00487D14">
      <w:pPr>
        <w:ind w:left="360"/>
        <w:jc w:val="both"/>
      </w:pPr>
    </w:p>
    <w:p w14:paraId="0FBCB8D5" w14:textId="5286AEDB" w:rsidR="00487D14" w:rsidRDefault="00487D14" w:rsidP="00487D14">
      <w:pPr>
        <w:ind w:left="360"/>
        <w:jc w:val="both"/>
      </w:pPr>
      <w:r>
        <w:t xml:space="preserve">Introduction to Privacy as a Human Right </w:t>
      </w:r>
    </w:p>
    <w:p w14:paraId="6A653BE9" w14:textId="77777777" w:rsidR="007B5C27" w:rsidRDefault="007B5C27" w:rsidP="008C0A5B">
      <w:pPr>
        <w:pStyle w:val="ListParagraph"/>
        <w:numPr>
          <w:ilvl w:val="0"/>
          <w:numId w:val="1"/>
        </w:numPr>
        <w:jc w:val="both"/>
      </w:pPr>
      <w:r>
        <w:lastRenderedPageBreak/>
        <w:t xml:space="preserve">Privacy has been described as a fundamental human right.  </w:t>
      </w:r>
      <w:r w:rsidR="00C24469">
        <w:t>It</w:t>
      </w:r>
      <w:r>
        <w:t xml:space="preserve"> has been defined as: “the presumption that individuals should have an area of autonomous development, interaction and liberty, a ‘private sphere’ with or without interaction of other and free from State intervention and free from excessive unsolicited intervention by other uninvited individuals.” (Lord Lester and D. Pannich (eds), </w:t>
      </w:r>
      <w:r w:rsidR="00EE53A8">
        <w:rPr>
          <w:i/>
        </w:rPr>
        <w:t>Human</w:t>
      </w:r>
      <w:r>
        <w:rPr>
          <w:i/>
        </w:rPr>
        <w:t xml:space="preserve"> Rights Law and Practice</w:t>
      </w:r>
      <w:r>
        <w:t xml:space="preserve">, London, Buttersworth, 2004 at para 4.82. </w:t>
      </w:r>
    </w:p>
    <w:p w14:paraId="48B84D7C" w14:textId="77777777" w:rsidR="007B5C27" w:rsidRDefault="007B5C27" w:rsidP="008C0A5B">
      <w:pPr>
        <w:pStyle w:val="ListParagraph"/>
        <w:numPr>
          <w:ilvl w:val="0"/>
          <w:numId w:val="1"/>
        </w:numPr>
        <w:jc w:val="both"/>
      </w:pPr>
      <w:r>
        <w:t xml:space="preserve">With the advent of greater and greater storage facilities of electronic information the ability to collect, store and share personal data increased exponentially. In light of that, international protection principles were developed, “including the obligation to: obtain personal information fairly and lawfully; limit the scope of its use to the originally specified purpose; ensure that the  processing is adequate, relevant and not excessive; ensure its accuracy; keep it secure; delete it when it is no longer required; and grant individuals the right to access their information and request corrections” (Martin Scheinin, </w:t>
      </w:r>
      <w:r w:rsidRPr="007B5C27">
        <w:rPr>
          <w:i/>
        </w:rPr>
        <w:t>Report of the Special Rapporteur on the promotion and protection of human rights and fundamental freedoms while countering terrorism</w:t>
      </w:r>
      <w:r>
        <w:t xml:space="preserve">, Geneva, United Nations Human Rights Council 2009 at p. 6) </w:t>
      </w:r>
    </w:p>
    <w:p w14:paraId="618160D7" w14:textId="77777777" w:rsidR="007B5C27" w:rsidRDefault="007B5C27" w:rsidP="008C0A5B">
      <w:pPr>
        <w:pStyle w:val="ListParagraph"/>
        <w:numPr>
          <w:ilvl w:val="0"/>
          <w:numId w:val="1"/>
        </w:numPr>
        <w:jc w:val="both"/>
      </w:pPr>
      <w:r>
        <w:t>While the above principles are derived from the “right of privacy” (Human Rights Committee, general comment No. 16 (1988) on the right to respect of privacy, family, home and correspondence, and protection of honour and reputation at art. 17), data protection has also emerged as a separate fundamental right.  Indeed, some countries have enshrined data protection as a constitutional right (see, e.g., article 35 of the 1976 Constitution of Portugal).</w:t>
      </w:r>
    </w:p>
    <w:p w14:paraId="3B6D0D4B" w14:textId="77777777" w:rsidR="007B5C27" w:rsidRDefault="007B5C27" w:rsidP="008C0A5B">
      <w:pPr>
        <w:pStyle w:val="ListParagraph"/>
        <w:numPr>
          <w:ilvl w:val="0"/>
          <w:numId w:val="1"/>
        </w:numPr>
        <w:jc w:val="both"/>
      </w:pPr>
      <w:r>
        <w:t>Right to privacy, of course, is not and must not be an absolute right, but needs to be viewed critically in situations of legitimate</w:t>
      </w:r>
      <w:r w:rsidR="00CB0937">
        <w:t xml:space="preserve"> interests</w:t>
      </w:r>
      <w:r>
        <w:t xml:space="preserve">. </w:t>
      </w:r>
    </w:p>
    <w:p w14:paraId="61A3D361" w14:textId="77777777" w:rsidR="007B5C27" w:rsidRDefault="007B5C27" w:rsidP="008C0A5B">
      <w:pPr>
        <w:pStyle w:val="ListParagraph"/>
        <w:numPr>
          <w:ilvl w:val="0"/>
          <w:numId w:val="1"/>
        </w:numPr>
        <w:jc w:val="both"/>
      </w:pPr>
      <w:r>
        <w:t xml:space="preserve">It is important not to mix up the right to privacy with any </w:t>
      </w:r>
      <w:r w:rsidR="007C4F03">
        <w:t xml:space="preserve">notion of </w:t>
      </w:r>
      <w:r>
        <w:t xml:space="preserve">anonymity.  </w:t>
      </w:r>
      <w:r w:rsidR="007C4F03">
        <w:t xml:space="preserve">The former is a fundamental right of human rights which comes with accountability and as such requires proper procedures and policies to implement properly.  The latter, however, is, to a large extent, a by-product of our society which comes with no accountability, and thus, at times, leads to potential abuse of other person’s rights (whether natural or </w:t>
      </w:r>
      <w:r w:rsidR="008E5D8E">
        <w:t>otherwise</w:t>
      </w:r>
      <w:r w:rsidR="007C4F03">
        <w:t xml:space="preserve">).  </w:t>
      </w:r>
    </w:p>
    <w:p w14:paraId="64F127F9" w14:textId="77777777" w:rsidR="007C4F03" w:rsidRDefault="007C4F03" w:rsidP="008C0A5B">
      <w:pPr>
        <w:pStyle w:val="ListParagraph"/>
        <w:numPr>
          <w:ilvl w:val="0"/>
          <w:numId w:val="1"/>
        </w:numPr>
        <w:jc w:val="both"/>
      </w:pPr>
      <w:r>
        <w:t xml:space="preserve">Article 17 of the </w:t>
      </w:r>
      <w:r w:rsidRPr="00D04285">
        <w:rPr>
          <w:i/>
        </w:rPr>
        <w:t>International Covenant on Civil and Political Rights</w:t>
      </w:r>
      <w:r>
        <w:t xml:space="preserve"> is the most important legally binding treaty provision on human right</w:t>
      </w:r>
      <w:r w:rsidR="000D4401">
        <w:t>s</w:t>
      </w:r>
      <w:r>
        <w:t xml:space="preserve"> to privacy at the universal level. The Covenant has been ratified by 165 States.  </w:t>
      </w:r>
    </w:p>
    <w:p w14:paraId="12975F57" w14:textId="77777777" w:rsidR="001F7214" w:rsidRDefault="00CA64B5" w:rsidP="00694AE9">
      <w:pPr>
        <w:pStyle w:val="ListParagraph"/>
        <w:numPr>
          <w:ilvl w:val="0"/>
          <w:numId w:val="1"/>
        </w:numPr>
        <w:jc w:val="both"/>
      </w:pPr>
      <w:r>
        <w:t>The wording of article 17 of the Covenant prohibits “arbitrary or unlawful” interference with privacy, family or correspondence, as well as “unlawful attacks” on a person’s honour and reputation</w:t>
      </w:r>
      <w:r w:rsidR="00694AE9">
        <w:t xml:space="preserve">. </w:t>
      </w:r>
      <w:r w:rsidR="001F7214">
        <w:t xml:space="preserve"> It states: </w:t>
      </w:r>
    </w:p>
    <w:p w14:paraId="543144F3" w14:textId="77777777" w:rsidR="001F7214" w:rsidRDefault="001F7214" w:rsidP="001F7214">
      <w:pPr>
        <w:ind w:left="1440"/>
        <w:jc w:val="both"/>
      </w:pPr>
      <w:proofErr w:type="gramStart"/>
      <w:r>
        <w:t>1. No one shall be subjected to arbitrary or unlawful interference with his privacy, family, home or correspondence, nor to unlawful attacks on his honour and reputation.</w:t>
      </w:r>
      <w:proofErr w:type="gramEnd"/>
    </w:p>
    <w:p w14:paraId="012F0EE6" w14:textId="77777777" w:rsidR="001F7214" w:rsidRDefault="001F7214" w:rsidP="001F7214">
      <w:pPr>
        <w:ind w:left="1440"/>
        <w:jc w:val="both"/>
      </w:pPr>
    </w:p>
    <w:p w14:paraId="055B4142" w14:textId="77777777" w:rsidR="001F7214" w:rsidRDefault="001F7214" w:rsidP="001F7214">
      <w:pPr>
        <w:ind w:left="1440"/>
        <w:jc w:val="both"/>
      </w:pPr>
      <w:r>
        <w:t>2. Everyone has the right to the protection of the law against such interference or attacks.</w:t>
      </w:r>
    </w:p>
    <w:p w14:paraId="18E34132" w14:textId="77777777" w:rsidR="001F7214" w:rsidRDefault="001F7214" w:rsidP="00694AE9">
      <w:pPr>
        <w:pStyle w:val="ListParagraph"/>
        <w:numPr>
          <w:ilvl w:val="0"/>
          <w:numId w:val="1"/>
        </w:numPr>
        <w:jc w:val="both"/>
      </w:pPr>
      <w:r>
        <w:lastRenderedPageBreak/>
        <w:t xml:space="preserve">While article 17 does not provide any provision with respect to how those rights should or could be limited, M. </w:t>
      </w:r>
      <w:proofErr w:type="spellStart"/>
      <w:r>
        <w:t>Scheinin</w:t>
      </w:r>
      <w:proofErr w:type="spellEnd"/>
      <w:r>
        <w:t xml:space="preserve"> draws a comparison to various other articles in the Covenant, specifically: </w:t>
      </w:r>
      <w:r w:rsidR="00694AE9">
        <w:t>article 12, paragraph 3 (freedom of movement and liberty to choose one’s residence); article 18, paragraph 3 (freedom of thought, conscience, and religion); article 19, paragraph 3 (righto hold opinions without interference); article 21 (right of peaceful assembly) and article 22, paragraph 2 (freedom of association with others</w:t>
      </w:r>
      <w:r>
        <w:t xml:space="preserve">).  All of those articles set out </w:t>
      </w:r>
      <w:r w:rsidR="00694AE9">
        <w:t xml:space="preserve">a test for permissible limitations. </w:t>
      </w:r>
    </w:p>
    <w:p w14:paraId="6148CD52" w14:textId="77777777" w:rsidR="001F7214" w:rsidRDefault="001F7214" w:rsidP="00694AE9">
      <w:pPr>
        <w:pStyle w:val="ListParagraph"/>
        <w:numPr>
          <w:ilvl w:val="0"/>
          <w:numId w:val="1"/>
        </w:numPr>
        <w:jc w:val="both"/>
      </w:pPr>
      <w:r>
        <w:t xml:space="preserve">The most elaborate test </w:t>
      </w:r>
      <w:r w:rsidR="00694AE9">
        <w:t>is expressed in article 21 and article 22,</w:t>
      </w:r>
      <w:r>
        <w:t xml:space="preserve"> paragraph 3.  Article 22, paragraph 2 and 3 states: </w:t>
      </w:r>
    </w:p>
    <w:p w14:paraId="40F9BF87" w14:textId="77777777" w:rsidR="001F7214" w:rsidRDefault="001F7214" w:rsidP="001F7214">
      <w:pPr>
        <w:pStyle w:val="ListParagraph"/>
        <w:ind w:left="1440"/>
        <w:jc w:val="both"/>
      </w:pPr>
      <w:r>
        <w:t>2. N</w:t>
      </w:r>
      <w:r w:rsidRPr="001F7214">
        <w:t>o restrictions may be placed on the exercise of this right other than those which are prescribed by law and which are necessary in a democratic society in the interests of national security or public safety, public order (</w:t>
      </w:r>
      <w:proofErr w:type="spellStart"/>
      <w:r w:rsidRPr="001F7214">
        <w:t>ordre</w:t>
      </w:r>
      <w:proofErr w:type="spellEnd"/>
      <w:r w:rsidRPr="001F7214">
        <w:t xml:space="preserve"> public), the protection of public health or morals or the protection of the rights and freedoms of others.</w:t>
      </w:r>
    </w:p>
    <w:p w14:paraId="483569F2" w14:textId="77777777" w:rsidR="001F7214" w:rsidRDefault="001F7214" w:rsidP="001F7214">
      <w:pPr>
        <w:pStyle w:val="ListParagraph"/>
        <w:ind w:left="1440"/>
        <w:jc w:val="both"/>
      </w:pPr>
    </w:p>
    <w:p w14:paraId="442E42D4" w14:textId="77777777" w:rsidR="001F7214" w:rsidRDefault="001F7214" w:rsidP="001F7214">
      <w:pPr>
        <w:pStyle w:val="ListParagraph"/>
        <w:ind w:left="1440"/>
        <w:jc w:val="both"/>
      </w:pPr>
      <w:r w:rsidRPr="001F7214">
        <w:t>3. Nothing in this article shall authorize States Parties to the International Labour Organisation Convention of 1948 concerning Freedom of Association and Protection of the Right to Organize to take legislative measures which would prejudice, or to apply the law in such a manner as to prejudice, the guarantees provided for in that Convention.</w:t>
      </w:r>
    </w:p>
    <w:p w14:paraId="3DC697A8" w14:textId="77777777" w:rsidR="001F7214" w:rsidRDefault="001F7214" w:rsidP="001F7214">
      <w:pPr>
        <w:pStyle w:val="ListParagraph"/>
        <w:jc w:val="both"/>
      </w:pPr>
      <w:r>
        <w:t xml:space="preserve">Article 21 states: </w:t>
      </w:r>
    </w:p>
    <w:p w14:paraId="06B4DD4E" w14:textId="77777777" w:rsidR="001F7214" w:rsidRDefault="001F7214" w:rsidP="001F7214">
      <w:pPr>
        <w:pStyle w:val="ListParagraph"/>
        <w:ind w:left="1440"/>
        <w:jc w:val="both"/>
      </w:pPr>
      <w:r w:rsidRPr="001F7214">
        <w:t>No restrictions may be placed on the exercise of this right other than those imposed in conformity with the law and which are necessary in a democratic society in the interests of national security or public safety, public order (</w:t>
      </w:r>
      <w:proofErr w:type="spellStart"/>
      <w:r w:rsidRPr="001F7214">
        <w:t>ordre</w:t>
      </w:r>
      <w:proofErr w:type="spellEnd"/>
      <w:r w:rsidRPr="001F7214">
        <w:t xml:space="preserve"> public), the protection of public health or morals or the protection of the rights and freedoms of others.</w:t>
      </w:r>
    </w:p>
    <w:p w14:paraId="639AA192" w14:textId="77777777" w:rsidR="00CA64B5" w:rsidRDefault="001F7214" w:rsidP="00694AE9">
      <w:pPr>
        <w:pStyle w:val="ListParagraph"/>
        <w:numPr>
          <w:ilvl w:val="0"/>
          <w:numId w:val="1"/>
        </w:numPr>
        <w:jc w:val="both"/>
      </w:pPr>
      <w:r>
        <w:t>The three elements that are set out therein are:</w:t>
      </w:r>
      <w:r w:rsidR="00694AE9">
        <w:t xml:space="preserve"> (a) </w:t>
      </w:r>
      <w:r w:rsidR="006B5E43">
        <w:t>limitation</w:t>
      </w:r>
      <w:r w:rsidR="00694AE9">
        <w:t xml:space="preserve"> must be</w:t>
      </w:r>
      <w:r>
        <w:t xml:space="preserve"> </w:t>
      </w:r>
      <w:r w:rsidR="00694AE9">
        <w:t xml:space="preserve">prescribed by </w:t>
      </w:r>
      <w:r w:rsidR="00036353">
        <w:t xml:space="preserve">or be in conformity with </w:t>
      </w:r>
      <w:r w:rsidR="00694AE9">
        <w:t>national law; (b) they must be necessary in a democratic society; and (c) they</w:t>
      </w:r>
      <w:r>
        <w:t xml:space="preserve"> </w:t>
      </w:r>
      <w:r w:rsidR="00694AE9">
        <w:t xml:space="preserve">must serve </w:t>
      </w:r>
      <w:r w:rsidR="00036353" w:rsidRPr="001F7214">
        <w:t>national security or public safety, public order, the protection of public health or morals or the protection of the rights and freedoms of others</w:t>
      </w:r>
      <w:r w:rsidR="00694AE9">
        <w:t>.</w:t>
      </w:r>
      <w:r w:rsidR="00036353">
        <w:t xml:space="preserve"> </w:t>
      </w:r>
    </w:p>
    <w:p w14:paraId="3E354CA2" w14:textId="77777777" w:rsidR="00CA64B5" w:rsidRDefault="00CA64B5" w:rsidP="008C0A5B">
      <w:pPr>
        <w:pStyle w:val="ListParagraph"/>
        <w:numPr>
          <w:ilvl w:val="0"/>
          <w:numId w:val="1"/>
        </w:numPr>
        <w:jc w:val="both"/>
      </w:pPr>
      <w:r>
        <w:t xml:space="preserve">The Special Rapporteur of the UN for the Human Rights Council (Martin Scheinin, </w:t>
      </w:r>
      <w:r w:rsidRPr="007B5C27">
        <w:rPr>
          <w:i/>
        </w:rPr>
        <w:t>Report of the Special Rapporteur on the promotion and protection of human rights and fundamental freedoms while countering terrorism</w:t>
      </w:r>
      <w:r>
        <w:t xml:space="preserve">, Geneva, United Nations Human Rights Council 2009 at p. 8) proposes that: </w:t>
      </w:r>
    </w:p>
    <w:p w14:paraId="1DC9C097" w14:textId="77777777" w:rsidR="00CA64B5" w:rsidRDefault="00694AE9" w:rsidP="00036353">
      <w:pPr>
        <w:pStyle w:val="ListParagraph"/>
        <w:numPr>
          <w:ilvl w:val="1"/>
          <w:numId w:val="1"/>
        </w:numPr>
        <w:jc w:val="both"/>
      </w:pPr>
      <w:r>
        <w:t>…</w:t>
      </w:r>
      <w:proofErr w:type="gramStart"/>
      <w:r w:rsidR="00CA64B5">
        <w:t>despite</w:t>
      </w:r>
      <w:proofErr w:type="gramEnd"/>
      <w:r w:rsidR="00CA64B5">
        <w:t xml:space="preserve"> the differences in wording, article 17 of the  covenant should also be interpreted as containing the said elements of a permissible limitations test</w:t>
      </w:r>
      <w:r w:rsidR="00036353">
        <w:t xml:space="preserve"> [as described above]</w:t>
      </w:r>
      <w:r w:rsidR="00CA64B5">
        <w:t>. Restrictions that are not prescribed by law are “unlawful” in the meaning of article 17, and restrictions that fall short of being necessary or do not serve a legitimate aim constitute “arbitrary” interference with the rights provided under article 17. Consequently, limitations to the right to privacy or other dimensions of article 17 are subject to</w:t>
      </w:r>
      <w:r w:rsidR="006B5E43">
        <w:t xml:space="preserve"> a permissible </w:t>
      </w:r>
      <w:r w:rsidR="006B5E43">
        <w:lastRenderedPageBreak/>
        <w:t>limitations test</w:t>
      </w:r>
      <w:r w:rsidR="00036353">
        <w:t xml:space="preserve"> as set forth by the Human Rights Committee in its general comment No. 27 (1999). That general comment addresses freedom of movement (art. 12), one of the provisions that contains a limitations clause. </w:t>
      </w:r>
      <w:r w:rsidR="00036353" w:rsidRPr="00036353">
        <w:rPr>
          <w:b/>
        </w:rPr>
        <w:t>At the same time, it codifies the position of the Human Rights Committee in the matter of permissible limitations to the rights provided under the Covenant</w:t>
      </w:r>
      <w:r w:rsidR="00036353">
        <w:t xml:space="preserve">. </w:t>
      </w:r>
      <w:r w:rsidR="00CA64B5">
        <w:t>The permissible limitations test, as expressed in the general comment, includes, inter alia, the following elements:</w:t>
      </w:r>
    </w:p>
    <w:p w14:paraId="5FEE1D3F" w14:textId="77777777" w:rsidR="00CA64B5" w:rsidRDefault="00CA64B5" w:rsidP="008C0A5B">
      <w:pPr>
        <w:ind w:left="2160"/>
        <w:jc w:val="both"/>
      </w:pPr>
      <w:r>
        <w:t>(a) Any restrictions must be provided by the law…;</w:t>
      </w:r>
    </w:p>
    <w:p w14:paraId="4CE4E329" w14:textId="77777777" w:rsidR="00CA64B5" w:rsidRDefault="00CA64B5" w:rsidP="008C0A5B">
      <w:pPr>
        <w:ind w:left="2160"/>
        <w:jc w:val="both"/>
      </w:pPr>
      <w:r>
        <w:t>(b) The essence of a human right is not subject to restrictions…;</w:t>
      </w:r>
    </w:p>
    <w:p w14:paraId="03EB7D9B" w14:textId="77777777" w:rsidR="00CA64B5" w:rsidRDefault="00CA64B5" w:rsidP="008C0A5B">
      <w:pPr>
        <w:ind w:left="2160"/>
        <w:jc w:val="both"/>
      </w:pPr>
      <w:r>
        <w:t>(c) Restrictions must be necessary in a democratic society…;</w:t>
      </w:r>
    </w:p>
    <w:p w14:paraId="7C3E5163" w14:textId="77777777" w:rsidR="00CA64B5" w:rsidRDefault="00CA64B5" w:rsidP="008C0A5B">
      <w:pPr>
        <w:ind w:left="2160"/>
        <w:jc w:val="both"/>
      </w:pPr>
      <w:r>
        <w:t>(d) Any discretion exercised when implementing the restrictions must not be</w:t>
      </w:r>
      <w:r w:rsidR="00AB7510">
        <w:t xml:space="preserve"> </w:t>
      </w:r>
      <w:r>
        <w:t>unfettered;</w:t>
      </w:r>
    </w:p>
    <w:p w14:paraId="7DC53800" w14:textId="77777777" w:rsidR="00CA64B5" w:rsidRDefault="00CA64B5" w:rsidP="008C0A5B">
      <w:pPr>
        <w:ind w:left="2160"/>
        <w:jc w:val="both"/>
      </w:pPr>
      <w:r>
        <w:t>(e) For a restriction to be permissible, it is not enough that it serves one of the enumerated legitimate aims; it must be necessary for reaching the legitimate aim…;</w:t>
      </w:r>
    </w:p>
    <w:p w14:paraId="12024DB7" w14:textId="77777777" w:rsidR="00CA64B5" w:rsidRDefault="00CA64B5" w:rsidP="008C0A5B">
      <w:pPr>
        <w:ind w:left="2160"/>
        <w:jc w:val="both"/>
      </w:pPr>
      <w:r>
        <w:t>(f) Restrictive measures must conform to the principle of proportionality; they must be appropriate to achieve their protective function; they must be the least intrusive instrument amongst those which might achieve the desired result; and they must be proportionate to the interest to be protected…;</w:t>
      </w:r>
    </w:p>
    <w:p w14:paraId="7D6C26BD" w14:textId="77777777" w:rsidR="00CA64B5" w:rsidRDefault="00CA64B5" w:rsidP="008C0A5B">
      <w:pPr>
        <w:ind w:left="2160"/>
        <w:jc w:val="both"/>
      </w:pPr>
      <w:r>
        <w:t>(g) Any restrictions must be consistent with the other rights guaranteed in the Covenant…</w:t>
      </w:r>
      <w:r w:rsidR="00036353">
        <w:t>[emphasis added]</w:t>
      </w:r>
    </w:p>
    <w:p w14:paraId="391728E1" w14:textId="77777777" w:rsidR="00517A98" w:rsidRDefault="00517A98" w:rsidP="00517A98">
      <w:pPr>
        <w:pStyle w:val="ListParagraph"/>
        <w:numPr>
          <w:ilvl w:val="0"/>
          <w:numId w:val="2"/>
        </w:numPr>
        <w:jc w:val="both"/>
      </w:pPr>
      <w:r>
        <w:t xml:space="preserve">Martin </w:t>
      </w:r>
      <w:proofErr w:type="spellStart"/>
      <w:r>
        <w:t>Scheinin</w:t>
      </w:r>
      <w:proofErr w:type="spellEnd"/>
      <w:r>
        <w:t xml:space="preserve">, Special Rapporteur, further contends at page 9 that: </w:t>
      </w:r>
    </w:p>
    <w:p w14:paraId="48882245" w14:textId="77777777" w:rsidR="00517A98" w:rsidRDefault="00517A98" w:rsidP="00517A98">
      <w:pPr>
        <w:pStyle w:val="ListParagraph"/>
        <w:ind w:left="1440"/>
        <w:jc w:val="both"/>
      </w:pPr>
      <w:r>
        <w:t>“</w:t>
      </w:r>
      <w:proofErr w:type="gramStart"/>
      <w:r>
        <w:t>the</w:t>
      </w:r>
      <w:proofErr w:type="gramEnd"/>
      <w:r>
        <w:t xml:space="preserve"> Human Rights Committee should draw up and adopt a new general comment on article 17, replacing current general comment No. 16 (1988). The existing general comment is very brief and does not reflect the bulk of the Committee’s practice that has emerged during the more than 20 years since its adoption. Nevertheless, many of the elements for a proper limitations clause, presented above in the light of the subsequent general comment No. 27, were already present in 1988. In its subsequent case law under the Optional Protocol, the Committee has emphasized that interference with the rights guaranteed in article 17 must cumulatively meet several conditions, i.e., it must be provided for by law, be in accordance with the provisions, aims and objectives of the Covenant, and be reasonable in the particu</w:t>
      </w:r>
      <w:r w:rsidR="00C37DCA">
        <w:t>lar circumstances of the case.</w:t>
      </w:r>
      <w:r>
        <w:t xml:space="preserve"> Further, in finding violations of article 17, the Committee has applied the requirements of legitimate aim, necessity and proportionality.  (</w:t>
      </w:r>
      <w:proofErr w:type="gramStart"/>
      <w:r>
        <w:t>see</w:t>
      </w:r>
      <w:proofErr w:type="gramEnd"/>
      <w:r>
        <w:t xml:space="preserve"> excerpts of text of general comment 16 in footnote)</w:t>
      </w:r>
      <w:r>
        <w:rPr>
          <w:rStyle w:val="FootnoteReference"/>
        </w:rPr>
        <w:footnoteReference w:id="1"/>
      </w:r>
    </w:p>
    <w:p w14:paraId="29978570" w14:textId="77777777" w:rsidR="005C583D" w:rsidRDefault="005C583D" w:rsidP="008C0A5B">
      <w:pPr>
        <w:pStyle w:val="ListParagraph"/>
        <w:numPr>
          <w:ilvl w:val="0"/>
          <w:numId w:val="2"/>
        </w:numPr>
        <w:jc w:val="both"/>
      </w:pPr>
      <w:r>
        <w:lastRenderedPageBreak/>
        <w:t xml:space="preserve">These rights of privacy have become more and more eroded with the advent of increased technological capacity on all fronts ranging from collection, using, and obfuscating personal information.  Especially in the aftermath of September 11, 2001, an increased number of counter-terrorism legislation were implemented which attempted to counter the anonymity (or obfuscation of individual’s private information) to the best of a State’s ability.  Again, it is important to understand the distinction between privacy and anonymity.  </w:t>
      </w:r>
    </w:p>
    <w:p w14:paraId="34E6E165" w14:textId="77777777" w:rsidR="008C0A5B" w:rsidRDefault="005C583D" w:rsidP="008C0A5B">
      <w:pPr>
        <w:pStyle w:val="ListParagraph"/>
        <w:numPr>
          <w:ilvl w:val="0"/>
          <w:numId w:val="2"/>
        </w:numPr>
        <w:jc w:val="both"/>
      </w:pPr>
      <w:r>
        <w:t xml:space="preserve">The implementation of increased security to </w:t>
      </w:r>
      <w:r w:rsidR="008C0A5B">
        <w:t xml:space="preserve">eliminate the ability to </w:t>
      </w:r>
      <w:r>
        <w:t xml:space="preserve">obfuscate one’s personal information while maintaining the principle of privacy is </w:t>
      </w:r>
      <w:r w:rsidR="008C0A5B">
        <w:t>exceptionally sensitive and difficult</w:t>
      </w:r>
      <w:r w:rsidR="00C864EC">
        <w:t>.</w:t>
      </w:r>
    </w:p>
    <w:p w14:paraId="1861B304" w14:textId="77777777" w:rsidR="00CA64B5" w:rsidRDefault="008C0A5B" w:rsidP="008C0A5B">
      <w:pPr>
        <w:pStyle w:val="ListParagraph"/>
        <w:numPr>
          <w:ilvl w:val="0"/>
          <w:numId w:val="2"/>
        </w:numPr>
        <w:jc w:val="both"/>
      </w:pPr>
      <w:r>
        <w:t xml:space="preserve">WHOIS information is not as sensitive as many other data collection databases (e.g., health, financial, etc.).  </w:t>
      </w:r>
    </w:p>
    <w:p w14:paraId="771D5354" w14:textId="77777777" w:rsidR="008C0A5B" w:rsidRDefault="008C0A5B" w:rsidP="008C0A5B">
      <w:pPr>
        <w:pStyle w:val="ListParagraph"/>
        <w:numPr>
          <w:ilvl w:val="0"/>
          <w:numId w:val="2"/>
        </w:numPr>
        <w:jc w:val="both"/>
      </w:pPr>
      <w:r>
        <w:t xml:space="preserve">Registrants do not have a right to anonymity, but </w:t>
      </w:r>
      <w:r w:rsidR="006B5E43">
        <w:t>should</w:t>
      </w:r>
      <w:r>
        <w:t xml:space="preserve"> have a right to privacy. </w:t>
      </w:r>
    </w:p>
    <w:p w14:paraId="3B12A42B" w14:textId="77777777" w:rsidR="008C0A5B" w:rsidRDefault="008C0A5B" w:rsidP="008C0A5B">
      <w:pPr>
        <w:ind w:left="360"/>
        <w:jc w:val="both"/>
      </w:pPr>
    </w:p>
    <w:p w14:paraId="5530D9C4" w14:textId="77777777" w:rsidR="00694AE9" w:rsidRDefault="00694AE9" w:rsidP="008C0A5B">
      <w:pPr>
        <w:ind w:left="360"/>
        <w:jc w:val="both"/>
      </w:pPr>
    </w:p>
    <w:p w14:paraId="4E1F0D5E" w14:textId="41117F09" w:rsidR="00B40EC8" w:rsidRPr="00694AE9" w:rsidRDefault="00487D14" w:rsidP="00694AE9">
      <w:pPr>
        <w:pStyle w:val="ListParagraph"/>
        <w:numPr>
          <w:ilvl w:val="0"/>
          <w:numId w:val="5"/>
        </w:numPr>
        <w:jc w:val="both"/>
      </w:pPr>
      <w:r>
        <w:t>Some State Privacy Law Examples</w:t>
      </w:r>
      <w:r w:rsidR="00B40EC8" w:rsidRPr="00694AE9">
        <w:t xml:space="preserve"> </w:t>
      </w:r>
    </w:p>
    <w:p w14:paraId="1850AED6" w14:textId="77777777" w:rsidR="00B40EC8" w:rsidRPr="00694AE9" w:rsidRDefault="00B40EC8" w:rsidP="00B40EC8">
      <w:pPr>
        <w:ind w:left="360"/>
        <w:jc w:val="both"/>
      </w:pPr>
    </w:p>
    <w:p w14:paraId="6A4FF97E" w14:textId="77777777" w:rsidR="008C0A5B" w:rsidRPr="00694AE9" w:rsidRDefault="00B40EC8" w:rsidP="00B40EC8">
      <w:pPr>
        <w:ind w:left="360"/>
        <w:jc w:val="both"/>
      </w:pPr>
      <w:r w:rsidRPr="00694AE9">
        <w:t>While not authoritative, there are s</w:t>
      </w:r>
      <w:r w:rsidR="002A30F7" w:rsidRPr="00694AE9">
        <w:t>ome specific</w:t>
      </w:r>
      <w:r w:rsidR="008C0A5B" w:rsidRPr="00694AE9">
        <w:t xml:space="preserve"> State privacy regimes</w:t>
      </w:r>
      <w:r w:rsidR="00EE53A8" w:rsidRPr="00694AE9">
        <w:t xml:space="preserve"> (all are largely a verbatim copy of Wikipedia entries</w:t>
      </w:r>
      <w:r w:rsidRPr="00694AE9">
        <w:t xml:space="preserve"> for our review as part of the London meeting. Authoritative versions of these laws are easily available.</w:t>
      </w:r>
      <w:r w:rsidR="00EE53A8" w:rsidRPr="00694AE9">
        <w:t>)</w:t>
      </w:r>
    </w:p>
    <w:p w14:paraId="192347FE" w14:textId="77777777" w:rsidR="008C0A5B" w:rsidRDefault="008C0A5B" w:rsidP="008C0A5B">
      <w:pPr>
        <w:ind w:left="360"/>
        <w:jc w:val="both"/>
      </w:pPr>
    </w:p>
    <w:p w14:paraId="798DA05B" w14:textId="77777777" w:rsidR="00C24469" w:rsidRDefault="00C24469" w:rsidP="00C24469">
      <w:pPr>
        <w:ind w:left="360"/>
        <w:jc w:val="both"/>
      </w:pPr>
      <w:r>
        <w:t>Australia</w:t>
      </w:r>
    </w:p>
    <w:p w14:paraId="494DAF08" w14:textId="77777777" w:rsidR="00C24469" w:rsidRDefault="00C24469" w:rsidP="00C24469">
      <w:pPr>
        <w:ind w:left="360"/>
        <w:jc w:val="both"/>
      </w:pPr>
    </w:p>
    <w:p w14:paraId="44409601" w14:textId="77777777" w:rsidR="00C24469" w:rsidRDefault="00C24469" w:rsidP="00C24469">
      <w:pPr>
        <w:ind w:left="360"/>
        <w:jc w:val="both"/>
      </w:pPr>
      <w:r>
        <w:t xml:space="preserve">In Australia, the federal </w:t>
      </w:r>
      <w:r w:rsidRPr="00C24469">
        <w:rPr>
          <w:i/>
        </w:rPr>
        <w:t>Privacy Act</w:t>
      </w:r>
      <w:r>
        <w:t xml:space="preserve"> 1988 sets out principles in relation to the collection, use, disclosure, security and access to personal information. The Act applies to the Australian Government and Australian Capital Territory agencies and private sector organisations (except some small businesses). </w:t>
      </w:r>
    </w:p>
    <w:p w14:paraId="7CC784DE" w14:textId="77777777" w:rsidR="00C24469" w:rsidRDefault="00C24469" w:rsidP="00C24469">
      <w:pPr>
        <w:ind w:left="360"/>
        <w:jc w:val="both"/>
      </w:pPr>
    </w:p>
    <w:p w14:paraId="0D41370E" w14:textId="77777777" w:rsidR="00F9517D" w:rsidRDefault="00F9517D" w:rsidP="00F9517D">
      <w:pPr>
        <w:ind w:left="360"/>
        <w:jc w:val="both"/>
      </w:pPr>
      <w:r>
        <w:t>Brazil</w:t>
      </w:r>
    </w:p>
    <w:p w14:paraId="19E9D80C" w14:textId="77777777" w:rsidR="00F9517D" w:rsidRDefault="00F9517D" w:rsidP="00F9517D">
      <w:pPr>
        <w:ind w:left="360"/>
        <w:jc w:val="both"/>
      </w:pPr>
    </w:p>
    <w:p w14:paraId="3B121489" w14:textId="77777777" w:rsidR="00F9517D" w:rsidRPr="00C31CB3" w:rsidRDefault="0075521F" w:rsidP="0075521F">
      <w:pPr>
        <w:ind w:left="360"/>
        <w:jc w:val="both"/>
        <w:rPr>
          <w:rFonts w:eastAsia="Times New Roman" w:cs="Arial"/>
          <w:color w:val="888888"/>
          <w:lang w:val="pt-BR" w:eastAsia="pt-BR"/>
        </w:rPr>
      </w:pPr>
      <w:r>
        <w:rPr>
          <w:color w:val="000000"/>
          <w:lang w:val="en-US"/>
        </w:rPr>
        <w:t xml:space="preserve">Brazil doesn’t have specific laws for data privacy, although </w:t>
      </w:r>
      <w:r w:rsidR="005F202C">
        <w:rPr>
          <w:color w:val="000000"/>
          <w:lang w:val="en-US"/>
        </w:rPr>
        <w:t xml:space="preserve">there are </w:t>
      </w:r>
      <w:r>
        <w:rPr>
          <w:color w:val="000000"/>
          <w:lang w:val="en-US"/>
        </w:rPr>
        <w:t>several</w:t>
      </w:r>
      <w:r w:rsidR="005F202C">
        <w:rPr>
          <w:color w:val="000000"/>
          <w:lang w:val="en-US"/>
        </w:rPr>
        <w:t xml:space="preserve"> proposed </w:t>
      </w:r>
      <w:r>
        <w:rPr>
          <w:color w:val="000000"/>
          <w:lang w:val="en-US"/>
        </w:rPr>
        <w:t>law</w:t>
      </w:r>
      <w:r w:rsidR="005F202C">
        <w:rPr>
          <w:color w:val="000000"/>
          <w:lang w:val="en-US"/>
        </w:rPr>
        <w:t>s</w:t>
      </w:r>
      <w:r>
        <w:rPr>
          <w:color w:val="000000"/>
          <w:lang w:val="en-US"/>
        </w:rPr>
        <w:t xml:space="preserve"> </w:t>
      </w:r>
      <w:r w:rsidR="005F202C">
        <w:rPr>
          <w:color w:val="000000"/>
          <w:lang w:val="en-US"/>
        </w:rPr>
        <w:t xml:space="preserve">both in Senate and House of Representatives. </w:t>
      </w:r>
      <w:r w:rsidR="00F9517D">
        <w:rPr>
          <w:color w:val="000000"/>
          <w:lang w:val="en-US"/>
        </w:rPr>
        <w:t xml:space="preserve">Article 5 of the 1988 Constitution of Brazil provides that </w:t>
      </w:r>
      <w:r w:rsidR="008D3CDD">
        <w:rPr>
          <w:color w:val="000000"/>
          <w:lang w:val="en-US"/>
        </w:rPr>
        <w:t>Article 5 of the 1988 Constitution of Brazil provides that "the privacy, private life, honor and image of people are inviolable, and the right to compensation for property or moral damages resulting from their violation is ensured. C</w:t>
      </w:r>
      <w:r w:rsidR="00F9517D" w:rsidRPr="00AE7B35">
        <w:rPr>
          <w:color w:val="000000"/>
          <w:lang w:val="en-US"/>
        </w:rPr>
        <w:t xml:space="preserve">orrespondence and electronic communication are protected, except by court order "for </w:t>
      </w:r>
      <w:r w:rsidR="00F9517D" w:rsidRPr="005F202C">
        <w:rPr>
          <w:color w:val="000000"/>
          <w:lang w:val="en-US"/>
        </w:rPr>
        <w:t xml:space="preserve">purposes of criminal investigation or criminal procedural finding of facts." </w:t>
      </w:r>
      <w:r w:rsidR="008D3CDD">
        <w:rPr>
          <w:color w:val="000000"/>
          <w:lang w:val="en-US"/>
        </w:rPr>
        <w:t xml:space="preserve">Also </w:t>
      </w:r>
      <w:r w:rsidR="005F202C" w:rsidRPr="005F202C">
        <w:rPr>
          <w:color w:val="000000"/>
          <w:lang w:val="en-US"/>
        </w:rPr>
        <w:t>“</w:t>
      </w:r>
      <w:r w:rsidR="008D3CDD">
        <w:rPr>
          <w:color w:val="000000"/>
          <w:lang w:val="en-US"/>
        </w:rPr>
        <w:t>t</w:t>
      </w:r>
      <w:r w:rsidR="005F202C" w:rsidRPr="005F202C">
        <w:rPr>
          <w:rFonts w:cs="Arial"/>
        </w:rPr>
        <w:t>he expression of thought is free</w:t>
      </w:r>
      <w:r w:rsidR="005F202C">
        <w:rPr>
          <w:rFonts w:cs="Arial"/>
        </w:rPr>
        <w:t xml:space="preserve"> but</w:t>
      </w:r>
      <w:r w:rsidR="005F202C" w:rsidRPr="005F202C">
        <w:rPr>
          <w:rFonts w:cs="Arial"/>
        </w:rPr>
        <w:t xml:space="preserve"> anonymity is forbidden</w:t>
      </w:r>
      <w:r w:rsidR="005F202C">
        <w:rPr>
          <w:rFonts w:cs="Arial"/>
        </w:rPr>
        <w:t>”</w:t>
      </w:r>
      <w:r w:rsidR="005F202C" w:rsidRPr="005F202C">
        <w:rPr>
          <w:color w:val="000000"/>
          <w:lang w:val="en-US"/>
        </w:rPr>
        <w:t xml:space="preserve">. </w:t>
      </w:r>
      <w:r w:rsidR="008D3CDD">
        <w:rPr>
          <w:color w:val="000000"/>
          <w:lang w:val="en-US"/>
        </w:rPr>
        <w:t xml:space="preserve">The </w:t>
      </w:r>
      <w:r w:rsidR="00F9517D" w:rsidRPr="005F202C">
        <w:rPr>
          <w:color w:val="000000"/>
          <w:lang w:val="en-US"/>
        </w:rPr>
        <w:t>1990 Consumer Protection Law provides that consumers have access to personal data, consumer files and other information stored in files, and databases about themselves, as well as about the sources of this data</w:t>
      </w:r>
      <w:r w:rsidR="00F9517D">
        <w:rPr>
          <w:color w:val="000000"/>
          <w:lang w:val="en-US"/>
        </w:rPr>
        <w:t xml:space="preserve">. </w:t>
      </w:r>
    </w:p>
    <w:p w14:paraId="3FAA8CE2" w14:textId="77777777" w:rsidR="00F9517D" w:rsidRDefault="00F9517D" w:rsidP="00C24469">
      <w:pPr>
        <w:ind w:left="360"/>
        <w:jc w:val="both"/>
      </w:pPr>
    </w:p>
    <w:p w14:paraId="0CEB8E06" w14:textId="77777777" w:rsidR="00C24469" w:rsidRDefault="00C24469" w:rsidP="00C24469">
      <w:pPr>
        <w:ind w:left="360"/>
        <w:jc w:val="both"/>
      </w:pPr>
      <w:r>
        <w:t>Canada</w:t>
      </w:r>
    </w:p>
    <w:p w14:paraId="43B44071" w14:textId="77777777" w:rsidR="00C24469" w:rsidRDefault="00C24469" w:rsidP="00C24469">
      <w:pPr>
        <w:ind w:left="360"/>
        <w:jc w:val="both"/>
      </w:pPr>
    </w:p>
    <w:p w14:paraId="7518F4BB" w14:textId="77777777" w:rsidR="00C24469" w:rsidRDefault="00C24469" w:rsidP="00C24469">
      <w:pPr>
        <w:ind w:left="360"/>
        <w:jc w:val="both"/>
      </w:pPr>
      <w:r>
        <w:t xml:space="preserve">In Canada, the federal </w:t>
      </w:r>
      <w:r w:rsidRPr="00C24469">
        <w:rPr>
          <w:i/>
        </w:rPr>
        <w:t>Personal Information Protection and Electronic Documents</w:t>
      </w:r>
      <w:r>
        <w:t xml:space="preserve"> Act governs the collection, use and disclosure of personal information in connection with commercial activities and personal information about employees of federal works, undertakings and businesses. It generally does not apply to non-commercial organizations or provincial governments. Personal information collected, used and disclosed by the federal government and many crown corporations is governed by the </w:t>
      </w:r>
      <w:r w:rsidRPr="00C24469">
        <w:rPr>
          <w:i/>
        </w:rPr>
        <w:t>Privacy</w:t>
      </w:r>
      <w:r>
        <w:t xml:space="preserve"> Act. Many provinces have enacted similar provincial legislation.</w:t>
      </w:r>
    </w:p>
    <w:p w14:paraId="5971A74A" w14:textId="77777777" w:rsidR="00C24469" w:rsidRDefault="00C24469" w:rsidP="00C24469">
      <w:pPr>
        <w:ind w:left="360"/>
        <w:jc w:val="both"/>
      </w:pPr>
    </w:p>
    <w:p w14:paraId="782B975F" w14:textId="77777777" w:rsidR="00EE53A8" w:rsidRDefault="00EE53A8" w:rsidP="00C24469">
      <w:pPr>
        <w:ind w:left="360"/>
        <w:jc w:val="both"/>
      </w:pPr>
      <w:r>
        <w:t>European Union</w:t>
      </w:r>
    </w:p>
    <w:p w14:paraId="3B5B2161" w14:textId="77777777" w:rsidR="00EE53A8" w:rsidRDefault="00EE53A8" w:rsidP="00C24469">
      <w:pPr>
        <w:ind w:left="360"/>
        <w:jc w:val="both"/>
      </w:pPr>
    </w:p>
    <w:p w14:paraId="321C6878" w14:textId="77777777" w:rsidR="00EE53A8" w:rsidRDefault="00EE53A8" w:rsidP="00EE53A8">
      <w:pPr>
        <w:ind w:left="360"/>
        <w:jc w:val="both"/>
      </w:pPr>
      <w:r>
        <w:t xml:space="preserve">Article 8 of the European Convention on Human Rights is the relevant privacy section of the EU.  It guarantees a "right to respect for privacy and family life", subject to restrictions as prescribed by law and necessary in a democratic </w:t>
      </w:r>
      <w:r>
        <w:lastRenderedPageBreak/>
        <w:t xml:space="preserve">society towards a legitimate aim.  It covers the entire European continent with the exception of Belarus and Kosovo.   </w:t>
      </w:r>
    </w:p>
    <w:p w14:paraId="06E0A275" w14:textId="77777777" w:rsidR="00EE53A8" w:rsidRDefault="00EE53A8" w:rsidP="00C24469">
      <w:pPr>
        <w:ind w:left="360"/>
        <w:jc w:val="both"/>
      </w:pPr>
    </w:p>
    <w:p w14:paraId="72C51454" w14:textId="77777777" w:rsidR="00C24469" w:rsidRDefault="00C24469" w:rsidP="00C24469">
      <w:pPr>
        <w:ind w:left="360"/>
        <w:jc w:val="both"/>
      </w:pPr>
      <w:r>
        <w:t>New Zealand</w:t>
      </w:r>
    </w:p>
    <w:p w14:paraId="0DA9D2B4" w14:textId="77777777" w:rsidR="00EE53A8" w:rsidRDefault="00EE53A8" w:rsidP="00C24469">
      <w:pPr>
        <w:ind w:left="360"/>
        <w:jc w:val="both"/>
      </w:pPr>
    </w:p>
    <w:p w14:paraId="4705045A" w14:textId="77777777" w:rsidR="00C24469" w:rsidRDefault="00C24469" w:rsidP="00C24469">
      <w:pPr>
        <w:ind w:left="360"/>
        <w:jc w:val="both"/>
      </w:pPr>
      <w:r>
        <w:t xml:space="preserve">In New Zealand, the </w:t>
      </w:r>
      <w:r w:rsidRPr="00EE53A8">
        <w:rPr>
          <w:i/>
        </w:rPr>
        <w:t>Privacy Act</w:t>
      </w:r>
      <w:r>
        <w:t xml:space="preserve"> 1993 sets out principles in relation to the collection, use, disclosure, security and access to personal information.</w:t>
      </w:r>
    </w:p>
    <w:p w14:paraId="2684DD0B" w14:textId="77777777" w:rsidR="00AF5C21" w:rsidRDefault="00AF5C21" w:rsidP="00C24469">
      <w:pPr>
        <w:ind w:left="360"/>
        <w:jc w:val="both"/>
      </w:pPr>
    </w:p>
    <w:p w14:paraId="5220BB7F" w14:textId="77777777" w:rsidR="00C24469" w:rsidRDefault="00C24469" w:rsidP="00C24469">
      <w:pPr>
        <w:ind w:left="360"/>
        <w:jc w:val="both"/>
      </w:pPr>
      <w:r>
        <w:t>United States</w:t>
      </w:r>
    </w:p>
    <w:p w14:paraId="4CC5E26F" w14:textId="77777777" w:rsidR="00AF5C21" w:rsidRDefault="00AF5C21" w:rsidP="00C24469">
      <w:pPr>
        <w:ind w:left="360"/>
        <w:jc w:val="both"/>
      </w:pPr>
    </w:p>
    <w:p w14:paraId="5E8C9A5C" w14:textId="77777777" w:rsidR="00AF5C21" w:rsidRDefault="00AF5C21" w:rsidP="00AF5C21">
      <w:pPr>
        <w:ind w:left="360"/>
        <w:jc w:val="both"/>
      </w:pPr>
      <w:r>
        <w:t>The USA has a number of different legal concepts of privacy laws: one is the invasion of privacy, a tort based in common law allowing an aggrieved party to bring a lawsuit against an individual who unlawfully intrudes into his or her private affairs, discloses his or her private information, publicizes him or her in a false light, or appropriates his or her name for personal gain. Public figures have less privacy, and this is an evolving area of law as it relates to the media. The essence of the law derives from a right to privacy, defined broadly as "the right to be let alone." It usually excludes personal matters or activities which may reasonably be of public interest, like those of celebrities or participants in newsworthy events. Invasion of the right to privacy can be the basis for a lawsuit for damages against the person or entity violating the right. These include the Fourth Amendment right to be free of unwarranted search or seizure, the First Amendment right to free assembly, and the Fourteenth Amendment due process right, recognized by the Supreme Court as protecting a general right to privacy within family, marriage, motherhood, procreation, and child rearing.</w:t>
      </w:r>
    </w:p>
    <w:p w14:paraId="530A93B0" w14:textId="77777777" w:rsidR="00AF5C21" w:rsidRDefault="00AF5C21" w:rsidP="00C24469">
      <w:pPr>
        <w:ind w:left="360"/>
        <w:jc w:val="both"/>
      </w:pPr>
    </w:p>
    <w:p w14:paraId="57D09FBA" w14:textId="77777777" w:rsidR="00AF5C21" w:rsidRDefault="00C24469" w:rsidP="00AF5C21">
      <w:pPr>
        <w:ind w:left="360"/>
        <w:jc w:val="both"/>
      </w:pPr>
      <w:r>
        <w:t xml:space="preserve">Russian Federation </w:t>
      </w:r>
    </w:p>
    <w:p w14:paraId="798C85C6" w14:textId="77777777" w:rsidR="00AF5C21" w:rsidRDefault="00AF5C21" w:rsidP="00AF5C21">
      <w:pPr>
        <w:ind w:left="360"/>
        <w:jc w:val="both"/>
      </w:pPr>
    </w:p>
    <w:p w14:paraId="1EF4E9A7" w14:textId="77777777" w:rsidR="00C24469" w:rsidRDefault="00C24469" w:rsidP="00AF5C21">
      <w:pPr>
        <w:ind w:left="360"/>
        <w:jc w:val="both"/>
      </w:pPr>
      <w:r>
        <w:t xml:space="preserve">“On Personal Data” No. 152-FZ, </w:t>
      </w:r>
      <w:r w:rsidR="00AF5C21">
        <w:t>regulates</w:t>
      </w:r>
      <w:r>
        <w:t xml:space="preserve"> the processing of personal data by means of automation equipment. It is the operator who is required to comply with that Act.</w:t>
      </w:r>
      <w:r w:rsidR="00AF5C21">
        <w:t xml:space="preserve"> </w:t>
      </w:r>
      <w:r>
        <w:t>As a general rule consent of the individual is required for processing, i.e. obtaining, organizing, accumulating, holding, adjusting (updating, modifying), using, disclosing (including transfer), impersonating, blocking or destroying of his personal data. This rule doesn't apply where such processing is necessary for performance of the contract, to which an individual is a party.</w:t>
      </w:r>
      <w:r w:rsidR="00AF5C21">
        <w:t xml:space="preserve"> </w:t>
      </w:r>
    </w:p>
    <w:p w14:paraId="34B474B9" w14:textId="77777777" w:rsidR="00AF5C21" w:rsidRDefault="00AF5C21" w:rsidP="00AF5C21">
      <w:pPr>
        <w:ind w:left="360"/>
        <w:jc w:val="both"/>
      </w:pPr>
    </w:p>
    <w:p w14:paraId="09EEBADF" w14:textId="77777777" w:rsidR="00694AE9" w:rsidRPr="00694AE9" w:rsidRDefault="00694AE9" w:rsidP="00AF5C21">
      <w:pPr>
        <w:ind w:left="360"/>
        <w:jc w:val="both"/>
      </w:pPr>
    </w:p>
    <w:p w14:paraId="2683B270" w14:textId="5F35D733" w:rsidR="00B40EC8" w:rsidRPr="00694AE9" w:rsidRDefault="00B40EC8" w:rsidP="00694AE9">
      <w:pPr>
        <w:pStyle w:val="ListParagraph"/>
        <w:numPr>
          <w:ilvl w:val="0"/>
          <w:numId w:val="5"/>
        </w:numPr>
        <w:jc w:val="both"/>
      </w:pPr>
      <w:r w:rsidRPr="00694AE9">
        <w:t xml:space="preserve"> </w:t>
      </w:r>
      <w:r w:rsidR="00487D14">
        <w:t>Legitimate Interest</w:t>
      </w:r>
    </w:p>
    <w:p w14:paraId="256139B9" w14:textId="77777777" w:rsidR="00B40EC8" w:rsidRPr="00694AE9" w:rsidRDefault="00B40EC8" w:rsidP="00694AE9">
      <w:pPr>
        <w:pStyle w:val="ListParagraph"/>
        <w:ind w:left="1080"/>
        <w:jc w:val="both"/>
      </w:pPr>
    </w:p>
    <w:p w14:paraId="1DF0292E" w14:textId="77777777" w:rsidR="00B40EC8" w:rsidRPr="00694AE9" w:rsidRDefault="00B40EC8" w:rsidP="007926A7">
      <w:pPr>
        <w:pStyle w:val="ListParagraph"/>
        <w:ind w:left="360"/>
        <w:jc w:val="both"/>
      </w:pPr>
      <w:r w:rsidRPr="00694AE9">
        <w:t>“</w:t>
      </w:r>
      <w:r w:rsidR="001257A5" w:rsidRPr="00694AE9">
        <w:t>Legitimate</w:t>
      </w:r>
      <w:r w:rsidR="00F976E9" w:rsidRPr="00694AE9">
        <w:t xml:space="preserve"> Interest</w:t>
      </w:r>
      <w:r w:rsidRPr="00694AE9">
        <w:t>”</w:t>
      </w:r>
    </w:p>
    <w:p w14:paraId="21687B51" w14:textId="77777777" w:rsidR="00B40EC8" w:rsidRPr="00694AE9" w:rsidRDefault="00B40EC8" w:rsidP="007926A7">
      <w:pPr>
        <w:pStyle w:val="ListParagraph"/>
        <w:jc w:val="both"/>
      </w:pPr>
    </w:p>
    <w:p w14:paraId="404F8F58" w14:textId="77777777" w:rsidR="001257A5" w:rsidRPr="00694AE9" w:rsidRDefault="00B40EC8" w:rsidP="007926A7">
      <w:pPr>
        <w:pStyle w:val="ListParagraph"/>
        <w:ind w:left="360"/>
        <w:jc w:val="both"/>
      </w:pPr>
      <w:r w:rsidRPr="00694AE9">
        <w:t>As we know, the Affirmation of Commitments requires that we review the “WHOIS policy and its implementation to assess,” among other areas, whether its “implementation meets the legitimate needs of law enforcement.”</w:t>
      </w:r>
    </w:p>
    <w:p w14:paraId="473AF04B" w14:textId="77777777" w:rsidR="001257A5" w:rsidRDefault="001257A5" w:rsidP="001257A5">
      <w:pPr>
        <w:ind w:left="360"/>
        <w:jc w:val="both"/>
        <w:rPr>
          <w:b/>
        </w:rPr>
      </w:pPr>
    </w:p>
    <w:p w14:paraId="3B215878" w14:textId="77777777" w:rsidR="007926A7" w:rsidRDefault="00F976E9" w:rsidP="00F976E9">
      <w:pPr>
        <w:ind w:left="360"/>
        <w:jc w:val="both"/>
      </w:pPr>
      <w:r>
        <w:lastRenderedPageBreak/>
        <w:t>Legitimate interests</w:t>
      </w:r>
      <w:r w:rsidR="007926A7">
        <w:t xml:space="preserve"> or needs</w:t>
      </w:r>
      <w:r>
        <w:t xml:space="preserve">, </w:t>
      </w:r>
      <w:r w:rsidR="00E03267">
        <w:t xml:space="preserve">it is submitted, should be read in light of article 17 of the </w:t>
      </w:r>
      <w:r w:rsidR="00E03267" w:rsidRPr="00D04285">
        <w:rPr>
          <w:i/>
        </w:rPr>
        <w:t>International Covenant on Civil and Political Rights</w:t>
      </w:r>
      <w:r w:rsidR="00E03267">
        <w:t xml:space="preserve"> and the general comment 16 of the Human Rights committee.  In</w:t>
      </w:r>
      <w:r w:rsidR="007926A7">
        <w:t xml:space="preserve"> essence, it should be limited in accordance with the </w:t>
      </w:r>
      <w:r w:rsidR="00E03267">
        <w:t xml:space="preserve">protection guaranteed under article 17 </w:t>
      </w:r>
      <w:r w:rsidR="007926A7">
        <w:t>by not being</w:t>
      </w:r>
      <w:r w:rsidR="00E03267">
        <w:t>: “</w:t>
      </w:r>
      <w:r w:rsidR="00E03267" w:rsidRPr="00E03267">
        <w:t>arbitrary</w:t>
      </w:r>
      <w:r w:rsidR="007926A7">
        <w:t>”</w:t>
      </w:r>
      <w:r w:rsidR="00E03267" w:rsidRPr="00E03267">
        <w:t xml:space="preserve"> or </w:t>
      </w:r>
      <w:r w:rsidR="007926A7">
        <w:t>provide “</w:t>
      </w:r>
      <w:r w:rsidR="00E03267" w:rsidRPr="00E03267">
        <w:t>unlawful interference</w:t>
      </w:r>
      <w:r w:rsidR="00E03267">
        <w:t>”.  This means</w:t>
      </w:r>
      <w:r w:rsidR="007926A7">
        <w:t xml:space="preserve">, as the Human Rights Committee set out in its General Comment 16 (1988) in </w:t>
      </w:r>
      <w:proofErr w:type="spellStart"/>
      <w:r w:rsidR="007926A7">
        <w:t>paras</w:t>
      </w:r>
      <w:proofErr w:type="spellEnd"/>
      <w:r w:rsidR="007926A7">
        <w:t xml:space="preserve"> 3 and 4: </w:t>
      </w:r>
    </w:p>
    <w:p w14:paraId="094BCAAA" w14:textId="77777777" w:rsidR="007926A7" w:rsidRDefault="007926A7" w:rsidP="00F976E9">
      <w:pPr>
        <w:ind w:left="360"/>
        <w:jc w:val="both"/>
      </w:pPr>
    </w:p>
    <w:p w14:paraId="3BAA91C8" w14:textId="77777777" w:rsidR="007926A7" w:rsidRDefault="007926A7" w:rsidP="007926A7">
      <w:pPr>
        <w:ind w:left="720"/>
        <w:jc w:val="both"/>
      </w:pPr>
      <w:r>
        <w:t>3.</w:t>
      </w:r>
      <w:r>
        <w:tab/>
        <w:t>The term "unlawful" means that no interference can take place except in cases envisaged by the law. Interference authorized by States can only take place on the basis of law, which itself must comply with the provisions, aims and objectives of the Covenant.</w:t>
      </w:r>
    </w:p>
    <w:p w14:paraId="19A77E13" w14:textId="77777777" w:rsidR="007926A7" w:rsidRDefault="007926A7" w:rsidP="007926A7">
      <w:pPr>
        <w:ind w:left="720"/>
        <w:jc w:val="both"/>
      </w:pPr>
    </w:p>
    <w:p w14:paraId="499C5F44" w14:textId="77777777" w:rsidR="007926A7" w:rsidRDefault="007926A7" w:rsidP="007926A7">
      <w:pPr>
        <w:ind w:left="720"/>
        <w:jc w:val="both"/>
      </w:pPr>
      <w:r>
        <w:t>4.</w:t>
      </w:r>
      <w:r>
        <w:tab/>
        <w:t>… In the Committee's view the expression "arbitrary interference" can also extend to interference provided for under the law. The introduction of the concept of arbitrariness is intended to guarantee that even interference provided for by law should be in accordance with the provisions, aims and objectives of the Covenant and should be, in any event, reasonable in the particular circumstances.</w:t>
      </w:r>
      <w:r w:rsidR="00E03267">
        <w:t xml:space="preserve"> </w:t>
      </w:r>
      <w:r>
        <w:t xml:space="preserve"> </w:t>
      </w:r>
    </w:p>
    <w:p w14:paraId="0EFF8EAB" w14:textId="77777777" w:rsidR="007926A7" w:rsidRDefault="007926A7" w:rsidP="007926A7">
      <w:pPr>
        <w:jc w:val="both"/>
      </w:pPr>
    </w:p>
    <w:p w14:paraId="7D10FD3A" w14:textId="74AA4B20" w:rsidR="00EE5A8B" w:rsidRDefault="007926A7" w:rsidP="007926A7">
      <w:pPr>
        <w:jc w:val="both"/>
      </w:pPr>
      <w:r>
        <w:t xml:space="preserve">However, it is submitted that, pursuant to M. </w:t>
      </w:r>
      <w:proofErr w:type="spellStart"/>
      <w:r>
        <w:t>Scheinin’s</w:t>
      </w:r>
      <w:proofErr w:type="spellEnd"/>
      <w:r>
        <w:t xml:space="preserve"> comments with respect to article 17 (as set out in the introduction above), the limitation test should comprise of more than</w:t>
      </w:r>
      <w:r w:rsidR="00EE5A8B">
        <w:t xml:space="preserve"> </w:t>
      </w:r>
      <w:r>
        <w:t xml:space="preserve">“just” the two-pronged test set out by the Human Rights Committee in its General Comment 16 (1988).  It is submitted that it should be as follows: </w:t>
      </w:r>
      <w:r w:rsidR="00EE5A8B">
        <w:t xml:space="preserve"> </w:t>
      </w:r>
    </w:p>
    <w:p w14:paraId="0FCF8260" w14:textId="77777777" w:rsidR="007926A7" w:rsidRDefault="007926A7" w:rsidP="007926A7">
      <w:pPr>
        <w:jc w:val="both"/>
      </w:pPr>
    </w:p>
    <w:p w14:paraId="26C94A5C" w14:textId="77777777" w:rsidR="007926A7" w:rsidRDefault="007926A7" w:rsidP="007926A7">
      <w:pPr>
        <w:ind w:left="2160"/>
        <w:jc w:val="both"/>
      </w:pPr>
      <w:r>
        <w:t>(a) Any restrictions must be provided by the law…;</w:t>
      </w:r>
    </w:p>
    <w:p w14:paraId="133668B7" w14:textId="77777777" w:rsidR="007926A7" w:rsidRDefault="007926A7" w:rsidP="007926A7">
      <w:pPr>
        <w:ind w:left="2160"/>
        <w:jc w:val="both"/>
      </w:pPr>
      <w:r>
        <w:t>(b) The essence of a human right is not subject to restrictions…;</w:t>
      </w:r>
    </w:p>
    <w:p w14:paraId="295BFE49" w14:textId="77777777" w:rsidR="007926A7" w:rsidRDefault="007926A7" w:rsidP="007926A7">
      <w:pPr>
        <w:ind w:left="2160"/>
        <w:jc w:val="both"/>
      </w:pPr>
      <w:r>
        <w:t>(c) Restrictions must be necessary in a democratic society…;</w:t>
      </w:r>
    </w:p>
    <w:p w14:paraId="49370D23" w14:textId="77777777" w:rsidR="007926A7" w:rsidRDefault="007926A7" w:rsidP="007926A7">
      <w:pPr>
        <w:ind w:left="2160"/>
        <w:jc w:val="both"/>
      </w:pPr>
      <w:r>
        <w:t>(d) Any discretion exercised when implementing the restrictions must not be unfettered;</w:t>
      </w:r>
    </w:p>
    <w:p w14:paraId="5FFFD0A7" w14:textId="77777777" w:rsidR="007926A7" w:rsidRDefault="007926A7" w:rsidP="007926A7">
      <w:pPr>
        <w:ind w:left="2160"/>
        <w:jc w:val="both"/>
      </w:pPr>
      <w:r>
        <w:t>(e) For a restriction to be permissible, it is not enough that it serves one of the enumerated legitimate aims; it must be necessary for reaching the legitimate aim…;</w:t>
      </w:r>
    </w:p>
    <w:p w14:paraId="73F487CF" w14:textId="77777777" w:rsidR="007926A7" w:rsidRDefault="007926A7" w:rsidP="007926A7">
      <w:pPr>
        <w:ind w:left="2160"/>
        <w:jc w:val="both"/>
      </w:pPr>
      <w:r>
        <w:t>(f) Restrictive measures must conform to the principle of proportionality; they must be appropriate to achieve their protective function; they must be the least intrusive instrument amongst those which might achieve the desired result; and they must be proportionate to the interest to be protected…;</w:t>
      </w:r>
    </w:p>
    <w:p w14:paraId="070AF4AF" w14:textId="77777777" w:rsidR="007926A7" w:rsidRDefault="007926A7" w:rsidP="007926A7">
      <w:pPr>
        <w:ind w:left="2160"/>
        <w:jc w:val="both"/>
      </w:pPr>
      <w:r>
        <w:t>(g) Any restrictions must be consistent with the other rights guaranteed in the Covenant…[emphasis added]</w:t>
      </w:r>
    </w:p>
    <w:p w14:paraId="4A598104" w14:textId="77777777" w:rsidR="007926A7" w:rsidRDefault="007926A7" w:rsidP="007926A7">
      <w:pPr>
        <w:jc w:val="both"/>
      </w:pPr>
    </w:p>
    <w:p w14:paraId="66B74D11" w14:textId="527BB429" w:rsidR="00C31CB3" w:rsidRDefault="007926A7" w:rsidP="00F9517D">
      <w:pPr>
        <w:jc w:val="both"/>
      </w:pPr>
      <w:r>
        <w:t>It is proposed that, l</w:t>
      </w:r>
      <w:r w:rsidR="002A4C14">
        <w:t>egitimate interests</w:t>
      </w:r>
      <w:r>
        <w:t xml:space="preserve"> can</w:t>
      </w:r>
      <w:r w:rsidR="002A4C14">
        <w:t xml:space="preserve"> range from</w:t>
      </w:r>
      <w:r w:rsidR="0042352F">
        <w:t>, among other things,</w:t>
      </w:r>
      <w:r w:rsidR="002A4C14">
        <w:t xml:space="preserve"> anti-terrorism</w:t>
      </w:r>
      <w:r w:rsidR="0042352F">
        <w:t xml:space="preserve"> law</w:t>
      </w:r>
      <w:r w:rsidR="002A4C14">
        <w:t xml:space="preserve">, to criminal law, regulatory law, defamation law, and </w:t>
      </w:r>
      <w:r w:rsidR="00225FC2">
        <w:t xml:space="preserve">general </w:t>
      </w:r>
      <w:r w:rsidR="0042352F">
        <w:t xml:space="preserve">civil (tort) law. </w:t>
      </w:r>
      <w:r>
        <w:t xml:space="preserve"> However, it is not </w:t>
      </w:r>
      <w:r w:rsidR="0042352F">
        <w:t>necessary to list each and every</w:t>
      </w:r>
      <w:r w:rsidR="00246820">
        <w:t xml:space="preserve"> “legitimate interest”</w:t>
      </w:r>
      <w:r w:rsidR="0042352F">
        <w:t xml:space="preserve"> </w:t>
      </w:r>
      <w:r w:rsidR="00246820">
        <w:t xml:space="preserve">law as it should be a principled approach which </w:t>
      </w:r>
      <w:r w:rsidR="00397623">
        <w:t xml:space="preserve">leads </w:t>
      </w:r>
      <w:r w:rsidR="00246820">
        <w:t xml:space="preserve">the legitimate encumbrance of </w:t>
      </w:r>
      <w:r>
        <w:lastRenderedPageBreak/>
        <w:t xml:space="preserve">the </w:t>
      </w:r>
      <w:r w:rsidR="00246820">
        <w:t>privacy</w:t>
      </w:r>
      <w:r>
        <w:t>/data protection</w:t>
      </w:r>
      <w:r w:rsidR="00397623">
        <w:t xml:space="preserve"> discussion</w:t>
      </w:r>
      <w:r w:rsidR="00246820">
        <w:t>, i.e., what are legitimate interests</w:t>
      </w:r>
      <w:r w:rsidR="00487D14">
        <w:t>, what are the needs of those legitimate interests,</w:t>
      </w:r>
      <w:bookmarkStart w:id="0" w:name="_GoBack"/>
      <w:bookmarkEnd w:id="0"/>
      <w:r w:rsidR="00246820">
        <w:t xml:space="preserve"> and how should those </w:t>
      </w:r>
      <w:r w:rsidR="00397623">
        <w:t>interests</w:t>
      </w:r>
      <w:r w:rsidR="00246820">
        <w:t xml:space="preserve"> be made accountable to avoid unfettered access and abuse.  </w:t>
      </w:r>
    </w:p>
    <w:sectPr w:rsidR="00C31CB3" w:rsidSect="00A75A9E">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D52177" w14:textId="77777777" w:rsidR="003B6AC8" w:rsidRDefault="003B6AC8" w:rsidP="00D60F69">
      <w:r>
        <w:separator/>
      </w:r>
    </w:p>
  </w:endnote>
  <w:endnote w:type="continuationSeparator" w:id="0">
    <w:p w14:paraId="659EDCDD" w14:textId="77777777" w:rsidR="003B6AC8" w:rsidRDefault="003B6AC8" w:rsidP="00D60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4847B" w14:textId="77777777" w:rsidR="003B6AC8" w:rsidRDefault="003B6AC8" w:rsidP="00D60F69">
      <w:r>
        <w:separator/>
      </w:r>
    </w:p>
  </w:footnote>
  <w:footnote w:type="continuationSeparator" w:id="0">
    <w:p w14:paraId="327BEC59" w14:textId="77777777" w:rsidR="003B6AC8" w:rsidRDefault="003B6AC8" w:rsidP="00D60F69">
      <w:r>
        <w:continuationSeparator/>
      </w:r>
    </w:p>
  </w:footnote>
  <w:footnote w:id="1">
    <w:p w14:paraId="2138E13A" w14:textId="77777777" w:rsidR="003B6AC8" w:rsidRPr="00517A98" w:rsidRDefault="003B6AC8" w:rsidP="00517A98">
      <w:pPr>
        <w:pStyle w:val="FootnoteText"/>
        <w:jc w:val="both"/>
        <w:rPr>
          <w:sz w:val="16"/>
          <w:szCs w:val="16"/>
          <w:lang w:val="en-US"/>
        </w:rPr>
      </w:pPr>
      <w:r>
        <w:rPr>
          <w:rStyle w:val="FootnoteReference"/>
        </w:rPr>
        <w:footnoteRef/>
      </w:r>
      <w:r>
        <w:t xml:space="preserve"> </w:t>
      </w:r>
      <w:r w:rsidRPr="00517A98">
        <w:rPr>
          <w:sz w:val="16"/>
          <w:szCs w:val="16"/>
        </w:rPr>
        <w:t>General Comment No. 16: 1988.</w:t>
      </w:r>
      <w:r>
        <w:rPr>
          <w:sz w:val="16"/>
          <w:szCs w:val="16"/>
        </w:rPr>
        <w:t xml:space="preserve"> “…2. </w:t>
      </w:r>
      <w:r w:rsidRPr="00517A98">
        <w:rPr>
          <w:sz w:val="16"/>
          <w:szCs w:val="16"/>
        </w:rPr>
        <w:t xml:space="preserve">In this connection, the Committee wishes to point out that in the reports of States parties to the Covenant the necessary attention is not being given to information concerning the manner in which respect for this right </w:t>
      </w:r>
      <w:r>
        <w:rPr>
          <w:sz w:val="16"/>
          <w:szCs w:val="16"/>
        </w:rPr>
        <w:t xml:space="preserve">[right to privacy] </w:t>
      </w:r>
      <w:r w:rsidRPr="00517A98">
        <w:rPr>
          <w:sz w:val="16"/>
          <w:szCs w:val="16"/>
        </w:rPr>
        <w:t>is guaranteed by legislative, administrative or judicial authorities, and in general by the competent organs established in the State. In particular, insufficient attention is paid to the fact that article 17 of the Covenant deals with protection against both unlawful and arbitrary interference. That means that it is precisely in State legislation above all that provision must be made for the protection of the right set forth in that article. At present the reports either say nothing about such legislation or provide insufficient information on the subject.</w:t>
      </w:r>
      <w:r>
        <w:rPr>
          <w:sz w:val="16"/>
          <w:szCs w:val="16"/>
        </w:rPr>
        <w:t xml:space="preserve">  3. </w:t>
      </w:r>
      <w:r w:rsidRPr="00517A98">
        <w:rPr>
          <w:sz w:val="16"/>
          <w:szCs w:val="16"/>
        </w:rPr>
        <w:t>The term "unlawful" means that no interference can take place except in cases envisaged by the law. Interference authorized by States can only take place on the basis of law, which itself must comply with the provisions, aims and objectives of the Covenant.</w:t>
      </w:r>
      <w:r>
        <w:rPr>
          <w:sz w:val="16"/>
          <w:szCs w:val="16"/>
        </w:rPr>
        <w:t xml:space="preserve"> </w:t>
      </w:r>
      <w:r w:rsidRPr="00517A98">
        <w:rPr>
          <w:sz w:val="16"/>
          <w:szCs w:val="16"/>
        </w:rPr>
        <w:t>4.</w:t>
      </w:r>
      <w:r>
        <w:rPr>
          <w:sz w:val="16"/>
          <w:szCs w:val="16"/>
        </w:rPr>
        <w:t xml:space="preserve"> </w:t>
      </w:r>
      <w:r w:rsidRPr="00517A98">
        <w:rPr>
          <w:sz w:val="16"/>
          <w:szCs w:val="16"/>
        </w:rPr>
        <w:t>The expression "arbitrary interference" is also relevant to the protection of the right provided for in article 17. In the Committee's view the expression "arbitrary interference" can also extend to interference provided for under the law. The introduction of the concept of arbitrariness is intended to guarantee that even interference provided for by law should be in accordance with the provisions, aims and objectives of the Covenant and should be, in any event, reasonable in the particular circumstances.</w:t>
      </w:r>
      <w:r>
        <w:rPr>
          <w:sz w:val="16"/>
          <w:szCs w:val="16"/>
        </w:rPr>
        <w:t xml:space="preserve"> … </w:t>
      </w:r>
      <w:r w:rsidRPr="00517A98">
        <w:rPr>
          <w:sz w:val="16"/>
          <w:szCs w:val="16"/>
        </w:rPr>
        <w:t>6</w:t>
      </w:r>
      <w:r>
        <w:rPr>
          <w:sz w:val="16"/>
          <w:szCs w:val="16"/>
        </w:rPr>
        <w:t xml:space="preserve"> </w:t>
      </w:r>
      <w:r w:rsidRPr="00517A98">
        <w:rPr>
          <w:sz w:val="16"/>
          <w:szCs w:val="16"/>
        </w:rPr>
        <w:t>The Committee considers that the reports should include information on the authorities and organs set up within the legal system of the State which are competent to authorize interference allowed by the law. It is also indispensable to have information on the authorities which are entitled to exercise control over such interference with strict regard for the law, and to know in what manner and through which organs persons concerned may complain of a violation of the right provided for in article 17 of the Covenant. States should in their reports make clear the extent to which actual practice conforms to the law. State party reports should also contain information on complaints lodged in respect of arbitrary or unlawful interference, and the number of any findings in that regard, as well as the remedies provided in such cases.</w:t>
      </w:r>
      <w:r>
        <w:rPr>
          <w:sz w:val="16"/>
          <w:szCs w:val="16"/>
        </w:rPr>
        <w:t xml:space="preserve">  7. </w:t>
      </w:r>
      <w:r w:rsidRPr="00517A98">
        <w:rPr>
          <w:sz w:val="16"/>
          <w:szCs w:val="16"/>
        </w:rPr>
        <w:t>As all persons live in society, the protection of privacy is necessarily relative. However, the competent public authorities should only be able to call for such information relating to an individual's private life the knowledge of which is essential in the interests of society as understood under the Covenant. Accordingly, the Committee recommends that States should indicate in their reports the laws and regulations that govern authorized interferences with private life.</w:t>
      </w:r>
      <w:r>
        <w:rPr>
          <w:sz w:val="16"/>
          <w:szCs w:val="16"/>
        </w:rPr>
        <w:t xml:space="preserve"> 8. </w:t>
      </w:r>
      <w:r w:rsidRPr="00517A98">
        <w:rPr>
          <w:sz w:val="16"/>
          <w:szCs w:val="16"/>
        </w:rPr>
        <w:t>Even with regard to interferences that conform to the Covenant, relevant legislation must specify in detail the precise circumstances in which such interferences may be permitted. A decision to make use of such authorized interference must be made only by the authority designated under the law, and on a case-by-case basis. Compliance with article 17 requires that the integrity and confidentiality of correspondence should be guaranteed de jure and de facto. Correspondence should be delivered to the addressee without interception and without being opened or otherwise read. Surveillance, whether electronic or otherwise, interceptions of telephonic, telegraphic and other forms of communication, wire-tapping and recording of conversations should be prohibited. Searches of a person's home should be restricted to a search for necessary evidence and should not be allowed to amount to harassment. So far as personal and body search is concerned, effective measures should ensure that such searches are carried out in a manner consistent with the dignity of the person who is being searched. Persons being subjected to body search by State officials, or medical personnel acting at the request of the State, should only be examined by persons of the same sex.</w:t>
      </w:r>
      <w:r>
        <w:rPr>
          <w:sz w:val="16"/>
          <w:szCs w:val="16"/>
        </w:rPr>
        <w:t xml:space="preserve"> </w:t>
      </w:r>
      <w:r w:rsidRPr="00517A98">
        <w:rPr>
          <w:sz w:val="16"/>
          <w:szCs w:val="16"/>
        </w:rPr>
        <w:t>9.</w:t>
      </w:r>
      <w:r>
        <w:rPr>
          <w:sz w:val="16"/>
          <w:szCs w:val="16"/>
        </w:rPr>
        <w:t xml:space="preserve"> </w:t>
      </w:r>
      <w:r w:rsidRPr="00517A98">
        <w:rPr>
          <w:sz w:val="16"/>
          <w:szCs w:val="16"/>
        </w:rPr>
        <w:t>States parties are under a duty themselves not to engage in interferences inconsistent with article 17 of the Covenant and to provide the legislative framework prohibiting such acts by natural or legal persons.</w:t>
      </w:r>
      <w:r>
        <w:rPr>
          <w:sz w:val="16"/>
          <w:szCs w:val="16"/>
        </w:rPr>
        <w:t xml:space="preserve"> </w:t>
      </w:r>
      <w:r w:rsidRPr="00517A98">
        <w:rPr>
          <w:sz w:val="16"/>
          <w:szCs w:val="16"/>
        </w:rPr>
        <w:t>10.</w:t>
      </w:r>
      <w:r>
        <w:rPr>
          <w:sz w:val="16"/>
          <w:szCs w:val="16"/>
        </w:rPr>
        <w:t xml:space="preserve"> </w:t>
      </w:r>
      <w:r w:rsidRPr="00517A98">
        <w:rPr>
          <w:sz w:val="16"/>
          <w:szCs w:val="16"/>
        </w:rPr>
        <w:t>The gathering and holding of personal information on computers, data banks and other devices, whether by public authorities or private individuals or bodies, must be regulated by law. Effective measures have to be taken by States to ensure that information concerning a person's private life does not reach the hands of persons who are not authorized by law to receive, process and use it, and is never used for purposes incompatible with the Covenant. In order to have the most effective protection of his private life, every individual should have the right to ascertain in an intelligible form, whether, and if so, what personal data is stored in automatic data files, and for what purposes. Every individual should also be able to ascertain which public authorises or private individuals or bodies control or may control their files. If such files contain incorrect personal data or have been collected or processed contrary to the provisions of the law, every individual should have the right to request rectification or elimination.</w:t>
      </w:r>
      <w:r>
        <w:rPr>
          <w:sz w:val="16"/>
          <w:szCs w:val="16"/>
        </w:rPr>
        <w:t xml:space="preserve"> </w:t>
      </w:r>
      <w:r w:rsidRPr="00517A98">
        <w:rPr>
          <w:sz w:val="16"/>
          <w:szCs w:val="16"/>
        </w:rPr>
        <w:t>11.</w:t>
      </w:r>
      <w:r>
        <w:rPr>
          <w:sz w:val="16"/>
          <w:szCs w:val="16"/>
        </w:rPr>
        <w:t xml:space="preserve"> </w:t>
      </w:r>
      <w:r w:rsidRPr="00517A98">
        <w:rPr>
          <w:sz w:val="16"/>
          <w:szCs w:val="16"/>
        </w:rPr>
        <w:t>Article 17 affords protection to personal honour and reputation and States are under an obligation to provide adequate legislation to that end. Provision must also be made for everyone effectively to be able to protect himself against any unlawful attacks that do occur and to have an effective remedy against those responsible. States parties should indicate in their reports to what extent the honour or reputation of individuals is protected by law and how this protection is achieved according to their legal system.</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78A"/>
    <w:multiLevelType w:val="hybridMultilevel"/>
    <w:tmpl w:val="823E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93B78"/>
    <w:multiLevelType w:val="hybridMultilevel"/>
    <w:tmpl w:val="706EAB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B454E3"/>
    <w:multiLevelType w:val="hybridMultilevel"/>
    <w:tmpl w:val="A32C4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37025A7"/>
    <w:multiLevelType w:val="hybridMultilevel"/>
    <w:tmpl w:val="F970F41E"/>
    <w:lvl w:ilvl="0" w:tplc="83CC95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1703E0"/>
    <w:multiLevelType w:val="hybridMultilevel"/>
    <w:tmpl w:val="CF8E1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94"/>
  <w:embedSystemFonts/>
  <w:proofState w:spelling="clean" w:grammar="clean"/>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7B5C27"/>
    <w:rsid w:val="00036353"/>
    <w:rsid w:val="000442BE"/>
    <w:rsid w:val="000C6723"/>
    <w:rsid w:val="000D4401"/>
    <w:rsid w:val="001257A5"/>
    <w:rsid w:val="001F7214"/>
    <w:rsid w:val="00225FC2"/>
    <w:rsid w:val="00246820"/>
    <w:rsid w:val="002A30F7"/>
    <w:rsid w:val="002A4C14"/>
    <w:rsid w:val="002C0BF5"/>
    <w:rsid w:val="00397623"/>
    <w:rsid w:val="003B4DE3"/>
    <w:rsid w:val="003B6AC8"/>
    <w:rsid w:val="0042352F"/>
    <w:rsid w:val="004662CA"/>
    <w:rsid w:val="00487D14"/>
    <w:rsid w:val="00500556"/>
    <w:rsid w:val="00517A98"/>
    <w:rsid w:val="005C583D"/>
    <w:rsid w:val="005F202C"/>
    <w:rsid w:val="005F41B4"/>
    <w:rsid w:val="00694AE9"/>
    <w:rsid w:val="006B5E43"/>
    <w:rsid w:val="0075521F"/>
    <w:rsid w:val="007926A7"/>
    <w:rsid w:val="007B0236"/>
    <w:rsid w:val="007B5C27"/>
    <w:rsid w:val="007C4F03"/>
    <w:rsid w:val="007D7A06"/>
    <w:rsid w:val="008A4F0B"/>
    <w:rsid w:val="008C0A5B"/>
    <w:rsid w:val="008D3CDD"/>
    <w:rsid w:val="008E5D8E"/>
    <w:rsid w:val="00915660"/>
    <w:rsid w:val="00971668"/>
    <w:rsid w:val="00A75A9E"/>
    <w:rsid w:val="00AB7510"/>
    <w:rsid w:val="00AE78B4"/>
    <w:rsid w:val="00AE7B35"/>
    <w:rsid w:val="00AF42EF"/>
    <w:rsid w:val="00AF5C21"/>
    <w:rsid w:val="00B40EC8"/>
    <w:rsid w:val="00C24469"/>
    <w:rsid w:val="00C31CB3"/>
    <w:rsid w:val="00C37DCA"/>
    <w:rsid w:val="00C864EC"/>
    <w:rsid w:val="00C97429"/>
    <w:rsid w:val="00CA64B5"/>
    <w:rsid w:val="00CB0937"/>
    <w:rsid w:val="00D04285"/>
    <w:rsid w:val="00D60F69"/>
    <w:rsid w:val="00D938F7"/>
    <w:rsid w:val="00E03267"/>
    <w:rsid w:val="00EA6984"/>
    <w:rsid w:val="00EE53A8"/>
    <w:rsid w:val="00EE5A8B"/>
    <w:rsid w:val="00F9517D"/>
    <w:rsid w:val="00F976E9"/>
  </w:rsids>
  <m:mathPr>
    <m:mathFont m:val="Cambria Math"/>
    <m:brkBin m:val="before"/>
    <m:brkBinSub m:val="--"/>
    <m:smallFrac m:val="0"/>
    <m:dispDef m:val="0"/>
    <m:lMargin m:val="0"/>
    <m:rMargin m:val="0"/>
    <m:defJc m:val="centerGroup"/>
    <m:wrapRight/>
    <m:intLim m:val="subSup"/>
    <m:naryLim m:val="subSup"/>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160B4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0B"/>
    <w:rPr>
      <w:sz w:val="24"/>
      <w:szCs w:val="24"/>
      <w:lang w:val="en-GB"/>
    </w:rPr>
  </w:style>
  <w:style w:type="paragraph" w:styleId="Heading1">
    <w:name w:val="heading 1"/>
    <w:basedOn w:val="Normal"/>
    <w:next w:val="Normal"/>
    <w:qFormat/>
    <w:rsid w:val="001342FA"/>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qFormat/>
    <w:rsid w:val="001342FA"/>
    <w:pPr>
      <w:keepNext/>
      <w:spacing w:before="240" w:after="60"/>
      <w:outlineLvl w:val="1"/>
    </w:pPr>
    <w:rPr>
      <w:rFonts w:ascii="Arial" w:hAnsi="Arial" w:cs="Arial"/>
      <w:b/>
      <w:bCs/>
      <w:i/>
      <w:iCs/>
      <w:sz w:val="28"/>
      <w:szCs w:val="28"/>
      <w:lang w:val="en-US"/>
    </w:rPr>
  </w:style>
  <w:style w:type="paragraph" w:styleId="Heading3">
    <w:name w:val="heading 3"/>
    <w:basedOn w:val="Normal"/>
    <w:next w:val="Normal"/>
    <w:qFormat/>
    <w:rsid w:val="001342FA"/>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C27"/>
    <w:pPr>
      <w:ind w:left="720"/>
      <w:contextualSpacing/>
    </w:pPr>
  </w:style>
  <w:style w:type="paragraph" w:styleId="Header">
    <w:name w:val="header"/>
    <w:basedOn w:val="Normal"/>
    <w:link w:val="HeaderChar"/>
    <w:uiPriority w:val="99"/>
    <w:semiHidden/>
    <w:unhideWhenUsed/>
    <w:rsid w:val="00D60F69"/>
    <w:pPr>
      <w:tabs>
        <w:tab w:val="center" w:pos="4680"/>
        <w:tab w:val="right" w:pos="9360"/>
      </w:tabs>
    </w:pPr>
  </w:style>
  <w:style w:type="character" w:customStyle="1" w:styleId="HeaderChar">
    <w:name w:val="Header Char"/>
    <w:basedOn w:val="DefaultParagraphFont"/>
    <w:link w:val="Header"/>
    <w:uiPriority w:val="99"/>
    <w:semiHidden/>
    <w:rsid w:val="00D60F69"/>
    <w:rPr>
      <w:sz w:val="24"/>
      <w:szCs w:val="24"/>
      <w:lang w:val="en-GB"/>
    </w:rPr>
  </w:style>
  <w:style w:type="paragraph" w:styleId="Footer">
    <w:name w:val="footer"/>
    <w:basedOn w:val="Normal"/>
    <w:link w:val="FooterChar"/>
    <w:uiPriority w:val="99"/>
    <w:semiHidden/>
    <w:unhideWhenUsed/>
    <w:rsid w:val="00D60F69"/>
    <w:pPr>
      <w:tabs>
        <w:tab w:val="center" w:pos="4680"/>
        <w:tab w:val="right" w:pos="9360"/>
      </w:tabs>
    </w:pPr>
  </w:style>
  <w:style w:type="character" w:customStyle="1" w:styleId="FooterChar">
    <w:name w:val="Footer Char"/>
    <w:basedOn w:val="DefaultParagraphFont"/>
    <w:link w:val="Footer"/>
    <w:uiPriority w:val="99"/>
    <w:semiHidden/>
    <w:rsid w:val="00D60F69"/>
    <w:rPr>
      <w:sz w:val="24"/>
      <w:szCs w:val="24"/>
      <w:lang w:val="en-GB"/>
    </w:rPr>
  </w:style>
  <w:style w:type="paragraph" w:styleId="BalloonText">
    <w:name w:val="Balloon Text"/>
    <w:basedOn w:val="Normal"/>
    <w:link w:val="BalloonTextChar"/>
    <w:uiPriority w:val="99"/>
    <w:semiHidden/>
    <w:unhideWhenUsed/>
    <w:rsid w:val="00B40EC8"/>
    <w:rPr>
      <w:rFonts w:ascii="Tahoma" w:hAnsi="Tahoma" w:cs="Tahoma"/>
      <w:sz w:val="16"/>
      <w:szCs w:val="16"/>
    </w:rPr>
  </w:style>
  <w:style w:type="character" w:customStyle="1" w:styleId="BalloonTextChar">
    <w:name w:val="Balloon Text Char"/>
    <w:basedOn w:val="DefaultParagraphFont"/>
    <w:link w:val="BalloonText"/>
    <w:uiPriority w:val="99"/>
    <w:semiHidden/>
    <w:rsid w:val="00B40EC8"/>
    <w:rPr>
      <w:rFonts w:ascii="Tahoma" w:hAnsi="Tahoma" w:cs="Tahoma"/>
      <w:sz w:val="16"/>
      <w:szCs w:val="16"/>
      <w:lang w:val="en-GB"/>
    </w:rPr>
  </w:style>
  <w:style w:type="character" w:styleId="CommentReference">
    <w:name w:val="annotation reference"/>
    <w:basedOn w:val="DefaultParagraphFont"/>
    <w:uiPriority w:val="99"/>
    <w:semiHidden/>
    <w:unhideWhenUsed/>
    <w:rsid w:val="00B40EC8"/>
    <w:rPr>
      <w:sz w:val="16"/>
      <w:szCs w:val="16"/>
    </w:rPr>
  </w:style>
  <w:style w:type="paragraph" w:styleId="CommentText">
    <w:name w:val="annotation text"/>
    <w:basedOn w:val="Normal"/>
    <w:link w:val="CommentTextChar"/>
    <w:uiPriority w:val="99"/>
    <w:semiHidden/>
    <w:unhideWhenUsed/>
    <w:rsid w:val="00B40EC8"/>
    <w:rPr>
      <w:sz w:val="20"/>
      <w:szCs w:val="20"/>
    </w:rPr>
  </w:style>
  <w:style w:type="character" w:customStyle="1" w:styleId="CommentTextChar">
    <w:name w:val="Comment Text Char"/>
    <w:basedOn w:val="DefaultParagraphFont"/>
    <w:link w:val="CommentText"/>
    <w:uiPriority w:val="99"/>
    <w:semiHidden/>
    <w:rsid w:val="00B40EC8"/>
    <w:rPr>
      <w:lang w:val="en-GB"/>
    </w:rPr>
  </w:style>
  <w:style w:type="paragraph" w:styleId="CommentSubject">
    <w:name w:val="annotation subject"/>
    <w:basedOn w:val="CommentText"/>
    <w:next w:val="CommentText"/>
    <w:link w:val="CommentSubjectChar"/>
    <w:uiPriority w:val="99"/>
    <w:semiHidden/>
    <w:unhideWhenUsed/>
    <w:rsid w:val="00B40EC8"/>
    <w:rPr>
      <w:b/>
      <w:bCs/>
    </w:rPr>
  </w:style>
  <w:style w:type="character" w:customStyle="1" w:styleId="CommentSubjectChar">
    <w:name w:val="Comment Subject Char"/>
    <w:basedOn w:val="CommentTextChar"/>
    <w:link w:val="CommentSubject"/>
    <w:uiPriority w:val="99"/>
    <w:semiHidden/>
    <w:rsid w:val="00B40EC8"/>
    <w:rPr>
      <w:b/>
      <w:bCs/>
      <w:lang w:val="en-GB"/>
    </w:rPr>
  </w:style>
  <w:style w:type="paragraph" w:styleId="FootnoteText">
    <w:name w:val="footnote text"/>
    <w:basedOn w:val="Normal"/>
    <w:link w:val="FootnoteTextChar"/>
    <w:uiPriority w:val="99"/>
    <w:unhideWhenUsed/>
    <w:rsid w:val="00517A98"/>
  </w:style>
  <w:style w:type="character" w:customStyle="1" w:styleId="FootnoteTextChar">
    <w:name w:val="Footnote Text Char"/>
    <w:basedOn w:val="DefaultParagraphFont"/>
    <w:link w:val="FootnoteText"/>
    <w:uiPriority w:val="99"/>
    <w:rsid w:val="00517A98"/>
    <w:rPr>
      <w:sz w:val="24"/>
      <w:szCs w:val="24"/>
      <w:lang w:val="en-GB"/>
    </w:rPr>
  </w:style>
  <w:style w:type="character" w:styleId="FootnoteReference">
    <w:name w:val="footnote reference"/>
    <w:basedOn w:val="DefaultParagraphFont"/>
    <w:uiPriority w:val="99"/>
    <w:unhideWhenUsed/>
    <w:rsid w:val="00517A98"/>
    <w:rPr>
      <w:vertAlign w:val="superscript"/>
    </w:rPr>
  </w:style>
  <w:style w:type="character" w:customStyle="1" w:styleId="hps">
    <w:name w:val="hps"/>
    <w:basedOn w:val="DefaultParagraphFont"/>
    <w:rsid w:val="00C31CB3"/>
  </w:style>
  <w:style w:type="character" w:styleId="Hyperlink">
    <w:name w:val="Hyperlink"/>
    <w:basedOn w:val="DefaultParagraphFont"/>
    <w:uiPriority w:val="99"/>
    <w:unhideWhenUsed/>
    <w:rsid w:val="00AE7B35"/>
    <w:rPr>
      <w:color w:val="0000FF" w:themeColor="hyperlink"/>
      <w:u w:val="single"/>
    </w:rPr>
  </w:style>
  <w:style w:type="character" w:customStyle="1" w:styleId="footnotecharacters">
    <w:name w:val="footnotecharacters"/>
    <w:basedOn w:val="DefaultParagraphFont"/>
    <w:rsid w:val="00AE7B35"/>
  </w:style>
  <w:style w:type="paragraph" w:customStyle="1" w:styleId="privacysurveybodytxt">
    <w:name w:val="privacysurveybodytxt"/>
    <w:basedOn w:val="Normal"/>
    <w:rsid w:val="00F9517D"/>
    <w:pPr>
      <w:spacing w:before="100" w:beforeAutospacing="1" w:after="100" w:afterAutospacing="1"/>
    </w:pPr>
    <w:rPr>
      <w:rFonts w:ascii="Times New Roman" w:eastAsia="Times New Roman" w:hAnsi="Times New Roman" w:cs="Times New Roman"/>
      <w:lang w:val="pt-BR" w:eastAsia="pt-B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F0B"/>
    <w:rPr>
      <w:sz w:val="24"/>
      <w:szCs w:val="24"/>
      <w:lang w:val="en-GB"/>
    </w:rPr>
  </w:style>
  <w:style w:type="paragraph" w:styleId="Heading1">
    <w:name w:val="heading 1"/>
    <w:basedOn w:val="Normal"/>
    <w:next w:val="Normal"/>
    <w:qFormat/>
    <w:rsid w:val="001342FA"/>
    <w:pPr>
      <w:keepNext/>
      <w:spacing w:before="240" w:after="60"/>
      <w:outlineLvl w:val="0"/>
    </w:pPr>
    <w:rPr>
      <w:rFonts w:ascii="Arial" w:hAnsi="Arial" w:cs="Arial"/>
      <w:b/>
      <w:bCs/>
      <w:kern w:val="32"/>
      <w:sz w:val="32"/>
      <w:szCs w:val="32"/>
      <w:lang w:val="en-US"/>
    </w:rPr>
  </w:style>
  <w:style w:type="paragraph" w:styleId="Heading2">
    <w:name w:val="heading 2"/>
    <w:basedOn w:val="Normal"/>
    <w:next w:val="Normal"/>
    <w:qFormat/>
    <w:rsid w:val="001342FA"/>
    <w:pPr>
      <w:keepNext/>
      <w:spacing w:before="240" w:after="60"/>
      <w:outlineLvl w:val="1"/>
    </w:pPr>
    <w:rPr>
      <w:rFonts w:ascii="Arial" w:hAnsi="Arial" w:cs="Arial"/>
      <w:b/>
      <w:bCs/>
      <w:i/>
      <w:iCs/>
      <w:sz w:val="28"/>
      <w:szCs w:val="28"/>
      <w:lang w:val="en-US"/>
    </w:rPr>
  </w:style>
  <w:style w:type="paragraph" w:styleId="Heading3">
    <w:name w:val="heading 3"/>
    <w:basedOn w:val="Normal"/>
    <w:next w:val="Normal"/>
    <w:qFormat/>
    <w:rsid w:val="001342FA"/>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C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6999">
      <w:bodyDiv w:val="1"/>
      <w:marLeft w:val="0"/>
      <w:marRight w:val="0"/>
      <w:marTop w:val="0"/>
      <w:marBottom w:val="0"/>
      <w:divBdr>
        <w:top w:val="none" w:sz="0" w:space="0" w:color="auto"/>
        <w:left w:val="none" w:sz="0" w:space="0" w:color="auto"/>
        <w:bottom w:val="none" w:sz="0" w:space="0" w:color="auto"/>
        <w:right w:val="none" w:sz="0" w:space="0" w:color="auto"/>
      </w:divBdr>
      <w:divsChild>
        <w:div w:id="1854220494">
          <w:marLeft w:val="0"/>
          <w:marRight w:val="0"/>
          <w:marTop w:val="0"/>
          <w:marBottom w:val="0"/>
          <w:divBdr>
            <w:top w:val="none" w:sz="0" w:space="0" w:color="auto"/>
            <w:left w:val="none" w:sz="0" w:space="0" w:color="auto"/>
            <w:bottom w:val="none" w:sz="0" w:space="0" w:color="auto"/>
            <w:right w:val="none" w:sz="0" w:space="0" w:color="auto"/>
          </w:divBdr>
          <w:divsChild>
            <w:div w:id="285045340">
              <w:marLeft w:val="0"/>
              <w:marRight w:val="0"/>
              <w:marTop w:val="0"/>
              <w:marBottom w:val="0"/>
              <w:divBdr>
                <w:top w:val="none" w:sz="0" w:space="0" w:color="auto"/>
                <w:left w:val="none" w:sz="0" w:space="0" w:color="auto"/>
                <w:bottom w:val="none" w:sz="0" w:space="0" w:color="auto"/>
                <w:right w:val="none" w:sz="0" w:space="0" w:color="auto"/>
              </w:divBdr>
              <w:divsChild>
                <w:div w:id="92552513">
                  <w:marLeft w:val="0"/>
                  <w:marRight w:val="0"/>
                  <w:marTop w:val="0"/>
                  <w:marBottom w:val="0"/>
                  <w:divBdr>
                    <w:top w:val="none" w:sz="0" w:space="0" w:color="auto"/>
                    <w:left w:val="none" w:sz="0" w:space="0" w:color="auto"/>
                    <w:bottom w:val="none" w:sz="0" w:space="0" w:color="auto"/>
                    <w:right w:val="none" w:sz="0" w:space="0" w:color="auto"/>
                  </w:divBdr>
                  <w:divsChild>
                    <w:div w:id="1575621173">
                      <w:marLeft w:val="0"/>
                      <w:marRight w:val="0"/>
                      <w:marTop w:val="0"/>
                      <w:marBottom w:val="0"/>
                      <w:divBdr>
                        <w:top w:val="none" w:sz="0" w:space="0" w:color="auto"/>
                        <w:left w:val="none" w:sz="0" w:space="0" w:color="auto"/>
                        <w:bottom w:val="none" w:sz="0" w:space="0" w:color="auto"/>
                        <w:right w:val="none" w:sz="0" w:space="0" w:color="auto"/>
                      </w:divBdr>
                      <w:divsChild>
                        <w:div w:id="960188527">
                          <w:marLeft w:val="0"/>
                          <w:marRight w:val="0"/>
                          <w:marTop w:val="0"/>
                          <w:marBottom w:val="0"/>
                          <w:divBdr>
                            <w:top w:val="none" w:sz="0" w:space="0" w:color="auto"/>
                            <w:left w:val="none" w:sz="0" w:space="0" w:color="auto"/>
                            <w:bottom w:val="none" w:sz="0" w:space="0" w:color="auto"/>
                            <w:right w:val="none" w:sz="0" w:space="0" w:color="auto"/>
                          </w:divBdr>
                          <w:divsChild>
                            <w:div w:id="420493471">
                              <w:marLeft w:val="0"/>
                              <w:marRight w:val="0"/>
                              <w:marTop w:val="0"/>
                              <w:marBottom w:val="0"/>
                              <w:divBdr>
                                <w:top w:val="none" w:sz="0" w:space="0" w:color="auto"/>
                                <w:left w:val="none" w:sz="0" w:space="0" w:color="auto"/>
                                <w:bottom w:val="none" w:sz="0" w:space="0" w:color="auto"/>
                                <w:right w:val="none" w:sz="0" w:space="0" w:color="auto"/>
                              </w:divBdr>
                              <w:divsChild>
                                <w:div w:id="4350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78245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2A2BA-6A89-E844-808B-871D5C808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9</Pages>
  <Words>2854</Words>
  <Characters>16268</Characters>
  <Application>Microsoft Macintosh Word</Application>
  <DocSecurity>0</DocSecurity>
  <Lines>135</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CognitionLLP</Company>
  <LinksUpToDate>false</LinksUpToDate>
  <CharactersWithSpaces>19084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von Arx</dc:creator>
  <cp:lastModifiedBy>Kim von Arx</cp:lastModifiedBy>
  <cp:revision>5</cp:revision>
  <dcterms:created xsi:type="dcterms:W3CDTF">2011-01-13T23:42:00Z</dcterms:created>
  <dcterms:modified xsi:type="dcterms:W3CDTF">2011-01-15T02:37:00Z</dcterms:modified>
</cp:coreProperties>
</file>