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8D167D" w14:textId="77777777" w:rsidR="00D040F0" w:rsidRPr="006F2CC1" w:rsidRDefault="00D040F0" w:rsidP="00D040F0">
      <w:pPr>
        <w:widowControl w:val="0"/>
        <w:suppressAutoHyphens w:val="0"/>
        <w:autoSpaceDE w:val="0"/>
        <w:autoSpaceDN w:val="0"/>
        <w:adjustRightInd w:val="0"/>
        <w:jc w:val="center"/>
        <w:rPr>
          <w:rFonts w:ascii="Calibri" w:eastAsiaTheme="minorEastAsia" w:hAnsi="Calibri" w:cs="Calibri"/>
          <w:b/>
          <w:kern w:val="0"/>
          <w:sz w:val="32"/>
          <w:szCs w:val="32"/>
          <w:lang w:eastAsia="en-US" w:bidi="ar-SA"/>
        </w:rPr>
      </w:pPr>
      <w:bookmarkStart w:id="0" w:name="_GoBack"/>
      <w:bookmarkEnd w:id="0"/>
      <w:r w:rsidRPr="006F2CC1">
        <w:rPr>
          <w:rFonts w:ascii="Calibri" w:eastAsiaTheme="minorEastAsia" w:hAnsi="Calibri" w:cs="Calibri"/>
          <w:b/>
          <w:kern w:val="0"/>
          <w:sz w:val="32"/>
          <w:szCs w:val="32"/>
          <w:lang w:eastAsia="en-US" w:bidi="ar-SA"/>
        </w:rPr>
        <w:t>WHOIS Policy Review Team Final Report (Draft) – Recommendations</w:t>
      </w:r>
    </w:p>
    <w:p w14:paraId="7EA49A97" w14:textId="77777777" w:rsidR="00D040F0" w:rsidRDefault="00D040F0" w:rsidP="00D040F0">
      <w:pPr>
        <w:widowControl w:val="0"/>
        <w:suppressAutoHyphens w:val="0"/>
        <w:autoSpaceDE w:val="0"/>
        <w:autoSpaceDN w:val="0"/>
        <w:adjustRightInd w:val="0"/>
        <w:rPr>
          <w:rFonts w:ascii="Calibri" w:eastAsiaTheme="minorEastAsia" w:hAnsi="Calibri" w:cs="Calibri"/>
          <w:kern w:val="0"/>
          <w:sz w:val="28"/>
          <w:szCs w:val="28"/>
          <w:lang w:eastAsia="en-US" w:bidi="ar-SA"/>
        </w:rPr>
      </w:pPr>
    </w:p>
    <w:p w14:paraId="424E6F11" w14:textId="5607BF88" w:rsidR="006F2CC1" w:rsidRPr="006F2CC1" w:rsidRDefault="006F2CC1" w:rsidP="00D040F0">
      <w:pPr>
        <w:widowControl w:val="0"/>
        <w:suppressAutoHyphens w:val="0"/>
        <w:autoSpaceDE w:val="0"/>
        <w:autoSpaceDN w:val="0"/>
        <w:adjustRightInd w:val="0"/>
        <w:rPr>
          <w:rFonts w:ascii="Calibri" w:eastAsiaTheme="minorEastAsia" w:hAnsi="Calibri" w:cs="Calibri"/>
          <w:b/>
          <w:kern w:val="0"/>
          <w:u w:val="single"/>
          <w:lang w:eastAsia="en-US" w:bidi="ar-SA"/>
        </w:rPr>
      </w:pPr>
      <w:r w:rsidRPr="006F2CC1">
        <w:rPr>
          <w:rFonts w:ascii="Calibri" w:eastAsiaTheme="minorEastAsia" w:hAnsi="Calibri" w:cs="Calibri"/>
          <w:b/>
          <w:kern w:val="0"/>
          <w:u w:val="single"/>
          <w:lang w:eastAsia="en-US" w:bidi="ar-SA"/>
        </w:rPr>
        <w:t xml:space="preserve">Link to document: </w:t>
      </w:r>
    </w:p>
    <w:p w14:paraId="11AD597B" w14:textId="68CEFC98" w:rsidR="006F2CC1" w:rsidRPr="006F2CC1" w:rsidRDefault="001C1702" w:rsidP="00D040F0">
      <w:pPr>
        <w:widowControl w:val="0"/>
        <w:suppressAutoHyphens w:val="0"/>
        <w:autoSpaceDE w:val="0"/>
        <w:autoSpaceDN w:val="0"/>
        <w:adjustRightInd w:val="0"/>
        <w:rPr>
          <w:rFonts w:ascii="Calibri" w:eastAsiaTheme="minorEastAsia" w:hAnsi="Calibri" w:cs="Calibri"/>
          <w:kern w:val="0"/>
          <w:lang w:eastAsia="en-US" w:bidi="ar-SA"/>
        </w:rPr>
      </w:pPr>
      <w:hyperlink r:id="rId9" w:history="1">
        <w:r w:rsidR="006F2CC1" w:rsidRPr="006F2CC1">
          <w:rPr>
            <w:rStyle w:val="Hyperlink"/>
            <w:rFonts w:ascii="Calibri" w:eastAsiaTheme="minorEastAsia" w:hAnsi="Calibri" w:cs="Calibri"/>
            <w:kern w:val="0"/>
            <w:lang w:eastAsia="en-US" w:bidi="ar-SA"/>
          </w:rPr>
          <w:t>http://www.icann.org/en/reviews/affirmation/whois-rt-draft-final-report-05dec11-en.pdf</w:t>
        </w:r>
      </w:hyperlink>
    </w:p>
    <w:p w14:paraId="5A1A3A52" w14:textId="77777777" w:rsidR="006F2CC1" w:rsidRPr="006F2CC1" w:rsidRDefault="006F2CC1" w:rsidP="00D040F0">
      <w:pPr>
        <w:widowControl w:val="0"/>
        <w:suppressAutoHyphens w:val="0"/>
        <w:autoSpaceDE w:val="0"/>
        <w:autoSpaceDN w:val="0"/>
        <w:adjustRightInd w:val="0"/>
        <w:rPr>
          <w:rFonts w:ascii="Calibri" w:eastAsiaTheme="minorEastAsia" w:hAnsi="Calibri" w:cs="Calibri"/>
          <w:kern w:val="0"/>
          <w:lang w:eastAsia="en-US" w:bidi="ar-SA"/>
        </w:rPr>
      </w:pPr>
    </w:p>
    <w:p w14:paraId="67BD4362" w14:textId="3AC94412" w:rsidR="006F2CC1" w:rsidRPr="006F2CC1" w:rsidRDefault="006F2CC1" w:rsidP="00D040F0">
      <w:pPr>
        <w:widowControl w:val="0"/>
        <w:suppressAutoHyphens w:val="0"/>
        <w:autoSpaceDE w:val="0"/>
        <w:autoSpaceDN w:val="0"/>
        <w:adjustRightInd w:val="0"/>
        <w:rPr>
          <w:rFonts w:ascii="Calibri" w:eastAsiaTheme="minorEastAsia" w:hAnsi="Calibri" w:cs="Calibri"/>
          <w:b/>
          <w:kern w:val="0"/>
          <w:u w:val="single"/>
          <w:lang w:eastAsia="en-US" w:bidi="ar-SA"/>
        </w:rPr>
      </w:pPr>
      <w:r w:rsidRPr="006F2CC1">
        <w:rPr>
          <w:rFonts w:ascii="Calibri" w:eastAsiaTheme="minorEastAsia" w:hAnsi="Calibri" w:cs="Calibri"/>
          <w:b/>
          <w:kern w:val="0"/>
          <w:u w:val="single"/>
          <w:lang w:eastAsia="en-US" w:bidi="ar-SA"/>
        </w:rPr>
        <w:t>Translations:</w:t>
      </w:r>
    </w:p>
    <w:p w14:paraId="62CF0395" w14:textId="1DD335CC" w:rsidR="006F2CC1" w:rsidRPr="006F2CC1" w:rsidRDefault="006F2CC1" w:rsidP="006F2CC1">
      <w:pPr>
        <w:pStyle w:val="ListParagraph"/>
        <w:widowControl w:val="0"/>
        <w:numPr>
          <w:ilvl w:val="0"/>
          <w:numId w:val="5"/>
        </w:numPr>
        <w:suppressAutoHyphens w:val="0"/>
        <w:autoSpaceDE w:val="0"/>
        <w:autoSpaceDN w:val="0"/>
        <w:adjustRightInd w:val="0"/>
        <w:rPr>
          <w:rFonts w:ascii="Calibri" w:eastAsiaTheme="minorEastAsia" w:hAnsi="Calibri" w:cs="Calibri"/>
          <w:kern w:val="0"/>
          <w:lang w:eastAsia="en-US" w:bidi="ar-SA"/>
        </w:rPr>
      </w:pPr>
      <w:r w:rsidRPr="006F2CC1">
        <w:rPr>
          <w:rFonts w:ascii="Calibri" w:eastAsiaTheme="minorEastAsia" w:hAnsi="Calibri" w:cs="Calibri"/>
          <w:kern w:val="0"/>
          <w:lang w:eastAsia="en-US" w:bidi="ar-SA"/>
        </w:rPr>
        <w:t xml:space="preserve">AR: </w:t>
      </w:r>
      <w:hyperlink r:id="rId10" w:history="1">
        <w:r w:rsidRPr="006F2CC1">
          <w:rPr>
            <w:rStyle w:val="Hyperlink"/>
            <w:rFonts w:ascii="Calibri" w:eastAsiaTheme="minorEastAsia" w:hAnsi="Calibri" w:cs="Calibri"/>
            <w:kern w:val="0"/>
            <w:lang w:eastAsia="en-US" w:bidi="ar-SA"/>
          </w:rPr>
          <w:t>http://www.icann.org/ar/reviews/affirmation/whois-rt-draft-final-report-05dec11-ar.pdf</w:t>
        </w:r>
      </w:hyperlink>
      <w:r w:rsidRPr="006F2CC1">
        <w:rPr>
          <w:rFonts w:ascii="Calibri" w:eastAsiaTheme="minorEastAsia" w:hAnsi="Calibri" w:cs="Calibri"/>
          <w:kern w:val="0"/>
          <w:lang w:eastAsia="en-US" w:bidi="ar-SA"/>
        </w:rPr>
        <w:t xml:space="preserve"> </w:t>
      </w:r>
    </w:p>
    <w:p w14:paraId="0AD19204" w14:textId="57DB7404" w:rsidR="006F2CC1" w:rsidRPr="006F2CC1" w:rsidRDefault="006F2CC1" w:rsidP="006F2CC1">
      <w:pPr>
        <w:pStyle w:val="ListParagraph"/>
        <w:widowControl w:val="0"/>
        <w:numPr>
          <w:ilvl w:val="0"/>
          <w:numId w:val="5"/>
        </w:numPr>
        <w:suppressAutoHyphens w:val="0"/>
        <w:autoSpaceDE w:val="0"/>
        <w:autoSpaceDN w:val="0"/>
        <w:adjustRightInd w:val="0"/>
        <w:rPr>
          <w:rFonts w:ascii="Calibri" w:eastAsiaTheme="minorEastAsia" w:hAnsi="Calibri" w:cs="Calibri"/>
          <w:kern w:val="0"/>
          <w:lang w:eastAsia="en-US" w:bidi="ar-SA"/>
        </w:rPr>
      </w:pPr>
      <w:r w:rsidRPr="006F2CC1">
        <w:rPr>
          <w:rFonts w:ascii="Calibri" w:eastAsiaTheme="minorEastAsia" w:hAnsi="Calibri" w:cs="Calibri"/>
          <w:kern w:val="0"/>
          <w:lang w:eastAsia="en-US" w:bidi="ar-SA"/>
        </w:rPr>
        <w:t xml:space="preserve">ES: </w:t>
      </w:r>
      <w:hyperlink r:id="rId11" w:history="1">
        <w:r w:rsidRPr="006F2CC1">
          <w:rPr>
            <w:rStyle w:val="Hyperlink"/>
            <w:rFonts w:ascii="Calibri" w:eastAsiaTheme="minorEastAsia" w:hAnsi="Calibri" w:cs="Calibri"/>
            <w:kern w:val="0"/>
            <w:lang w:eastAsia="en-US" w:bidi="ar-SA"/>
          </w:rPr>
          <w:t>http://www.icann.org/en/news/public-comment/whois-rt-draft-final-report-05dec11-en.htm</w:t>
        </w:r>
      </w:hyperlink>
      <w:r w:rsidRPr="006F2CC1">
        <w:rPr>
          <w:rFonts w:ascii="Calibri" w:eastAsiaTheme="minorEastAsia" w:hAnsi="Calibri" w:cs="Calibri"/>
          <w:kern w:val="0"/>
          <w:lang w:eastAsia="en-US" w:bidi="ar-SA"/>
        </w:rPr>
        <w:t xml:space="preserve"> </w:t>
      </w:r>
    </w:p>
    <w:p w14:paraId="0C1BCBB9" w14:textId="5FFD4E06" w:rsidR="006F2CC1" w:rsidRPr="006F2CC1" w:rsidRDefault="006F2CC1" w:rsidP="006F2CC1">
      <w:pPr>
        <w:pStyle w:val="ListParagraph"/>
        <w:widowControl w:val="0"/>
        <w:numPr>
          <w:ilvl w:val="0"/>
          <w:numId w:val="5"/>
        </w:numPr>
        <w:suppressAutoHyphens w:val="0"/>
        <w:autoSpaceDE w:val="0"/>
        <w:autoSpaceDN w:val="0"/>
        <w:adjustRightInd w:val="0"/>
        <w:rPr>
          <w:rFonts w:ascii="Calibri" w:eastAsiaTheme="minorEastAsia" w:hAnsi="Calibri" w:cs="Calibri"/>
          <w:kern w:val="0"/>
          <w:lang w:eastAsia="en-US" w:bidi="ar-SA"/>
        </w:rPr>
      </w:pPr>
      <w:r w:rsidRPr="006F2CC1">
        <w:rPr>
          <w:rFonts w:ascii="Calibri" w:eastAsiaTheme="minorEastAsia" w:hAnsi="Calibri" w:cs="Calibri"/>
          <w:kern w:val="0"/>
          <w:lang w:eastAsia="en-US" w:bidi="ar-SA"/>
        </w:rPr>
        <w:t xml:space="preserve">FR: </w:t>
      </w:r>
      <w:hyperlink r:id="rId12" w:history="1">
        <w:r w:rsidRPr="006F2CC1">
          <w:rPr>
            <w:rStyle w:val="Hyperlink"/>
            <w:rFonts w:ascii="Calibri" w:eastAsiaTheme="minorEastAsia" w:hAnsi="Calibri" w:cs="Calibri"/>
            <w:kern w:val="0"/>
            <w:lang w:eastAsia="en-US" w:bidi="ar-SA"/>
          </w:rPr>
          <w:t>http://www.icann.org/fr/reviews/affirmation/whois-rt-draft-final-report-05dec11-fr.pdf</w:t>
        </w:r>
      </w:hyperlink>
      <w:r w:rsidRPr="006F2CC1">
        <w:rPr>
          <w:rFonts w:ascii="Calibri" w:eastAsiaTheme="minorEastAsia" w:hAnsi="Calibri" w:cs="Calibri"/>
          <w:kern w:val="0"/>
          <w:lang w:eastAsia="en-US" w:bidi="ar-SA"/>
        </w:rPr>
        <w:t xml:space="preserve"> </w:t>
      </w:r>
    </w:p>
    <w:p w14:paraId="77FF42AB" w14:textId="794A39C6" w:rsidR="006F2CC1" w:rsidRPr="006F2CC1" w:rsidRDefault="006F2CC1" w:rsidP="006F2CC1">
      <w:pPr>
        <w:pStyle w:val="ListParagraph"/>
        <w:widowControl w:val="0"/>
        <w:numPr>
          <w:ilvl w:val="0"/>
          <w:numId w:val="5"/>
        </w:numPr>
        <w:suppressAutoHyphens w:val="0"/>
        <w:autoSpaceDE w:val="0"/>
        <w:autoSpaceDN w:val="0"/>
        <w:adjustRightInd w:val="0"/>
        <w:rPr>
          <w:rFonts w:ascii="Calibri" w:eastAsiaTheme="minorEastAsia" w:hAnsi="Calibri" w:cs="Calibri"/>
          <w:kern w:val="0"/>
          <w:lang w:eastAsia="en-US" w:bidi="ar-SA"/>
        </w:rPr>
      </w:pPr>
      <w:r w:rsidRPr="006F2CC1">
        <w:rPr>
          <w:rFonts w:ascii="Calibri" w:eastAsiaTheme="minorEastAsia" w:hAnsi="Calibri" w:cs="Calibri"/>
          <w:kern w:val="0"/>
          <w:lang w:eastAsia="en-US" w:bidi="ar-SA"/>
        </w:rPr>
        <w:t xml:space="preserve">RU: </w:t>
      </w:r>
      <w:hyperlink r:id="rId13" w:history="1">
        <w:r w:rsidRPr="006F2CC1">
          <w:rPr>
            <w:rStyle w:val="Hyperlink"/>
            <w:rFonts w:ascii="Calibri" w:eastAsiaTheme="minorEastAsia" w:hAnsi="Calibri" w:cs="Calibri"/>
            <w:kern w:val="0"/>
            <w:lang w:eastAsia="en-US" w:bidi="ar-SA"/>
          </w:rPr>
          <w:t>http://www.icann.org/ru/reviews/affirmation/whois-rt-draft-final-report-05dec11-ru.pdf</w:t>
        </w:r>
      </w:hyperlink>
      <w:r w:rsidRPr="006F2CC1">
        <w:rPr>
          <w:rFonts w:ascii="Calibri" w:eastAsiaTheme="minorEastAsia" w:hAnsi="Calibri" w:cs="Calibri"/>
          <w:kern w:val="0"/>
          <w:lang w:eastAsia="en-US" w:bidi="ar-SA"/>
        </w:rPr>
        <w:t xml:space="preserve"> </w:t>
      </w:r>
    </w:p>
    <w:p w14:paraId="1DB2AC24" w14:textId="2EE76818" w:rsidR="006F2CC1" w:rsidRPr="006F2CC1" w:rsidRDefault="006F2CC1" w:rsidP="006F2CC1">
      <w:pPr>
        <w:pStyle w:val="ListParagraph"/>
        <w:widowControl w:val="0"/>
        <w:numPr>
          <w:ilvl w:val="0"/>
          <w:numId w:val="5"/>
        </w:numPr>
        <w:suppressAutoHyphens w:val="0"/>
        <w:autoSpaceDE w:val="0"/>
        <w:autoSpaceDN w:val="0"/>
        <w:adjustRightInd w:val="0"/>
        <w:rPr>
          <w:rFonts w:ascii="Calibri" w:eastAsiaTheme="minorEastAsia" w:hAnsi="Calibri" w:cs="Calibri"/>
          <w:kern w:val="0"/>
          <w:lang w:eastAsia="en-US" w:bidi="ar-SA"/>
        </w:rPr>
      </w:pPr>
      <w:r w:rsidRPr="006F2CC1">
        <w:rPr>
          <w:rFonts w:ascii="Calibri" w:eastAsiaTheme="minorEastAsia" w:hAnsi="Calibri" w:cs="Calibri"/>
          <w:kern w:val="0"/>
          <w:lang w:eastAsia="en-US" w:bidi="ar-SA"/>
        </w:rPr>
        <w:t xml:space="preserve">ZH: </w:t>
      </w:r>
      <w:hyperlink r:id="rId14" w:history="1">
        <w:r w:rsidRPr="006F2CC1">
          <w:rPr>
            <w:rStyle w:val="Hyperlink"/>
            <w:rFonts w:ascii="Calibri" w:eastAsiaTheme="minorEastAsia" w:hAnsi="Calibri" w:cs="Calibri"/>
            <w:kern w:val="0"/>
            <w:lang w:eastAsia="en-US" w:bidi="ar-SA"/>
          </w:rPr>
          <w:t>http://www.icann.org/zh/reviews/affirmation/whois-rt-draft-final-report-05dec11-zh.pdf</w:t>
        </w:r>
      </w:hyperlink>
      <w:r w:rsidRPr="006F2CC1">
        <w:rPr>
          <w:rFonts w:ascii="Calibri" w:eastAsiaTheme="minorEastAsia" w:hAnsi="Calibri" w:cs="Calibri"/>
          <w:kern w:val="0"/>
          <w:lang w:eastAsia="en-US" w:bidi="ar-SA"/>
        </w:rPr>
        <w:t xml:space="preserve"> </w:t>
      </w:r>
    </w:p>
    <w:p w14:paraId="150A2217" w14:textId="77777777" w:rsidR="006F2CC1" w:rsidRDefault="006F2CC1" w:rsidP="00D040F0">
      <w:pPr>
        <w:widowControl w:val="0"/>
        <w:suppressAutoHyphens w:val="0"/>
        <w:autoSpaceDE w:val="0"/>
        <w:autoSpaceDN w:val="0"/>
        <w:adjustRightInd w:val="0"/>
        <w:rPr>
          <w:rFonts w:ascii="Calibri" w:eastAsiaTheme="minorEastAsia" w:hAnsi="Calibri" w:cs="Calibri"/>
          <w:kern w:val="0"/>
          <w:lang w:eastAsia="en-US" w:bidi="ar-SA"/>
        </w:rPr>
      </w:pPr>
    </w:p>
    <w:p w14:paraId="40CA7857" w14:textId="2A9CCF0C" w:rsidR="006F2CC1" w:rsidRPr="006F2CC1" w:rsidRDefault="006F2CC1" w:rsidP="00D040F0">
      <w:pPr>
        <w:widowControl w:val="0"/>
        <w:suppressAutoHyphens w:val="0"/>
        <w:autoSpaceDE w:val="0"/>
        <w:autoSpaceDN w:val="0"/>
        <w:adjustRightInd w:val="0"/>
        <w:rPr>
          <w:rFonts w:ascii="Calibri" w:eastAsiaTheme="minorEastAsia" w:hAnsi="Calibri" w:cs="Calibri"/>
          <w:b/>
          <w:kern w:val="0"/>
          <w:u w:val="single"/>
          <w:lang w:eastAsia="en-US" w:bidi="ar-SA"/>
        </w:rPr>
      </w:pPr>
      <w:r w:rsidRPr="006F2CC1">
        <w:rPr>
          <w:rFonts w:ascii="Calibri" w:eastAsiaTheme="minorEastAsia" w:hAnsi="Calibri" w:cs="Calibri"/>
          <w:b/>
          <w:kern w:val="0"/>
          <w:u w:val="single"/>
          <w:lang w:eastAsia="en-US" w:bidi="ar-SA"/>
        </w:rPr>
        <w:t>Appendices:</w:t>
      </w:r>
    </w:p>
    <w:p w14:paraId="17301BD9" w14:textId="6BF1AFC0" w:rsidR="006F2CC1" w:rsidRPr="00B03DE4" w:rsidRDefault="006F2CC1" w:rsidP="00B03DE4">
      <w:pPr>
        <w:pStyle w:val="ListParagraph"/>
        <w:widowControl w:val="0"/>
        <w:numPr>
          <w:ilvl w:val="0"/>
          <w:numId w:val="6"/>
        </w:numPr>
        <w:suppressAutoHyphens w:val="0"/>
        <w:autoSpaceDE w:val="0"/>
        <w:autoSpaceDN w:val="0"/>
        <w:adjustRightInd w:val="0"/>
        <w:rPr>
          <w:rFonts w:ascii="Calibri" w:eastAsiaTheme="minorEastAsia" w:hAnsi="Calibri" w:cs="Calibri"/>
          <w:kern w:val="0"/>
          <w:lang w:eastAsia="en-US" w:bidi="ar-SA"/>
        </w:rPr>
      </w:pPr>
      <w:r w:rsidRPr="00B03DE4">
        <w:rPr>
          <w:rFonts w:ascii="Calibri" w:eastAsiaTheme="minorEastAsia" w:hAnsi="Calibri" w:cs="Calibri"/>
          <w:kern w:val="0"/>
          <w:lang w:eastAsia="en-US" w:bidi="ar-SA"/>
        </w:rPr>
        <w:t xml:space="preserve">Part I: The Effectiveness of ICANN’s WHOIS Compliance Effort </w:t>
      </w:r>
      <w:hyperlink r:id="rId15" w:history="1">
        <w:r w:rsidRPr="00B03DE4">
          <w:rPr>
            <w:rStyle w:val="Hyperlink"/>
            <w:rFonts w:ascii="Calibri" w:eastAsiaTheme="minorEastAsia" w:hAnsi="Calibri" w:cs="Calibri"/>
            <w:kern w:val="0"/>
            <w:lang w:eastAsia="en-US" w:bidi="ar-SA"/>
          </w:rPr>
          <w:t>http://www.icann.org/en/reviews/affirmation/whois-rt-draft-final-report-appendix-whois-compliance-10jan12-en.pdf</w:t>
        </w:r>
      </w:hyperlink>
      <w:r w:rsidRPr="00B03DE4">
        <w:rPr>
          <w:rFonts w:ascii="Calibri" w:eastAsiaTheme="minorEastAsia" w:hAnsi="Calibri" w:cs="Calibri"/>
          <w:kern w:val="0"/>
          <w:lang w:eastAsia="en-US" w:bidi="ar-SA"/>
        </w:rPr>
        <w:t xml:space="preserve"> </w:t>
      </w:r>
    </w:p>
    <w:p w14:paraId="5477F56D" w14:textId="34D56979" w:rsidR="006F2CC1" w:rsidRPr="00B03DE4" w:rsidRDefault="006F2CC1" w:rsidP="00B03DE4">
      <w:pPr>
        <w:pStyle w:val="ListParagraph"/>
        <w:widowControl w:val="0"/>
        <w:numPr>
          <w:ilvl w:val="0"/>
          <w:numId w:val="6"/>
        </w:numPr>
        <w:suppressAutoHyphens w:val="0"/>
        <w:autoSpaceDE w:val="0"/>
        <w:autoSpaceDN w:val="0"/>
        <w:adjustRightInd w:val="0"/>
        <w:rPr>
          <w:rFonts w:ascii="Calibri" w:eastAsiaTheme="minorEastAsia" w:hAnsi="Calibri" w:cs="Calibri"/>
          <w:kern w:val="0"/>
          <w:lang w:eastAsia="en-US" w:bidi="ar-SA"/>
        </w:rPr>
      </w:pPr>
      <w:r w:rsidRPr="00B03DE4">
        <w:rPr>
          <w:rFonts w:ascii="Calibri" w:eastAsiaTheme="minorEastAsia" w:hAnsi="Calibri" w:cs="Calibri"/>
          <w:kern w:val="0"/>
          <w:lang w:eastAsia="en-US" w:bidi="ar-SA"/>
        </w:rPr>
        <w:t xml:space="preserve">Part II: Methodology &amp; Outreach </w:t>
      </w:r>
      <w:hyperlink r:id="rId16" w:history="1">
        <w:r w:rsidRPr="00B03DE4">
          <w:rPr>
            <w:rStyle w:val="Hyperlink"/>
            <w:rFonts w:ascii="Calibri" w:eastAsiaTheme="minorEastAsia" w:hAnsi="Calibri" w:cs="Calibri"/>
            <w:kern w:val="0"/>
            <w:lang w:eastAsia="en-US" w:bidi="ar-SA"/>
          </w:rPr>
          <w:t>http://www.icann.org/en/reviews/affirmation/whois-rt-draft-final-report-appendix-methodology-outreach-10jan12-en.pdf</w:t>
        </w:r>
      </w:hyperlink>
      <w:r w:rsidRPr="00B03DE4">
        <w:rPr>
          <w:rFonts w:ascii="Calibri" w:eastAsiaTheme="minorEastAsia" w:hAnsi="Calibri" w:cs="Calibri"/>
          <w:kern w:val="0"/>
          <w:lang w:eastAsia="en-US" w:bidi="ar-SA"/>
        </w:rPr>
        <w:t xml:space="preserve"> </w:t>
      </w:r>
    </w:p>
    <w:p w14:paraId="31F0465F" w14:textId="00A15083" w:rsidR="006F2CC1" w:rsidRPr="00B03DE4" w:rsidRDefault="006F2CC1" w:rsidP="00B03DE4">
      <w:pPr>
        <w:pStyle w:val="ListParagraph"/>
        <w:widowControl w:val="0"/>
        <w:numPr>
          <w:ilvl w:val="0"/>
          <w:numId w:val="6"/>
        </w:numPr>
        <w:suppressAutoHyphens w:val="0"/>
        <w:autoSpaceDE w:val="0"/>
        <w:autoSpaceDN w:val="0"/>
        <w:adjustRightInd w:val="0"/>
        <w:rPr>
          <w:rFonts w:ascii="Calibri" w:eastAsiaTheme="minorEastAsia" w:hAnsi="Calibri" w:cs="Calibri"/>
          <w:kern w:val="0"/>
          <w:lang w:eastAsia="en-US" w:bidi="ar-SA"/>
        </w:rPr>
      </w:pPr>
      <w:r w:rsidRPr="00B03DE4">
        <w:rPr>
          <w:rFonts w:ascii="Calibri" w:eastAsiaTheme="minorEastAsia" w:hAnsi="Calibri" w:cs="Calibri"/>
          <w:kern w:val="0"/>
          <w:lang w:eastAsia="en-US" w:bidi="ar-SA"/>
        </w:rPr>
        <w:t xml:space="preserve">Part III: Background and Glossary </w:t>
      </w:r>
      <w:hyperlink r:id="rId17" w:history="1">
        <w:r w:rsidRPr="00B03DE4">
          <w:rPr>
            <w:rStyle w:val="Hyperlink"/>
            <w:rFonts w:ascii="Calibri" w:eastAsiaTheme="minorEastAsia" w:hAnsi="Calibri" w:cs="Calibri"/>
            <w:kern w:val="0"/>
            <w:lang w:eastAsia="en-US" w:bidi="ar-SA"/>
          </w:rPr>
          <w:t>http://www.icann.org/en/reviews/affirmation/whois-rt-draft-final-report-appendix-background-glossary-10jan12-en.pdf</w:t>
        </w:r>
      </w:hyperlink>
      <w:r w:rsidRPr="00B03DE4">
        <w:rPr>
          <w:rFonts w:ascii="Calibri" w:eastAsiaTheme="minorEastAsia" w:hAnsi="Calibri" w:cs="Calibri"/>
          <w:kern w:val="0"/>
          <w:lang w:eastAsia="en-US" w:bidi="ar-SA"/>
        </w:rPr>
        <w:t xml:space="preserve"> </w:t>
      </w:r>
    </w:p>
    <w:p w14:paraId="479A5D7F" w14:textId="24E18D86" w:rsidR="006F2CC1" w:rsidRPr="00B03DE4" w:rsidRDefault="006F2CC1" w:rsidP="00D040F0">
      <w:pPr>
        <w:pStyle w:val="ListParagraph"/>
        <w:widowControl w:val="0"/>
        <w:numPr>
          <w:ilvl w:val="0"/>
          <w:numId w:val="6"/>
        </w:numPr>
        <w:suppressAutoHyphens w:val="0"/>
        <w:autoSpaceDE w:val="0"/>
        <w:autoSpaceDN w:val="0"/>
        <w:adjustRightInd w:val="0"/>
        <w:rPr>
          <w:rFonts w:ascii="Calibri" w:eastAsiaTheme="minorEastAsia" w:hAnsi="Calibri" w:cs="Calibri"/>
          <w:kern w:val="0"/>
          <w:lang w:eastAsia="en-US" w:bidi="ar-SA"/>
        </w:rPr>
      </w:pPr>
      <w:r w:rsidRPr="00B03DE4">
        <w:rPr>
          <w:rFonts w:ascii="Calibri" w:eastAsiaTheme="minorEastAsia" w:hAnsi="Calibri" w:cs="Calibri"/>
          <w:kern w:val="0"/>
          <w:lang w:eastAsia="en-US" w:bidi="ar-SA"/>
        </w:rPr>
        <w:t>Part IV: User Insight Video of Internet Users Attempting to Identify a Website Owner</w:t>
      </w:r>
      <w:r w:rsidR="00B03DE4">
        <w:rPr>
          <w:rFonts w:ascii="Calibri" w:eastAsiaTheme="minorEastAsia" w:hAnsi="Calibri" w:cs="Calibri"/>
          <w:kern w:val="0"/>
          <w:lang w:eastAsia="en-US" w:bidi="ar-SA"/>
        </w:rPr>
        <w:t xml:space="preserve"> </w:t>
      </w:r>
      <w:hyperlink r:id="rId18" w:history="1">
        <w:r w:rsidRPr="00B03DE4">
          <w:rPr>
            <w:rStyle w:val="Hyperlink"/>
            <w:rFonts w:ascii="Calibri" w:eastAsiaTheme="minorEastAsia" w:hAnsi="Calibri" w:cs="Calibri"/>
            <w:kern w:val="0"/>
            <w:lang w:eastAsia="en-US" w:bidi="ar-SA"/>
          </w:rPr>
          <w:t>http://vimeo.com/34627934</w:t>
        </w:r>
      </w:hyperlink>
      <w:r w:rsidRPr="00B03DE4">
        <w:rPr>
          <w:rFonts w:ascii="Calibri" w:eastAsiaTheme="minorEastAsia" w:hAnsi="Calibri" w:cs="Calibri"/>
          <w:kern w:val="0"/>
          <w:lang w:eastAsia="en-US" w:bidi="ar-SA"/>
        </w:rPr>
        <w:t xml:space="preserve"> </w:t>
      </w:r>
    </w:p>
    <w:p w14:paraId="32776CFC" w14:textId="77777777" w:rsidR="006F2CC1" w:rsidRDefault="006F2CC1" w:rsidP="00D040F0">
      <w:pPr>
        <w:widowControl w:val="0"/>
        <w:suppressAutoHyphens w:val="0"/>
        <w:autoSpaceDE w:val="0"/>
        <w:autoSpaceDN w:val="0"/>
        <w:adjustRightInd w:val="0"/>
        <w:rPr>
          <w:rFonts w:ascii="Calibri" w:eastAsiaTheme="minorEastAsia" w:hAnsi="Calibri" w:cs="Calibri"/>
          <w:kern w:val="0"/>
          <w:lang w:eastAsia="en-US" w:bidi="ar-SA"/>
        </w:rPr>
      </w:pPr>
    </w:p>
    <w:p w14:paraId="5D107EE6" w14:textId="17C291EE" w:rsidR="006F2CC1" w:rsidRPr="006F2CC1" w:rsidRDefault="006F2CC1" w:rsidP="00D040F0">
      <w:pPr>
        <w:widowControl w:val="0"/>
        <w:suppressAutoHyphens w:val="0"/>
        <w:autoSpaceDE w:val="0"/>
        <w:autoSpaceDN w:val="0"/>
        <w:adjustRightInd w:val="0"/>
        <w:rPr>
          <w:rFonts w:ascii="Calibri" w:eastAsiaTheme="minorEastAsia" w:hAnsi="Calibri" w:cs="Calibri"/>
          <w:b/>
          <w:kern w:val="0"/>
          <w:lang w:eastAsia="en-US" w:bidi="ar-SA"/>
        </w:rPr>
      </w:pPr>
      <w:r w:rsidRPr="006F2CC1">
        <w:rPr>
          <w:rFonts w:ascii="Calibri" w:eastAsiaTheme="minorEastAsia" w:hAnsi="Calibri" w:cs="Calibri"/>
          <w:b/>
          <w:kern w:val="0"/>
          <w:u w:val="single"/>
          <w:lang w:eastAsia="en-US" w:bidi="ar-SA"/>
        </w:rPr>
        <w:t>Public comment period</w:t>
      </w:r>
      <w:r w:rsidRPr="006F2CC1">
        <w:rPr>
          <w:rFonts w:ascii="Calibri" w:eastAsiaTheme="minorEastAsia" w:hAnsi="Calibri" w:cs="Calibri"/>
          <w:b/>
          <w:kern w:val="0"/>
          <w:lang w:eastAsia="en-US" w:bidi="ar-SA"/>
        </w:rPr>
        <w:t xml:space="preserve">: </w:t>
      </w:r>
      <w:hyperlink r:id="rId19" w:history="1">
        <w:r w:rsidRPr="006F2CC1">
          <w:rPr>
            <w:rStyle w:val="Hyperlink"/>
            <w:rFonts w:ascii="Calibri" w:eastAsiaTheme="minorEastAsia" w:hAnsi="Calibri" w:cs="Calibri"/>
            <w:b/>
            <w:kern w:val="0"/>
            <w:lang w:eastAsia="en-US" w:bidi="ar-SA"/>
          </w:rPr>
          <w:t>http://www.icann.org/en/news/public-comment/whois-rt-draft-final-report-05dec11-en.htm</w:t>
        </w:r>
      </w:hyperlink>
    </w:p>
    <w:p w14:paraId="44B4D176" w14:textId="77777777" w:rsidR="006F2CC1" w:rsidRDefault="006F2CC1" w:rsidP="00D040F0">
      <w:pPr>
        <w:widowControl w:val="0"/>
        <w:suppressAutoHyphens w:val="0"/>
        <w:autoSpaceDE w:val="0"/>
        <w:autoSpaceDN w:val="0"/>
        <w:adjustRightInd w:val="0"/>
        <w:rPr>
          <w:rFonts w:ascii="Calibri" w:eastAsiaTheme="minorEastAsia" w:hAnsi="Calibri" w:cs="Calibri"/>
          <w:kern w:val="0"/>
          <w:lang w:eastAsia="en-US" w:bidi="ar-SA"/>
        </w:rPr>
      </w:pPr>
    </w:p>
    <w:p w14:paraId="1E652760" w14:textId="41A8112B" w:rsidR="006F2CC1" w:rsidRPr="006F2CC1" w:rsidRDefault="006F2CC1" w:rsidP="00D040F0">
      <w:pPr>
        <w:widowControl w:val="0"/>
        <w:suppressAutoHyphens w:val="0"/>
        <w:autoSpaceDE w:val="0"/>
        <w:autoSpaceDN w:val="0"/>
        <w:adjustRightInd w:val="0"/>
        <w:rPr>
          <w:rFonts w:ascii="Calibri" w:eastAsiaTheme="minorEastAsia" w:hAnsi="Calibri" w:cs="Calibri"/>
          <w:b/>
          <w:color w:val="FF0000"/>
          <w:kern w:val="0"/>
          <w:lang w:eastAsia="en-US" w:bidi="ar-SA"/>
        </w:rPr>
      </w:pPr>
      <w:r w:rsidRPr="006F2CC1">
        <w:rPr>
          <w:rFonts w:ascii="Calibri" w:eastAsiaTheme="minorEastAsia" w:hAnsi="Calibri" w:cs="Calibri"/>
          <w:b/>
          <w:color w:val="FF0000"/>
          <w:kern w:val="0"/>
          <w:lang w:eastAsia="en-US" w:bidi="ar-SA"/>
        </w:rPr>
        <w:t>CLOSE DATE: 18 March 2012 – 23:59 UTC</w:t>
      </w:r>
    </w:p>
    <w:p w14:paraId="56453151" w14:textId="56992E20" w:rsidR="006F2CC1" w:rsidRDefault="00EE0096" w:rsidP="00EE0096">
      <w:pPr>
        <w:widowControl w:val="0"/>
        <w:suppressAutoHyphens w:val="0"/>
        <w:autoSpaceDE w:val="0"/>
        <w:autoSpaceDN w:val="0"/>
        <w:adjustRightInd w:val="0"/>
        <w:jc w:val="center"/>
        <w:rPr>
          <w:rFonts w:ascii="Calibri" w:eastAsiaTheme="minorEastAsia" w:hAnsi="Calibri" w:cs="Calibri"/>
          <w:kern w:val="0"/>
          <w:sz w:val="28"/>
          <w:szCs w:val="28"/>
          <w:lang w:eastAsia="en-US" w:bidi="ar-SA"/>
        </w:rPr>
      </w:pPr>
      <w:r>
        <w:rPr>
          <w:rFonts w:ascii="Calibri" w:eastAsiaTheme="minorEastAsia" w:hAnsi="Calibri" w:cs="Calibri"/>
          <w:kern w:val="0"/>
          <w:sz w:val="28"/>
          <w:szCs w:val="28"/>
          <w:lang w:eastAsia="en-US" w:bidi="ar-SA"/>
        </w:rPr>
        <w:br/>
        <w:t>RECOMMENDATIONS</w:t>
      </w:r>
    </w:p>
    <w:p w14:paraId="4D81B81C" w14:textId="77777777" w:rsidR="009C3918" w:rsidRPr="009C3918" w:rsidRDefault="009C3918" w:rsidP="009C3918">
      <w:pPr>
        <w:pStyle w:val="NoteLevel11"/>
        <w:rPr>
          <w:rFonts w:ascii="Calibri" w:hAnsi="Calibri"/>
          <w:i/>
          <w:sz w:val="28"/>
          <w:szCs w:val="28"/>
        </w:rPr>
      </w:pPr>
      <w:r>
        <w:rPr>
          <w:rFonts w:ascii="Calibri" w:hAnsi="Calibri"/>
          <w:i/>
          <w:sz w:val="28"/>
          <w:szCs w:val="28"/>
        </w:rPr>
        <w:t>Single WHOIS</w:t>
      </w:r>
      <w:r w:rsidRPr="004B363D">
        <w:rPr>
          <w:rFonts w:ascii="Calibri" w:hAnsi="Calibri"/>
          <w:i/>
          <w:sz w:val="28"/>
          <w:szCs w:val="28"/>
        </w:rPr>
        <w:t xml:space="preserve"> Policy</w:t>
      </w:r>
    </w:p>
    <w:p w14:paraId="0480E417" w14:textId="77777777" w:rsidR="009C3918" w:rsidRDefault="009C3918" w:rsidP="009C3918">
      <w:pPr>
        <w:pStyle w:val="ListParagraph"/>
        <w:spacing w:line="100" w:lineRule="atLeast"/>
        <w:rPr>
          <w:rFonts w:ascii="Calibri" w:hAnsi="Calibri"/>
        </w:rPr>
      </w:pPr>
    </w:p>
    <w:p w14:paraId="5FBAF8A1" w14:textId="77777777" w:rsidR="009C3918" w:rsidRPr="004B363D" w:rsidRDefault="009C3918" w:rsidP="009C3918">
      <w:pPr>
        <w:pStyle w:val="ListParagraph"/>
        <w:numPr>
          <w:ilvl w:val="0"/>
          <w:numId w:val="4"/>
        </w:numPr>
        <w:spacing w:line="100" w:lineRule="atLeast"/>
        <w:rPr>
          <w:rFonts w:ascii="Calibri" w:hAnsi="Calibri"/>
        </w:rPr>
      </w:pPr>
      <w:r w:rsidRPr="004B363D">
        <w:rPr>
          <w:rFonts w:ascii="Calibri" w:hAnsi="Calibri"/>
        </w:rPr>
        <w:t xml:space="preserve">ICANN's WHOIS policy is poorly defined and decentralized The ICANN Board should oversee the creation of a single WHOIS policy document, and reference it </w:t>
      </w:r>
      <w:r w:rsidRPr="004B363D">
        <w:rPr>
          <w:rFonts w:ascii="Calibri" w:hAnsi="Calibri"/>
        </w:rPr>
        <w:lastRenderedPageBreak/>
        <w:t>in subsequent versions of agreements with Contracted Parties.  In doing so, ICANN should clearly document the current gTLD WHOIS policy as set out in the gTLD Registry and Registrar contracts and GNSO Consensus Policies and Procedure.</w:t>
      </w:r>
    </w:p>
    <w:p w14:paraId="22E1341F" w14:textId="77777777" w:rsidR="009C3918" w:rsidRPr="004B363D" w:rsidRDefault="009C3918" w:rsidP="009C3918">
      <w:pPr>
        <w:pStyle w:val="NoteLevel11"/>
        <w:rPr>
          <w:rFonts w:ascii="Calibri" w:hAnsi="Calibri"/>
          <w:b/>
        </w:rPr>
      </w:pPr>
    </w:p>
    <w:p w14:paraId="349957DD" w14:textId="77777777" w:rsidR="009C3918" w:rsidRPr="004B363D" w:rsidRDefault="009C3918" w:rsidP="009C3918">
      <w:pPr>
        <w:pStyle w:val="NoteLevel11"/>
        <w:rPr>
          <w:rFonts w:ascii="Calibri" w:hAnsi="Calibri"/>
          <w:i/>
          <w:sz w:val="28"/>
          <w:szCs w:val="28"/>
        </w:rPr>
      </w:pPr>
      <w:r w:rsidRPr="004B363D">
        <w:rPr>
          <w:rFonts w:ascii="Calibri" w:hAnsi="Calibri"/>
          <w:i/>
          <w:sz w:val="28"/>
          <w:szCs w:val="28"/>
        </w:rPr>
        <w:t>Policy review – WHOIS Data Reminder Policy</w:t>
      </w:r>
    </w:p>
    <w:p w14:paraId="79CC8183" w14:textId="77777777" w:rsidR="009C3918" w:rsidRPr="004B363D" w:rsidRDefault="009C3918" w:rsidP="009C3918">
      <w:pPr>
        <w:pStyle w:val="NoteLevel11"/>
        <w:rPr>
          <w:rFonts w:ascii="Calibri" w:hAnsi="Calibri"/>
        </w:rPr>
      </w:pPr>
    </w:p>
    <w:p w14:paraId="359182B0" w14:textId="77777777" w:rsidR="009C3918" w:rsidRPr="004B363D" w:rsidRDefault="009C3918" w:rsidP="009C3918">
      <w:pPr>
        <w:pStyle w:val="ListParagraph"/>
        <w:numPr>
          <w:ilvl w:val="0"/>
          <w:numId w:val="4"/>
        </w:numPr>
        <w:spacing w:line="100" w:lineRule="atLeast"/>
        <w:rPr>
          <w:rFonts w:ascii="Calibri" w:hAnsi="Calibri"/>
        </w:rPr>
      </w:pPr>
      <w:r w:rsidRPr="004B363D">
        <w:rPr>
          <w:rFonts w:ascii="Calibri" w:hAnsi="Calibri"/>
        </w:rPr>
        <w:t>The ICANN Board should ensure that the Compliance Team develop, in consultation with relevant contracted parties, metrics to track the impact of the annual WHOIS Data Reminder Policy (WDRP) notices to registrants. Such metrics should be used to develop and publish performance targets, to improve data accuracy over time.  If this is unfeasible with the current system, the Board should ensure that an alternative, effective policy is developed and implemented in consultation with registrars that achieves the objective of improving data quality, in a measurable way.</w:t>
      </w:r>
    </w:p>
    <w:p w14:paraId="2A4F7CC5" w14:textId="77777777" w:rsidR="009C3918" w:rsidRPr="004B363D" w:rsidRDefault="009C3918" w:rsidP="009C3918">
      <w:pPr>
        <w:widowControl w:val="0"/>
        <w:rPr>
          <w:rFonts w:ascii="Calibri" w:hAnsi="Calibri"/>
        </w:rPr>
      </w:pPr>
    </w:p>
    <w:p w14:paraId="46725B72" w14:textId="77777777" w:rsidR="009C3918" w:rsidRPr="004B363D" w:rsidRDefault="009C3918" w:rsidP="009C3918">
      <w:pPr>
        <w:widowControl w:val="0"/>
        <w:rPr>
          <w:rFonts w:ascii="Calibri" w:hAnsi="Calibri"/>
          <w:bCs/>
          <w:i/>
          <w:sz w:val="28"/>
          <w:szCs w:val="28"/>
        </w:rPr>
      </w:pPr>
      <w:r w:rsidRPr="004B363D">
        <w:rPr>
          <w:rFonts w:ascii="Calibri" w:hAnsi="Calibri"/>
          <w:bCs/>
          <w:i/>
          <w:sz w:val="28"/>
          <w:szCs w:val="28"/>
        </w:rPr>
        <w:t>Strategic Priority</w:t>
      </w:r>
    </w:p>
    <w:p w14:paraId="2C2B0200" w14:textId="77777777" w:rsidR="009C3918" w:rsidRPr="004B363D" w:rsidRDefault="009C3918" w:rsidP="009C3918">
      <w:pPr>
        <w:widowControl w:val="0"/>
        <w:rPr>
          <w:rFonts w:ascii="Calibri" w:hAnsi="Calibri"/>
          <w:b/>
          <w:bCs/>
        </w:rPr>
      </w:pPr>
    </w:p>
    <w:p w14:paraId="08F88ED3" w14:textId="77777777" w:rsidR="009C3918" w:rsidRDefault="009C3918" w:rsidP="009C3918">
      <w:pPr>
        <w:pStyle w:val="ListParagraph"/>
        <w:numPr>
          <w:ilvl w:val="0"/>
          <w:numId w:val="4"/>
        </w:numPr>
        <w:rPr>
          <w:rFonts w:ascii="Calibri" w:hAnsi="Calibri"/>
        </w:rPr>
      </w:pPr>
      <w:r w:rsidRPr="004B363D">
        <w:rPr>
          <w:rFonts w:ascii="Calibri" w:hAnsi="Calibri"/>
        </w:rPr>
        <w:t>ICANN should make WHOIS a strategic priority. This should involve allocating sufficient resources, through the budget process, to ensure that ICANN compliance staff is fully resourced to take a proactive regulatory role and encourage a culture of compliance. The Board should ensure that a senior member of the executive team is responsible for overseeing WHOIS compliance.</w:t>
      </w:r>
      <w:r w:rsidRPr="004B363D">
        <w:rPr>
          <w:rFonts w:ascii="Calibri" w:hAnsi="Calibri"/>
        </w:rPr>
        <w:tab/>
      </w:r>
    </w:p>
    <w:p w14:paraId="428BD971" w14:textId="77777777" w:rsidR="009C3918" w:rsidRPr="004B363D" w:rsidRDefault="009C3918" w:rsidP="009C3918">
      <w:pPr>
        <w:pStyle w:val="ListParagraph"/>
        <w:rPr>
          <w:rFonts w:ascii="Calibri" w:hAnsi="Calibri"/>
        </w:rPr>
      </w:pPr>
    </w:p>
    <w:p w14:paraId="0A21A503" w14:textId="77777777" w:rsidR="009C3918" w:rsidRPr="004B363D" w:rsidRDefault="009C3918" w:rsidP="009C3918">
      <w:pPr>
        <w:widowControl w:val="0"/>
        <w:rPr>
          <w:rFonts w:ascii="Calibri" w:hAnsi="Calibri"/>
          <w:bCs/>
          <w:i/>
          <w:sz w:val="28"/>
          <w:szCs w:val="28"/>
        </w:rPr>
      </w:pPr>
      <w:r w:rsidRPr="004B363D">
        <w:rPr>
          <w:rFonts w:ascii="Calibri" w:hAnsi="Calibri"/>
          <w:bCs/>
          <w:i/>
          <w:sz w:val="28"/>
          <w:szCs w:val="28"/>
        </w:rPr>
        <w:t xml:space="preserve">Outreach </w:t>
      </w:r>
    </w:p>
    <w:p w14:paraId="47C41937" w14:textId="77777777" w:rsidR="009C3918" w:rsidRPr="004B363D" w:rsidRDefault="009C3918" w:rsidP="009C3918">
      <w:pPr>
        <w:widowControl w:val="0"/>
        <w:rPr>
          <w:rFonts w:ascii="Calibri" w:hAnsi="Calibri"/>
          <w:b/>
          <w:bCs/>
        </w:rPr>
      </w:pPr>
    </w:p>
    <w:p w14:paraId="49082481" w14:textId="77777777" w:rsidR="009C3918" w:rsidRPr="004B363D" w:rsidRDefault="009C3918" w:rsidP="009C3918">
      <w:pPr>
        <w:pStyle w:val="ListParagraph"/>
        <w:numPr>
          <w:ilvl w:val="0"/>
          <w:numId w:val="4"/>
        </w:numPr>
        <w:spacing w:line="100" w:lineRule="atLeast"/>
        <w:rPr>
          <w:rFonts w:ascii="Calibri" w:hAnsi="Calibri"/>
        </w:rPr>
      </w:pPr>
      <w:r w:rsidRPr="004B363D">
        <w:rPr>
          <w:rFonts w:ascii="Calibri" w:hAnsi="Calibri"/>
        </w:rPr>
        <w:t>ICANN should ensure that WHOIS policy issues are accompanied by cross-community outreach, including outreach to the communities outside of ICANN with a specific interest in the issues and an ongoing program for consumer awareness.</w:t>
      </w:r>
    </w:p>
    <w:p w14:paraId="586D3451" w14:textId="77777777" w:rsidR="009C3918" w:rsidRPr="004B363D" w:rsidRDefault="009C3918" w:rsidP="009C3918">
      <w:pPr>
        <w:widowControl w:val="0"/>
        <w:rPr>
          <w:rFonts w:ascii="Calibri" w:hAnsi="Calibri"/>
        </w:rPr>
      </w:pPr>
    </w:p>
    <w:p w14:paraId="707CDDE4" w14:textId="77777777" w:rsidR="009C3918" w:rsidRPr="004B363D" w:rsidRDefault="009C3918" w:rsidP="009C3918">
      <w:pPr>
        <w:widowControl w:val="0"/>
        <w:rPr>
          <w:rFonts w:ascii="Calibri" w:hAnsi="Calibri"/>
          <w:bCs/>
          <w:i/>
          <w:sz w:val="28"/>
          <w:szCs w:val="28"/>
        </w:rPr>
      </w:pPr>
      <w:r w:rsidRPr="004B363D">
        <w:rPr>
          <w:rFonts w:ascii="Calibri" w:hAnsi="Calibri"/>
          <w:bCs/>
          <w:i/>
          <w:sz w:val="28"/>
          <w:szCs w:val="28"/>
        </w:rPr>
        <w:t xml:space="preserve">Data Accuracy </w:t>
      </w:r>
    </w:p>
    <w:p w14:paraId="01596533" w14:textId="77777777" w:rsidR="009C3918" w:rsidRPr="004B363D" w:rsidRDefault="009C3918" w:rsidP="009C3918">
      <w:pPr>
        <w:widowControl w:val="0"/>
        <w:rPr>
          <w:rFonts w:ascii="Calibri" w:hAnsi="Calibri"/>
        </w:rPr>
      </w:pPr>
    </w:p>
    <w:p w14:paraId="5D8C0242" w14:textId="77777777" w:rsidR="009C3918" w:rsidRPr="004B363D" w:rsidRDefault="009C3918" w:rsidP="009C3918">
      <w:pPr>
        <w:pStyle w:val="ListParagraph"/>
        <w:numPr>
          <w:ilvl w:val="0"/>
          <w:numId w:val="2"/>
        </w:numPr>
        <w:spacing w:line="100" w:lineRule="atLeast"/>
        <w:rPr>
          <w:rFonts w:ascii="Calibri" w:hAnsi="Calibri"/>
        </w:rPr>
      </w:pPr>
      <w:r w:rsidRPr="004B363D">
        <w:rPr>
          <w:rFonts w:ascii="Calibri" w:hAnsi="Calibri"/>
        </w:rPr>
        <w:t>ICANN should take appropriate measures to reduce the number of unreachable WHOIS registrations (as defined by the NORC Data Accuracy Study, 2009/10) by 50% within 12 months and by 50% again over the following 12 months.</w:t>
      </w:r>
    </w:p>
    <w:p w14:paraId="5F3F88AD" w14:textId="77777777" w:rsidR="009C3918" w:rsidRPr="004B363D" w:rsidRDefault="009C3918" w:rsidP="009C3918">
      <w:pPr>
        <w:pStyle w:val="ListParagraph"/>
        <w:spacing w:line="100" w:lineRule="atLeast"/>
        <w:ind w:left="360"/>
        <w:rPr>
          <w:rFonts w:ascii="Calibri" w:hAnsi="Calibri"/>
        </w:rPr>
      </w:pPr>
    </w:p>
    <w:p w14:paraId="236B2CF7" w14:textId="77777777" w:rsidR="009C3918" w:rsidRPr="004B363D" w:rsidRDefault="009C3918" w:rsidP="009C3918">
      <w:pPr>
        <w:pStyle w:val="ListParagraph"/>
        <w:numPr>
          <w:ilvl w:val="0"/>
          <w:numId w:val="2"/>
        </w:numPr>
        <w:spacing w:line="100" w:lineRule="atLeast"/>
        <w:rPr>
          <w:rFonts w:ascii="Calibri" w:hAnsi="Calibri"/>
        </w:rPr>
      </w:pPr>
      <w:r w:rsidRPr="004B363D">
        <w:rPr>
          <w:rFonts w:ascii="Calibri" w:hAnsi="Calibri"/>
        </w:rPr>
        <w:t xml:space="preserve">ICANN shall produce and publish an accuracy report focused on measured reduction in “unreachable WHOIS registrations”, on an annual basis. </w:t>
      </w:r>
    </w:p>
    <w:p w14:paraId="61A8CA95" w14:textId="77777777" w:rsidR="009C3918" w:rsidRPr="004B363D" w:rsidRDefault="009C3918" w:rsidP="009C3918">
      <w:pPr>
        <w:spacing w:line="100" w:lineRule="atLeast"/>
        <w:rPr>
          <w:rFonts w:ascii="Calibri" w:hAnsi="Calibri"/>
        </w:rPr>
      </w:pPr>
    </w:p>
    <w:p w14:paraId="2370A194" w14:textId="77777777" w:rsidR="009C3918" w:rsidRPr="004B363D" w:rsidRDefault="009C3918" w:rsidP="009C3918">
      <w:pPr>
        <w:pStyle w:val="ListParagraph"/>
        <w:numPr>
          <w:ilvl w:val="0"/>
          <w:numId w:val="2"/>
        </w:numPr>
        <w:spacing w:line="100" w:lineRule="atLeast"/>
        <w:rPr>
          <w:rFonts w:ascii="Calibri" w:hAnsi="Calibri"/>
        </w:rPr>
      </w:pPr>
      <w:r w:rsidRPr="004B363D">
        <w:rPr>
          <w:rFonts w:ascii="Calibri" w:hAnsi="Calibri"/>
        </w:rPr>
        <w:t>ICANN should provide at least annual status reports on its progress towards achieving the goals set out by this WHOIS Review Team, published by the time the next WHOIS Review Team starts. This report should include tangible, reliable figures needed.</w:t>
      </w:r>
    </w:p>
    <w:p w14:paraId="32F37060" w14:textId="77777777" w:rsidR="009C3918" w:rsidRPr="004B363D" w:rsidRDefault="009C3918" w:rsidP="009C3918">
      <w:pPr>
        <w:widowControl w:val="0"/>
        <w:rPr>
          <w:rFonts w:ascii="Calibri" w:hAnsi="Calibri"/>
          <w:shd w:val="clear" w:color="auto" w:fill="FFFFFF"/>
        </w:rPr>
      </w:pPr>
    </w:p>
    <w:p w14:paraId="402AE2E6" w14:textId="77777777" w:rsidR="009C3918" w:rsidRPr="004B363D" w:rsidRDefault="009C3918" w:rsidP="009C3918">
      <w:pPr>
        <w:pStyle w:val="ListParagraph"/>
        <w:numPr>
          <w:ilvl w:val="0"/>
          <w:numId w:val="2"/>
        </w:numPr>
        <w:spacing w:line="100" w:lineRule="atLeast"/>
        <w:rPr>
          <w:rFonts w:ascii="Calibri" w:hAnsi="Calibri"/>
        </w:rPr>
      </w:pPr>
      <w:r w:rsidRPr="004B363D">
        <w:rPr>
          <w:rFonts w:ascii="Calibri" w:hAnsi="Calibri"/>
        </w:rPr>
        <w:t xml:space="preserve">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registrants which do not comply with its WHOIS policies. These sanctions should include de-registration and/or de-accreditation as appropriate in cases of serious or serial non-compliance.  </w:t>
      </w:r>
    </w:p>
    <w:p w14:paraId="484F6B18" w14:textId="77777777" w:rsidR="009C3918" w:rsidRPr="004B363D" w:rsidRDefault="009C3918" w:rsidP="009C3918">
      <w:pPr>
        <w:widowControl w:val="0"/>
        <w:rPr>
          <w:rFonts w:ascii="Calibri" w:hAnsi="Calibri"/>
        </w:rPr>
      </w:pPr>
    </w:p>
    <w:p w14:paraId="29CC53E2" w14:textId="77777777" w:rsidR="009C3918" w:rsidRPr="004B363D" w:rsidRDefault="009C3918" w:rsidP="009C3918">
      <w:pPr>
        <w:pStyle w:val="ListParagraph"/>
        <w:numPr>
          <w:ilvl w:val="0"/>
          <w:numId w:val="2"/>
        </w:numPr>
        <w:spacing w:line="100" w:lineRule="atLeast"/>
        <w:rPr>
          <w:rFonts w:ascii="Calibri" w:hAnsi="Calibri"/>
        </w:rPr>
      </w:pPr>
      <w:r w:rsidRPr="004B363D">
        <w:rPr>
          <w:rFonts w:ascii="Calibri" w:hAnsi="Calibri"/>
        </w:rPr>
        <w:t>ICANN should ensure that the requirements for accurate WHOIS data are widely and pro-actively communicated to current and prospective Registrants. As part of this effort, ICANN should ensure that its Registrant Rights and Responsibilities document is pro-actively and prominently circulated to all new and renewing registrants.</w:t>
      </w:r>
    </w:p>
    <w:p w14:paraId="1EBAC89D" w14:textId="77777777" w:rsidR="009C3918" w:rsidRPr="004B363D" w:rsidRDefault="009C3918" w:rsidP="009C3918">
      <w:pPr>
        <w:widowControl w:val="0"/>
        <w:rPr>
          <w:rFonts w:ascii="Calibri" w:hAnsi="Calibri"/>
        </w:rPr>
      </w:pPr>
    </w:p>
    <w:p w14:paraId="7EAEFBC2" w14:textId="77777777" w:rsidR="009C3918" w:rsidRPr="004B363D" w:rsidRDefault="009C3918" w:rsidP="009C3918">
      <w:pPr>
        <w:rPr>
          <w:rFonts w:ascii="Calibri" w:hAnsi="Calibri"/>
          <w:bCs/>
          <w:i/>
          <w:sz w:val="28"/>
          <w:szCs w:val="28"/>
        </w:rPr>
      </w:pPr>
      <w:r w:rsidRPr="004B363D">
        <w:rPr>
          <w:rFonts w:ascii="Calibri" w:hAnsi="Calibri"/>
          <w:bCs/>
          <w:i/>
          <w:sz w:val="28"/>
          <w:szCs w:val="28"/>
        </w:rPr>
        <w:t>Data Access – Privacy Services</w:t>
      </w:r>
    </w:p>
    <w:p w14:paraId="19FD41AE" w14:textId="77777777" w:rsidR="009C3918" w:rsidRPr="004B363D" w:rsidRDefault="009C3918" w:rsidP="009C3918">
      <w:pPr>
        <w:rPr>
          <w:rFonts w:ascii="Calibri" w:hAnsi="Calibri"/>
          <w:b/>
          <w:bCs/>
        </w:rPr>
      </w:pPr>
    </w:p>
    <w:p w14:paraId="23CD81F6" w14:textId="77777777" w:rsidR="009C3918" w:rsidRPr="004B363D" w:rsidRDefault="009C3918" w:rsidP="009C3918">
      <w:pPr>
        <w:pStyle w:val="ListParagraph"/>
        <w:numPr>
          <w:ilvl w:val="0"/>
          <w:numId w:val="2"/>
        </w:numPr>
        <w:spacing w:line="100" w:lineRule="atLeast"/>
        <w:rPr>
          <w:rFonts w:ascii="Calibri" w:hAnsi="Calibri"/>
        </w:rPr>
      </w:pPr>
      <w:r w:rsidRPr="004B363D">
        <w:rPr>
          <w:rFonts w:ascii="Calibri" w:hAnsi="Calibri"/>
        </w:rPr>
        <w:t>ICANN should develop and manage a system of clear, consistent and enforceable requirements for all privacy services consistent with national laws. This should strike an appropriate balance between stakeholders with competing but legitimate interests. At a minimum this would include privacy, law enforcement and the industry around law enforcement.</w:t>
      </w:r>
    </w:p>
    <w:p w14:paraId="1DFF745D" w14:textId="77777777" w:rsidR="009C3918" w:rsidRPr="004B363D" w:rsidRDefault="009C3918" w:rsidP="009C3918">
      <w:pPr>
        <w:ind w:left="720"/>
        <w:rPr>
          <w:rFonts w:ascii="Calibri" w:hAnsi="Calibri"/>
        </w:rPr>
      </w:pPr>
    </w:p>
    <w:p w14:paraId="6C1FDDE3" w14:textId="77777777" w:rsidR="009C3918" w:rsidRPr="004B363D" w:rsidRDefault="009C3918" w:rsidP="009C3918">
      <w:pPr>
        <w:pStyle w:val="ListParagraph"/>
        <w:widowControl w:val="0"/>
        <w:numPr>
          <w:ilvl w:val="0"/>
          <w:numId w:val="3"/>
        </w:numPr>
        <w:spacing w:line="0" w:lineRule="atLeast"/>
        <w:rPr>
          <w:rFonts w:ascii="Calibri" w:hAnsi="Calibri"/>
        </w:rPr>
      </w:pPr>
      <w:r w:rsidRPr="004B363D">
        <w:rPr>
          <w:rFonts w:ascii="Calibri" w:hAnsi="Calibri"/>
        </w:rPr>
        <w:t>WHOIS entry must clearly label that this is a private registration</w:t>
      </w:r>
    </w:p>
    <w:p w14:paraId="1D903FF5" w14:textId="77777777" w:rsidR="009C3918" w:rsidRPr="004B363D" w:rsidRDefault="009C3918" w:rsidP="009C3918">
      <w:pPr>
        <w:pStyle w:val="ListParagraph"/>
        <w:widowControl w:val="0"/>
        <w:numPr>
          <w:ilvl w:val="0"/>
          <w:numId w:val="3"/>
        </w:numPr>
        <w:spacing w:line="0" w:lineRule="atLeast"/>
        <w:rPr>
          <w:rFonts w:ascii="Calibri" w:hAnsi="Calibri"/>
        </w:rPr>
      </w:pPr>
      <w:r w:rsidRPr="004B363D">
        <w:rPr>
          <w:rFonts w:ascii="Calibri" w:hAnsi="Calibri"/>
        </w:rPr>
        <w:t>Privacy services must provide full contact details as required by the WHOIS which are available and responsive as required by the framework mentioned above.</w:t>
      </w:r>
    </w:p>
    <w:p w14:paraId="41F26276" w14:textId="77777777" w:rsidR="009C3918" w:rsidRPr="004B363D" w:rsidRDefault="009C3918" w:rsidP="009C3918">
      <w:pPr>
        <w:pStyle w:val="ListParagraph"/>
        <w:widowControl w:val="0"/>
        <w:numPr>
          <w:ilvl w:val="0"/>
          <w:numId w:val="3"/>
        </w:numPr>
        <w:spacing w:line="0" w:lineRule="atLeast"/>
        <w:rPr>
          <w:rFonts w:ascii="Calibri" w:hAnsi="Calibri"/>
        </w:rPr>
      </w:pPr>
      <w:r w:rsidRPr="004B363D">
        <w:rPr>
          <w:rFonts w:ascii="Calibri" w:hAnsi="Calibri"/>
        </w:rPr>
        <w:t>Standardized relay and reveal processes and timeframes.</w:t>
      </w:r>
    </w:p>
    <w:p w14:paraId="0AB81526" w14:textId="77777777" w:rsidR="009C3918" w:rsidRPr="004B363D" w:rsidRDefault="009C3918" w:rsidP="009C3918">
      <w:pPr>
        <w:pStyle w:val="ListParagraph"/>
        <w:widowControl w:val="0"/>
        <w:numPr>
          <w:ilvl w:val="0"/>
          <w:numId w:val="3"/>
        </w:numPr>
        <w:spacing w:line="0" w:lineRule="atLeast"/>
        <w:rPr>
          <w:rFonts w:ascii="Calibri" w:hAnsi="Calibri"/>
        </w:rPr>
      </w:pPr>
      <w:r w:rsidRPr="004B363D">
        <w:rPr>
          <w:rFonts w:ascii="Calibri" w:hAnsi="Calibri"/>
        </w:rPr>
        <w:t xml:space="preserve">Rules for the appropriate level of publicly available information on the registrant  </w:t>
      </w:r>
    </w:p>
    <w:p w14:paraId="531002D5" w14:textId="77777777" w:rsidR="009C3918" w:rsidRPr="004B363D" w:rsidRDefault="009C3918" w:rsidP="009C3918">
      <w:pPr>
        <w:pStyle w:val="ListParagraph"/>
        <w:widowControl w:val="0"/>
        <w:numPr>
          <w:ilvl w:val="0"/>
          <w:numId w:val="3"/>
        </w:numPr>
        <w:spacing w:line="0" w:lineRule="atLeast"/>
        <w:rPr>
          <w:rFonts w:ascii="Calibri" w:hAnsi="Calibri"/>
        </w:rPr>
      </w:pPr>
      <w:r w:rsidRPr="004B363D">
        <w:rPr>
          <w:rFonts w:ascii="Calibri" w:hAnsi="Calibri"/>
        </w:rPr>
        <w:t>Maintenance of a dedicated abuse point of contact for the privacy service provider</w:t>
      </w:r>
    </w:p>
    <w:p w14:paraId="28498FC7" w14:textId="77777777" w:rsidR="009C3918" w:rsidRPr="004B363D" w:rsidRDefault="009C3918" w:rsidP="009C3918">
      <w:pPr>
        <w:pStyle w:val="ListParagraph"/>
        <w:widowControl w:val="0"/>
        <w:numPr>
          <w:ilvl w:val="0"/>
          <w:numId w:val="3"/>
        </w:numPr>
        <w:spacing w:line="0" w:lineRule="atLeast"/>
        <w:rPr>
          <w:rFonts w:ascii="Calibri" w:hAnsi="Calibri"/>
        </w:rPr>
      </w:pPr>
      <w:r w:rsidRPr="004B363D">
        <w:rPr>
          <w:rFonts w:ascii="Calibri" w:hAnsi="Calibri"/>
        </w:rPr>
        <w:t>Privacy service provider shall conduct periodic due diligence checks on registrant contact information</w:t>
      </w:r>
    </w:p>
    <w:p w14:paraId="291D9C70" w14:textId="77777777" w:rsidR="009C3918" w:rsidRPr="004B363D" w:rsidRDefault="009C3918" w:rsidP="009C3918">
      <w:pPr>
        <w:widowControl w:val="0"/>
        <w:spacing w:line="0" w:lineRule="atLeast"/>
        <w:rPr>
          <w:rFonts w:ascii="Calibri" w:hAnsi="Calibri"/>
        </w:rPr>
      </w:pPr>
    </w:p>
    <w:p w14:paraId="700731AD" w14:textId="77777777" w:rsidR="009C3918" w:rsidRDefault="009C3918" w:rsidP="009C3918">
      <w:pPr>
        <w:pStyle w:val="ListParagraph"/>
        <w:numPr>
          <w:ilvl w:val="0"/>
          <w:numId w:val="2"/>
        </w:numPr>
        <w:spacing w:line="100" w:lineRule="atLeast"/>
        <w:rPr>
          <w:rFonts w:ascii="Calibri" w:hAnsi="Calibri"/>
        </w:rPr>
      </w:pPr>
      <w:r w:rsidRPr="004B363D">
        <w:rPr>
          <w:rFonts w:ascii="Calibri" w:hAnsi="Calibri"/>
        </w:rPr>
        <w:t>ICANN should develop a graduated and enforceable series of penalties for privacy service providers who violate the requirements with a clear path to de-accreditation for repeat, serial or otherwise serious breaches.</w:t>
      </w:r>
    </w:p>
    <w:p w14:paraId="60A4AD64" w14:textId="77777777" w:rsidR="001769D1" w:rsidRDefault="001769D1" w:rsidP="001769D1">
      <w:pPr>
        <w:spacing w:line="100" w:lineRule="atLeast"/>
        <w:rPr>
          <w:rFonts w:ascii="Calibri" w:hAnsi="Calibri"/>
        </w:rPr>
      </w:pPr>
    </w:p>
    <w:p w14:paraId="38E450DA" w14:textId="77777777" w:rsidR="001769D1" w:rsidRPr="001769D1" w:rsidRDefault="001769D1" w:rsidP="001769D1">
      <w:pPr>
        <w:spacing w:line="100" w:lineRule="atLeast"/>
        <w:rPr>
          <w:rFonts w:ascii="Calibri" w:hAnsi="Calibri"/>
        </w:rPr>
      </w:pPr>
    </w:p>
    <w:p w14:paraId="5F09B481" w14:textId="77777777" w:rsidR="009C3918" w:rsidRPr="004B363D" w:rsidRDefault="009C3918" w:rsidP="009C3918">
      <w:pPr>
        <w:pStyle w:val="ListParagraph"/>
        <w:spacing w:line="100" w:lineRule="atLeast"/>
        <w:ind w:left="360"/>
        <w:rPr>
          <w:rFonts w:ascii="Calibri" w:hAnsi="Calibri"/>
        </w:rPr>
      </w:pPr>
    </w:p>
    <w:p w14:paraId="125EA00B" w14:textId="77777777" w:rsidR="009C3918" w:rsidRPr="004B363D" w:rsidRDefault="009C3918" w:rsidP="009C3918">
      <w:pPr>
        <w:rPr>
          <w:rFonts w:ascii="Calibri" w:hAnsi="Calibri"/>
          <w:bCs/>
          <w:i/>
          <w:sz w:val="28"/>
          <w:szCs w:val="28"/>
        </w:rPr>
      </w:pPr>
      <w:r w:rsidRPr="004B363D">
        <w:rPr>
          <w:rFonts w:ascii="Calibri" w:hAnsi="Calibri"/>
          <w:bCs/>
          <w:i/>
          <w:sz w:val="28"/>
          <w:szCs w:val="28"/>
        </w:rPr>
        <w:t xml:space="preserve">Data Access- Proxy Service </w:t>
      </w:r>
    </w:p>
    <w:p w14:paraId="532E7E0B" w14:textId="77777777" w:rsidR="009C3918" w:rsidRPr="004B363D" w:rsidRDefault="009C3918" w:rsidP="009C3918">
      <w:pPr>
        <w:widowControl w:val="0"/>
        <w:rPr>
          <w:rFonts w:ascii="Calibri" w:hAnsi="Calibri"/>
          <w:color w:val="3366FF"/>
        </w:rPr>
      </w:pPr>
    </w:p>
    <w:p w14:paraId="39A640BE" w14:textId="77777777" w:rsidR="009C3918" w:rsidRPr="004B363D" w:rsidRDefault="009C3918" w:rsidP="009C3918">
      <w:pPr>
        <w:pStyle w:val="ListParagraph"/>
        <w:widowControl w:val="0"/>
        <w:numPr>
          <w:ilvl w:val="0"/>
          <w:numId w:val="2"/>
        </w:numPr>
        <w:suppressAutoHyphens w:val="0"/>
        <w:autoSpaceDE w:val="0"/>
        <w:autoSpaceDN w:val="0"/>
        <w:adjustRightInd w:val="0"/>
        <w:rPr>
          <w:rFonts w:ascii="Calibri" w:hAnsi="Calibri"/>
        </w:rPr>
      </w:pPr>
      <w:r w:rsidRPr="004B363D">
        <w:rPr>
          <w:rFonts w:ascii="Calibri" w:hAnsi="Calibri"/>
        </w:rPr>
        <w:t>ICANN should facilitate the review of existing practices by reaching out to proxy providers to create a discussion which sets out current processes followed by proxy service providers.</w:t>
      </w:r>
    </w:p>
    <w:p w14:paraId="3A0E7D35" w14:textId="77777777" w:rsidR="009C3918" w:rsidRPr="004B363D" w:rsidRDefault="009C3918" w:rsidP="009C3918">
      <w:pPr>
        <w:pStyle w:val="ListParagraph"/>
        <w:widowControl w:val="0"/>
        <w:suppressAutoHyphens w:val="0"/>
        <w:autoSpaceDE w:val="0"/>
        <w:autoSpaceDN w:val="0"/>
        <w:adjustRightInd w:val="0"/>
        <w:ind w:left="360"/>
        <w:rPr>
          <w:rFonts w:ascii="Calibri" w:hAnsi="Calibri"/>
        </w:rPr>
      </w:pPr>
    </w:p>
    <w:p w14:paraId="58E63F55" w14:textId="77777777" w:rsidR="009C3918" w:rsidRPr="004B363D" w:rsidRDefault="009C3918" w:rsidP="009C3918">
      <w:pPr>
        <w:pStyle w:val="ListParagraph"/>
        <w:widowControl w:val="0"/>
        <w:numPr>
          <w:ilvl w:val="0"/>
          <w:numId w:val="2"/>
        </w:numPr>
        <w:suppressAutoHyphens w:val="0"/>
        <w:autoSpaceDE w:val="0"/>
        <w:autoSpaceDN w:val="0"/>
        <w:adjustRightInd w:val="0"/>
        <w:rPr>
          <w:rFonts w:ascii="Calibri" w:hAnsi="Calibri"/>
        </w:rPr>
      </w:pPr>
      <w:r w:rsidRPr="004B363D">
        <w:rPr>
          <w:rFonts w:ascii="Calibri" w:hAnsi="Calibri"/>
        </w:rPr>
        <w:t>Registrars should be required to disclosure their relationship with any Affiliated Retail proxy service provider to ICANN.</w:t>
      </w:r>
    </w:p>
    <w:p w14:paraId="14187AFF" w14:textId="77777777" w:rsidR="009C3918" w:rsidRPr="004B363D" w:rsidRDefault="009C3918" w:rsidP="009C3918">
      <w:pPr>
        <w:widowControl w:val="0"/>
        <w:suppressAutoHyphens w:val="0"/>
        <w:autoSpaceDE w:val="0"/>
        <w:autoSpaceDN w:val="0"/>
        <w:adjustRightInd w:val="0"/>
        <w:rPr>
          <w:rFonts w:ascii="Calibri" w:hAnsi="Calibri"/>
        </w:rPr>
      </w:pPr>
    </w:p>
    <w:p w14:paraId="0A333752" w14:textId="77777777" w:rsidR="009C3918" w:rsidRPr="004B363D" w:rsidRDefault="009C3918" w:rsidP="009C3918">
      <w:pPr>
        <w:pStyle w:val="ListParagraph"/>
        <w:widowControl w:val="0"/>
        <w:numPr>
          <w:ilvl w:val="0"/>
          <w:numId w:val="2"/>
        </w:numPr>
        <w:suppressAutoHyphens w:val="0"/>
        <w:autoSpaceDE w:val="0"/>
        <w:autoSpaceDN w:val="0"/>
        <w:adjustRightInd w:val="0"/>
        <w:rPr>
          <w:rFonts w:ascii="Calibri" w:hAnsi="Calibri"/>
        </w:rPr>
      </w:pPr>
      <w:r w:rsidRPr="004B363D">
        <w:rPr>
          <w:rFonts w:ascii="Calibri" w:hAnsi="Calibri"/>
        </w:rPr>
        <w:t> ICANN should develop and manage a set of voluntary best practice guidelines for appropriate proxy services</w:t>
      </w:r>
      <w:r w:rsidRPr="004B363D">
        <w:rPr>
          <w:rStyle w:val="FootnoteReference"/>
          <w:rFonts w:ascii="Calibri" w:hAnsi="Calibri"/>
        </w:rPr>
        <w:footnoteReference w:id="1"/>
      </w:r>
      <w:r w:rsidRPr="004B363D">
        <w:rPr>
          <w:rFonts w:ascii="Calibri" w:hAnsi="Calibri"/>
        </w:rPr>
        <w:t xml:space="preserve"> consistent with national laws. These voluntary guidelines should strike an appropriate balance between stakeholders with competing but legitimate interests. At a minimum this would include privacy, law enforcement and the industry around law enforcement.</w:t>
      </w:r>
    </w:p>
    <w:p w14:paraId="69DDFE7B" w14:textId="77777777" w:rsidR="009C3918" w:rsidRPr="004B363D" w:rsidRDefault="009C3918" w:rsidP="009C3918">
      <w:pPr>
        <w:widowControl w:val="0"/>
        <w:suppressAutoHyphens w:val="0"/>
        <w:autoSpaceDE w:val="0"/>
        <w:autoSpaceDN w:val="0"/>
        <w:adjustRightInd w:val="0"/>
        <w:rPr>
          <w:rFonts w:ascii="Calibri" w:hAnsi="Calibri"/>
        </w:rPr>
      </w:pPr>
    </w:p>
    <w:p w14:paraId="0478AFA5" w14:textId="77777777" w:rsidR="009C3918" w:rsidRPr="004B363D" w:rsidRDefault="009C3918" w:rsidP="009C3918">
      <w:pPr>
        <w:widowControl w:val="0"/>
        <w:suppressAutoHyphens w:val="0"/>
        <w:autoSpaceDE w:val="0"/>
        <w:autoSpaceDN w:val="0"/>
        <w:adjustRightInd w:val="0"/>
        <w:rPr>
          <w:rFonts w:ascii="Calibri" w:eastAsia="ＭＳ 明朝" w:hAnsi="Calibri" w:cs="Times New Roman"/>
          <w:kern w:val="0"/>
          <w:sz w:val="28"/>
          <w:szCs w:val="28"/>
          <w:lang w:eastAsia="en-US" w:bidi="ar-SA"/>
        </w:rPr>
      </w:pPr>
      <w:r w:rsidRPr="004B363D">
        <w:rPr>
          <w:rFonts w:ascii="Calibri" w:eastAsia="ＭＳ 明朝" w:hAnsi="Calibri" w:cs="Calibri"/>
          <w:kern w:val="0"/>
          <w:lang w:eastAsia="en-US" w:bidi="ar-SA"/>
        </w:rPr>
        <w:t>Such voluntary guidelines may include:</w:t>
      </w:r>
    </w:p>
    <w:p w14:paraId="24F70331" w14:textId="77777777" w:rsidR="009C3918" w:rsidRPr="004B363D" w:rsidRDefault="009C3918" w:rsidP="009C3918">
      <w:pPr>
        <w:pStyle w:val="ListParagraph"/>
        <w:widowControl w:val="0"/>
        <w:numPr>
          <w:ilvl w:val="0"/>
          <w:numId w:val="1"/>
        </w:numPr>
        <w:suppressAutoHyphens w:val="0"/>
        <w:autoSpaceDE w:val="0"/>
        <w:autoSpaceDN w:val="0"/>
        <w:adjustRightInd w:val="0"/>
        <w:rPr>
          <w:rFonts w:ascii="Calibri" w:eastAsia="ＭＳ 明朝" w:hAnsi="Calibri" w:cs="Times New Roman"/>
          <w:kern w:val="0"/>
          <w:sz w:val="28"/>
          <w:szCs w:val="28"/>
          <w:lang w:eastAsia="en-US" w:bidi="ar-SA"/>
        </w:rPr>
      </w:pPr>
      <w:r w:rsidRPr="004B363D">
        <w:rPr>
          <w:rFonts w:ascii="Calibri" w:eastAsia="ＭＳ 明朝" w:hAnsi="Calibri" w:cs="Calibri"/>
          <w:kern w:val="0"/>
          <w:lang w:eastAsia="en-US" w:bidi="ar-SA"/>
        </w:rPr>
        <w:t>Proxy services provide full contact details as required by the Whois</w:t>
      </w:r>
    </w:p>
    <w:p w14:paraId="334235C2" w14:textId="77777777" w:rsidR="009C3918" w:rsidRPr="004B363D" w:rsidRDefault="009C3918" w:rsidP="009C3918">
      <w:pPr>
        <w:pStyle w:val="ListParagraph"/>
        <w:widowControl w:val="0"/>
        <w:numPr>
          <w:ilvl w:val="0"/>
          <w:numId w:val="1"/>
        </w:numPr>
        <w:suppressAutoHyphens w:val="0"/>
        <w:autoSpaceDE w:val="0"/>
        <w:autoSpaceDN w:val="0"/>
        <w:adjustRightInd w:val="0"/>
        <w:rPr>
          <w:rFonts w:ascii="Calibri" w:eastAsia="ＭＳ 明朝" w:hAnsi="Calibri" w:cs="Times New Roman"/>
          <w:kern w:val="0"/>
          <w:sz w:val="28"/>
          <w:szCs w:val="28"/>
          <w:lang w:eastAsia="en-US" w:bidi="ar-SA"/>
        </w:rPr>
      </w:pPr>
      <w:r w:rsidRPr="004B363D">
        <w:rPr>
          <w:rFonts w:ascii="Calibri" w:eastAsia="ＭＳ 明朝" w:hAnsi="Calibri" w:cs="Calibri"/>
          <w:kern w:val="0"/>
          <w:lang w:eastAsia="en-US" w:bidi="ar-SA"/>
        </w:rPr>
        <w:t>Publication by the proxy service of its process for revealing and relaying information</w:t>
      </w:r>
    </w:p>
    <w:p w14:paraId="0E152DD8" w14:textId="77777777" w:rsidR="009C3918" w:rsidRPr="004B363D" w:rsidRDefault="009C3918" w:rsidP="009C3918">
      <w:pPr>
        <w:pStyle w:val="ListParagraph"/>
        <w:widowControl w:val="0"/>
        <w:numPr>
          <w:ilvl w:val="0"/>
          <w:numId w:val="1"/>
        </w:numPr>
        <w:suppressAutoHyphens w:val="0"/>
        <w:autoSpaceDE w:val="0"/>
        <w:autoSpaceDN w:val="0"/>
        <w:adjustRightInd w:val="0"/>
        <w:rPr>
          <w:rFonts w:ascii="Calibri" w:eastAsia="ＭＳ 明朝" w:hAnsi="Calibri" w:cs="Times New Roman"/>
          <w:kern w:val="0"/>
          <w:sz w:val="28"/>
          <w:szCs w:val="28"/>
          <w:lang w:eastAsia="en-US" w:bidi="ar-SA"/>
        </w:rPr>
      </w:pPr>
      <w:r w:rsidRPr="004B363D">
        <w:rPr>
          <w:rFonts w:ascii="Calibri" w:eastAsia="ＭＳ 明朝" w:hAnsi="Calibri" w:cs="Calibri"/>
          <w:kern w:val="0"/>
          <w:lang w:eastAsia="en-US" w:bidi="ar-SA"/>
        </w:rPr>
        <w:t>Standardization of reveal and relay processes and timeframes, consistent with national laws</w:t>
      </w:r>
    </w:p>
    <w:p w14:paraId="5D8C6D31" w14:textId="77777777" w:rsidR="009C3918" w:rsidRPr="004B363D" w:rsidRDefault="009C3918" w:rsidP="009C3918">
      <w:pPr>
        <w:pStyle w:val="ListParagraph"/>
        <w:widowControl w:val="0"/>
        <w:numPr>
          <w:ilvl w:val="0"/>
          <w:numId w:val="1"/>
        </w:numPr>
        <w:suppressAutoHyphens w:val="0"/>
        <w:autoSpaceDE w:val="0"/>
        <w:autoSpaceDN w:val="0"/>
        <w:adjustRightInd w:val="0"/>
        <w:rPr>
          <w:rFonts w:ascii="Calibri" w:eastAsia="ＭＳ 明朝" w:hAnsi="Calibri" w:cs="Times New Roman"/>
          <w:kern w:val="0"/>
          <w:sz w:val="28"/>
          <w:szCs w:val="28"/>
          <w:lang w:eastAsia="en-US" w:bidi="ar-SA"/>
        </w:rPr>
      </w:pPr>
      <w:r w:rsidRPr="004B363D">
        <w:rPr>
          <w:rFonts w:ascii="Calibri" w:eastAsia="ＭＳ 明朝" w:hAnsi="Calibri" w:cs="Calibri"/>
          <w:kern w:val="0"/>
          <w:lang w:eastAsia="en-US" w:bidi="ar-SA"/>
        </w:rPr>
        <w:t>Maintenance of a dedicated abuse point of contact for the proxy service provider</w:t>
      </w:r>
    </w:p>
    <w:p w14:paraId="6F45D3B4" w14:textId="77777777" w:rsidR="009C3918" w:rsidRPr="004B363D" w:rsidRDefault="009C3918" w:rsidP="009C3918">
      <w:pPr>
        <w:pStyle w:val="ListParagraph"/>
        <w:widowControl w:val="0"/>
        <w:numPr>
          <w:ilvl w:val="0"/>
          <w:numId w:val="1"/>
        </w:numPr>
        <w:suppressAutoHyphens w:val="0"/>
        <w:autoSpaceDE w:val="0"/>
        <w:autoSpaceDN w:val="0"/>
        <w:adjustRightInd w:val="0"/>
        <w:rPr>
          <w:rFonts w:ascii="Calibri" w:eastAsia="ＭＳ 明朝" w:hAnsi="Calibri" w:cs="Times New Roman"/>
          <w:kern w:val="0"/>
          <w:sz w:val="28"/>
          <w:szCs w:val="28"/>
          <w:lang w:eastAsia="en-US" w:bidi="ar-SA"/>
        </w:rPr>
      </w:pPr>
      <w:r w:rsidRPr="004B363D">
        <w:rPr>
          <w:rFonts w:ascii="Calibri" w:eastAsia="ＭＳ 明朝" w:hAnsi="Calibri" w:cs="Calibri"/>
          <w:kern w:val="0"/>
          <w:lang w:eastAsia="en-US" w:bidi="ar-SA"/>
        </w:rPr>
        <w:t>Due diligence checks on licensee contact information.</w:t>
      </w:r>
    </w:p>
    <w:p w14:paraId="64D7979A" w14:textId="77777777" w:rsidR="009C3918" w:rsidRPr="004B363D" w:rsidRDefault="009C3918" w:rsidP="009C3918">
      <w:pPr>
        <w:widowControl w:val="0"/>
        <w:suppressAutoHyphens w:val="0"/>
        <w:autoSpaceDE w:val="0"/>
        <w:autoSpaceDN w:val="0"/>
        <w:adjustRightInd w:val="0"/>
        <w:rPr>
          <w:rFonts w:ascii="Calibri" w:eastAsia="ＭＳ 明朝" w:hAnsi="Calibri" w:cs="Calibri"/>
          <w:kern w:val="0"/>
          <w:lang w:eastAsia="en-US" w:bidi="ar-SA"/>
        </w:rPr>
      </w:pPr>
    </w:p>
    <w:p w14:paraId="3DDFC87C" w14:textId="77777777" w:rsidR="009C3918" w:rsidRPr="004B363D" w:rsidRDefault="009C3918" w:rsidP="009C3918">
      <w:pPr>
        <w:pStyle w:val="ListParagraph"/>
        <w:widowControl w:val="0"/>
        <w:numPr>
          <w:ilvl w:val="0"/>
          <w:numId w:val="2"/>
        </w:numPr>
        <w:suppressAutoHyphens w:val="0"/>
        <w:autoSpaceDE w:val="0"/>
        <w:autoSpaceDN w:val="0"/>
        <w:adjustRightInd w:val="0"/>
        <w:rPr>
          <w:rFonts w:ascii="Calibri" w:eastAsia="ＭＳ 明朝" w:hAnsi="Calibri" w:cs="Times New Roman"/>
          <w:kern w:val="0"/>
          <w:lang w:eastAsia="en-US" w:bidi="ar-SA"/>
        </w:rPr>
      </w:pPr>
      <w:r w:rsidRPr="004B363D">
        <w:rPr>
          <w:rFonts w:ascii="Calibri" w:eastAsia="ＭＳ 明朝" w:hAnsi="Calibri" w:cs="Calibri"/>
          <w:kern w:val="0"/>
          <w:lang w:eastAsia="en-US" w:bidi="ar-SA"/>
        </w:rPr>
        <w:t xml:space="preserve"> ICANN should encourage and incentivize registrars to interact with the retail service providers that adopt the best practices.</w:t>
      </w:r>
    </w:p>
    <w:p w14:paraId="4D1B1935" w14:textId="77777777" w:rsidR="009C3918" w:rsidRPr="004B363D" w:rsidRDefault="009C3918" w:rsidP="009C3918">
      <w:pPr>
        <w:pStyle w:val="ListParagraph"/>
        <w:widowControl w:val="0"/>
        <w:suppressAutoHyphens w:val="0"/>
        <w:autoSpaceDE w:val="0"/>
        <w:autoSpaceDN w:val="0"/>
        <w:adjustRightInd w:val="0"/>
        <w:ind w:left="360"/>
        <w:rPr>
          <w:rFonts w:ascii="Calibri" w:eastAsia="ＭＳ 明朝" w:hAnsi="Calibri" w:cs="Times New Roman"/>
          <w:kern w:val="0"/>
          <w:lang w:eastAsia="en-US" w:bidi="ar-SA"/>
        </w:rPr>
      </w:pPr>
    </w:p>
    <w:p w14:paraId="23A2F021" w14:textId="77777777" w:rsidR="009C3918" w:rsidRPr="004B363D" w:rsidRDefault="009C3918" w:rsidP="009C3918">
      <w:pPr>
        <w:pStyle w:val="ListParagraph"/>
        <w:widowControl w:val="0"/>
        <w:numPr>
          <w:ilvl w:val="0"/>
          <w:numId w:val="2"/>
        </w:numPr>
        <w:suppressAutoHyphens w:val="0"/>
        <w:autoSpaceDE w:val="0"/>
        <w:autoSpaceDN w:val="0"/>
        <w:adjustRightInd w:val="0"/>
        <w:rPr>
          <w:rFonts w:ascii="Calibri" w:eastAsia="ＭＳ 明朝" w:hAnsi="Calibri" w:cs="Times New Roman"/>
          <w:kern w:val="0"/>
          <w:lang w:eastAsia="en-US" w:bidi="ar-SA"/>
        </w:rPr>
      </w:pPr>
      <w:r w:rsidRPr="004B363D">
        <w:rPr>
          <w:rFonts w:ascii="Calibri" w:eastAsia="ＭＳ 明朝" w:hAnsi="Calibri" w:cs="Calibri"/>
          <w:kern w:val="0"/>
          <w:lang w:eastAsia="en-US" w:bidi="ar-SA"/>
        </w:rPr>
        <w:t>For the avoidance of doubt, the WHOIS Policy, referred to in Recommendation 1 above, should include an affirmative statement that clarifies that a proxy means a relationship in which the Registrant is acting on behalf of another. The WHOIS data is that of the agent, and the agent alone obtains all rights and assumes all responsibility for the domain name and its manner of use.</w:t>
      </w:r>
    </w:p>
    <w:p w14:paraId="3CE2EEB7" w14:textId="77777777" w:rsidR="009C3918" w:rsidRPr="004B363D" w:rsidRDefault="009C3918" w:rsidP="009C3918">
      <w:pPr>
        <w:pStyle w:val="ListParagraph"/>
        <w:jc w:val="both"/>
        <w:rPr>
          <w:rFonts w:ascii="Calibri" w:hAnsi="Calibri"/>
        </w:rPr>
      </w:pPr>
    </w:p>
    <w:p w14:paraId="29FE9D0E" w14:textId="77777777" w:rsidR="001769D1" w:rsidRDefault="001769D1" w:rsidP="009C3918">
      <w:pPr>
        <w:rPr>
          <w:rFonts w:ascii="Calibri" w:hAnsi="Calibri"/>
          <w:bCs/>
          <w:i/>
          <w:color w:val="000000"/>
          <w:sz w:val="28"/>
          <w:szCs w:val="28"/>
          <w:shd w:val="clear" w:color="auto" w:fill="FFFFFF"/>
        </w:rPr>
      </w:pPr>
    </w:p>
    <w:p w14:paraId="68ECBC51" w14:textId="77777777" w:rsidR="009C3918" w:rsidRPr="004B363D" w:rsidRDefault="009C3918" w:rsidP="009C3918">
      <w:pPr>
        <w:rPr>
          <w:rFonts w:ascii="Calibri" w:hAnsi="Calibri"/>
          <w:bCs/>
          <w:i/>
          <w:color w:val="000000"/>
          <w:sz w:val="28"/>
          <w:szCs w:val="28"/>
          <w:shd w:val="clear" w:color="auto" w:fill="FFFFFF"/>
        </w:rPr>
      </w:pPr>
      <w:r w:rsidRPr="004B363D">
        <w:rPr>
          <w:rFonts w:ascii="Calibri" w:hAnsi="Calibri"/>
          <w:bCs/>
          <w:i/>
          <w:color w:val="000000"/>
          <w:sz w:val="28"/>
          <w:szCs w:val="28"/>
          <w:shd w:val="clear" w:color="auto" w:fill="FFFFFF"/>
        </w:rPr>
        <w:t>Data Access – Common Interface</w:t>
      </w:r>
    </w:p>
    <w:p w14:paraId="5D016776" w14:textId="77777777" w:rsidR="009C3918" w:rsidRPr="004B363D" w:rsidRDefault="009C3918" w:rsidP="009C3918">
      <w:pPr>
        <w:rPr>
          <w:rFonts w:ascii="Calibri" w:hAnsi="Calibri"/>
          <w:b/>
          <w:bCs/>
          <w:color w:val="000000"/>
          <w:shd w:val="clear" w:color="auto" w:fill="FFFFFF"/>
        </w:rPr>
      </w:pPr>
    </w:p>
    <w:p w14:paraId="19EAF342" w14:textId="77777777" w:rsidR="009C3918" w:rsidRPr="004B363D" w:rsidRDefault="009C3918" w:rsidP="009C3918">
      <w:pPr>
        <w:pStyle w:val="ListParagraph"/>
        <w:numPr>
          <w:ilvl w:val="0"/>
          <w:numId w:val="2"/>
        </w:numPr>
        <w:spacing w:line="100" w:lineRule="atLeast"/>
        <w:rPr>
          <w:rFonts w:ascii="Calibri" w:hAnsi="Calibri"/>
        </w:rPr>
      </w:pPr>
      <w:r w:rsidRPr="004B363D">
        <w:rPr>
          <w:rFonts w:ascii="Calibri" w:hAnsi="Calibri"/>
        </w:rPr>
        <w:t>To improve access to the Whois data of .COM and .NET gTLDs, the only remaining Thin Registries, ICANN should set up a dedicated, multilingual interface website to provide thick WHOIS data for them.</w:t>
      </w:r>
    </w:p>
    <w:p w14:paraId="6582F933" w14:textId="77777777" w:rsidR="009C3918" w:rsidRPr="004B363D" w:rsidRDefault="009C3918" w:rsidP="009C3918">
      <w:pPr>
        <w:spacing w:line="100" w:lineRule="atLeast"/>
        <w:rPr>
          <w:rFonts w:ascii="Calibri" w:hAnsi="Calibri"/>
        </w:rPr>
      </w:pPr>
    </w:p>
    <w:p w14:paraId="6C9F0BA4" w14:textId="77777777" w:rsidR="009C3918" w:rsidRPr="004B363D" w:rsidRDefault="009C3918" w:rsidP="009C3918">
      <w:pPr>
        <w:spacing w:line="100" w:lineRule="atLeast"/>
        <w:rPr>
          <w:rFonts w:ascii="Calibri" w:hAnsi="Calibri"/>
          <w:b/>
        </w:rPr>
      </w:pPr>
      <w:r w:rsidRPr="004B363D">
        <w:rPr>
          <w:rFonts w:ascii="Calibri" w:hAnsi="Calibri"/>
          <w:b/>
        </w:rPr>
        <w:t>ALTERNATIVE for public comment:</w:t>
      </w:r>
    </w:p>
    <w:p w14:paraId="2C8E84EC" w14:textId="77777777" w:rsidR="009C3918" w:rsidRPr="004B363D" w:rsidRDefault="009C3918" w:rsidP="009C3918">
      <w:pPr>
        <w:pStyle w:val="ListParagraph"/>
        <w:spacing w:line="100" w:lineRule="atLeast"/>
        <w:ind w:left="360"/>
        <w:rPr>
          <w:rFonts w:ascii="Calibri" w:hAnsi="Calibri"/>
        </w:rPr>
      </w:pPr>
      <w:r w:rsidRPr="00E31E55">
        <w:rPr>
          <w:rFonts w:ascii="Calibri" w:eastAsia="ＭＳ 明朝" w:hAnsi="Calibri" w:cs="Calibri"/>
          <w:kern w:val="0"/>
          <w:lang w:eastAsia="en-US" w:bidi="ar-SA"/>
        </w:rPr>
        <w:t>To make WHOIS data more accessible for consumers, ICANN should set up a dedicated, multilingual interface website to allow  "unrestricted and public access to accurate and complete WHOIS information".  Such interface should provide thick WHOIS data for all gTLD domain names.</w:t>
      </w:r>
    </w:p>
    <w:p w14:paraId="728E0C67" w14:textId="77777777" w:rsidR="009C3918" w:rsidRPr="004B363D" w:rsidRDefault="009C3918" w:rsidP="009C3918">
      <w:pPr>
        <w:pStyle w:val="ListParagraph"/>
        <w:spacing w:line="100" w:lineRule="atLeast"/>
        <w:ind w:left="360"/>
        <w:rPr>
          <w:rFonts w:ascii="Calibri" w:hAnsi="Calibri"/>
        </w:rPr>
      </w:pPr>
    </w:p>
    <w:p w14:paraId="4E7EADE0" w14:textId="77777777" w:rsidR="009C3918" w:rsidRPr="004B363D" w:rsidRDefault="009C3918" w:rsidP="009C3918">
      <w:pPr>
        <w:rPr>
          <w:rFonts w:ascii="Calibri" w:hAnsi="Calibri"/>
          <w:bCs/>
          <w:i/>
          <w:color w:val="000000"/>
          <w:sz w:val="28"/>
          <w:szCs w:val="28"/>
          <w:shd w:val="clear" w:color="auto" w:fill="FFFFFF"/>
        </w:rPr>
      </w:pPr>
      <w:r w:rsidRPr="004B363D">
        <w:rPr>
          <w:rFonts w:ascii="Calibri" w:hAnsi="Calibri"/>
          <w:bCs/>
          <w:i/>
          <w:color w:val="000000"/>
          <w:sz w:val="28"/>
          <w:szCs w:val="28"/>
          <w:shd w:val="clear" w:color="auto" w:fill="FFFFFF"/>
        </w:rPr>
        <w:t>Internationalized Domain Names</w:t>
      </w:r>
    </w:p>
    <w:p w14:paraId="6CE137EC" w14:textId="77777777" w:rsidR="009C3918" w:rsidRPr="004B363D" w:rsidRDefault="009C3918" w:rsidP="009C3918">
      <w:pPr>
        <w:rPr>
          <w:rFonts w:ascii="Calibri" w:hAnsi="Calibri"/>
          <w:b/>
          <w:bCs/>
          <w:color w:val="000000"/>
          <w:shd w:val="clear" w:color="auto" w:fill="FFFFFF"/>
        </w:rPr>
      </w:pPr>
    </w:p>
    <w:p w14:paraId="172B58DD" w14:textId="77777777" w:rsidR="009C3918" w:rsidRPr="004B363D" w:rsidRDefault="009C3918" w:rsidP="009C3918">
      <w:pPr>
        <w:pStyle w:val="ListParagraph"/>
        <w:numPr>
          <w:ilvl w:val="0"/>
          <w:numId w:val="2"/>
        </w:numPr>
        <w:spacing w:line="100" w:lineRule="atLeast"/>
        <w:rPr>
          <w:rFonts w:ascii="Calibri" w:hAnsi="Calibri"/>
        </w:rPr>
      </w:pPr>
      <w:r w:rsidRPr="004B363D">
        <w:rPr>
          <w:rFonts w:ascii="Calibri" w:hAnsi="Calibri"/>
        </w:rPr>
        <w:t>ICANN Community should task a working group within 6 months of publication to finalize (i) encoding, (ii) modifications to data model, and (iii) internationalized services, to give global access to gather, store and make available internationalized registration data.  Such working group should report no later than one year from formation, using existing IDN encoding.  The working group should aim for consistency of approach across the gTLD and – on a voluntary basis – the ccTLD space.</w:t>
      </w:r>
    </w:p>
    <w:p w14:paraId="74FCE123" w14:textId="77777777" w:rsidR="009C3918" w:rsidRPr="004B363D" w:rsidRDefault="009C3918" w:rsidP="009C3918">
      <w:pPr>
        <w:widowControl w:val="0"/>
        <w:rPr>
          <w:rFonts w:ascii="Calibri" w:hAnsi="Calibri"/>
          <w:bCs/>
        </w:rPr>
      </w:pPr>
    </w:p>
    <w:p w14:paraId="2455E72A" w14:textId="77777777" w:rsidR="009C3918" w:rsidRPr="004B363D" w:rsidRDefault="009C3918" w:rsidP="009C3918">
      <w:pPr>
        <w:pStyle w:val="ListParagraph"/>
        <w:numPr>
          <w:ilvl w:val="0"/>
          <w:numId w:val="2"/>
        </w:numPr>
        <w:spacing w:line="100" w:lineRule="atLeast"/>
        <w:rPr>
          <w:rFonts w:ascii="Calibri" w:hAnsi="Calibri"/>
        </w:rPr>
      </w:pPr>
      <w:r w:rsidRPr="004B363D">
        <w:rPr>
          <w:rFonts w:ascii="Calibri" w:hAnsi="Calibri"/>
        </w:rPr>
        <w:t xml:space="preserve">The final data model and services should be incorporated and reflected in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gTLD program at this time, and in the existing agreements when they come up for renewal (as is the case for adoption of consensus policies).  </w:t>
      </w:r>
    </w:p>
    <w:p w14:paraId="0E91FC05" w14:textId="77777777" w:rsidR="009C3918" w:rsidRPr="004B363D" w:rsidRDefault="009C3918" w:rsidP="009C3918">
      <w:pPr>
        <w:widowControl w:val="0"/>
        <w:rPr>
          <w:rFonts w:ascii="Calibri" w:hAnsi="Calibri"/>
          <w:bCs/>
        </w:rPr>
      </w:pPr>
    </w:p>
    <w:p w14:paraId="117E036B" w14:textId="77777777" w:rsidR="009C3918" w:rsidRDefault="009C3918" w:rsidP="009C3918">
      <w:pPr>
        <w:pStyle w:val="ListParagraph"/>
        <w:numPr>
          <w:ilvl w:val="0"/>
          <w:numId w:val="2"/>
        </w:numPr>
        <w:spacing w:line="100" w:lineRule="atLeast"/>
        <w:rPr>
          <w:rFonts w:ascii="Calibri" w:hAnsi="Calibri"/>
        </w:rPr>
      </w:pPr>
      <w:r w:rsidRPr="004B363D">
        <w:rPr>
          <w:rFonts w:ascii="Calibri" w:hAnsi="Calibri"/>
        </w:rPr>
        <w:t xml:space="preserve">Requirements for registration data accuracy and availability in local languages should be finalized (following initial work by IRD-WG and other similar efforts, especially if translation or transliteration of data is stipulated) along with the efforts on internationalization of registration data. Metrics should be defined to measure accuracy and availability of data in local languages and (if needed) corresponding data in ASCII, and compliance methods and targets should be explicitly defined accordingly.  </w:t>
      </w:r>
    </w:p>
    <w:p w14:paraId="177249B6" w14:textId="77777777" w:rsidR="00EE0096" w:rsidRPr="00EE0096" w:rsidRDefault="00EE0096" w:rsidP="00EE0096">
      <w:pPr>
        <w:spacing w:line="100" w:lineRule="atLeast"/>
        <w:rPr>
          <w:rFonts w:ascii="Calibri" w:hAnsi="Calibri"/>
        </w:rPr>
      </w:pPr>
    </w:p>
    <w:p w14:paraId="2A55CACF" w14:textId="77777777" w:rsidR="007D4407" w:rsidRDefault="007D4407">
      <w:pPr>
        <w:rPr>
          <w:sz w:val="28"/>
          <w:szCs w:val="28"/>
        </w:rPr>
      </w:pPr>
    </w:p>
    <w:p w14:paraId="27DBDE1B" w14:textId="77777777" w:rsidR="001769D1" w:rsidRDefault="001769D1">
      <w:pPr>
        <w:rPr>
          <w:sz w:val="28"/>
          <w:szCs w:val="28"/>
        </w:rPr>
      </w:pPr>
    </w:p>
    <w:p w14:paraId="38E4783E" w14:textId="77777777" w:rsidR="001769D1" w:rsidRDefault="001769D1">
      <w:pPr>
        <w:rPr>
          <w:sz w:val="28"/>
          <w:szCs w:val="28"/>
        </w:rPr>
      </w:pPr>
    </w:p>
    <w:p w14:paraId="2FE5B279" w14:textId="77777777" w:rsidR="001769D1" w:rsidRDefault="001769D1">
      <w:pPr>
        <w:rPr>
          <w:sz w:val="28"/>
          <w:szCs w:val="28"/>
        </w:rPr>
      </w:pPr>
    </w:p>
    <w:p w14:paraId="19FC9E88" w14:textId="77777777" w:rsidR="001769D1" w:rsidRPr="00EE0096" w:rsidRDefault="001769D1">
      <w:pPr>
        <w:rPr>
          <w:sz w:val="28"/>
          <w:szCs w:val="28"/>
        </w:rPr>
      </w:pPr>
    </w:p>
    <w:p w14:paraId="1E69692A" w14:textId="0D4241AC" w:rsidR="00B03DE4" w:rsidRPr="00EE0096" w:rsidRDefault="00EE0096" w:rsidP="00EE0096">
      <w:pPr>
        <w:jc w:val="center"/>
        <w:rPr>
          <w:rFonts w:asciiTheme="majorHAnsi" w:hAnsiTheme="majorHAnsi"/>
          <w:b/>
          <w:sz w:val="28"/>
          <w:szCs w:val="28"/>
        </w:rPr>
      </w:pPr>
      <w:r w:rsidRPr="00EE0096">
        <w:rPr>
          <w:rFonts w:asciiTheme="majorHAnsi" w:hAnsiTheme="majorHAnsi"/>
          <w:b/>
          <w:sz w:val="28"/>
          <w:szCs w:val="28"/>
        </w:rPr>
        <w:t>THE REVIEW TEAM ALSO SEEKS FEEDBACK ON</w:t>
      </w:r>
    </w:p>
    <w:p w14:paraId="71D7DC16" w14:textId="77777777" w:rsidR="00EE0096" w:rsidRDefault="00EE0096" w:rsidP="00EE0096">
      <w:pPr>
        <w:jc w:val="center"/>
        <w:rPr>
          <w:rFonts w:asciiTheme="majorHAnsi" w:hAnsiTheme="majorHAnsi"/>
        </w:rPr>
      </w:pPr>
    </w:p>
    <w:p w14:paraId="65436E7D" w14:textId="77777777" w:rsidR="00EE0096" w:rsidRPr="00EE0096" w:rsidRDefault="00EE0096" w:rsidP="00EE0096">
      <w:pPr>
        <w:numPr>
          <w:ilvl w:val="0"/>
          <w:numId w:val="7"/>
        </w:numPr>
        <w:shd w:val="clear" w:color="auto" w:fill="FFFFFF"/>
        <w:suppressAutoHyphens w:val="0"/>
        <w:spacing w:before="100" w:beforeAutospacing="1" w:after="75" w:line="330" w:lineRule="atLeast"/>
        <w:ind w:left="300" w:right="525"/>
        <w:rPr>
          <w:rFonts w:asciiTheme="majorHAnsi" w:eastAsia="Times New Roman" w:hAnsiTheme="majorHAnsi" w:cs="Arial"/>
          <w:kern w:val="0"/>
          <w:lang w:eastAsia="en-US" w:bidi="ar-SA"/>
        </w:rPr>
      </w:pPr>
      <w:r w:rsidRPr="00EE0096">
        <w:rPr>
          <w:rFonts w:asciiTheme="majorHAnsi" w:eastAsia="Times New Roman" w:hAnsiTheme="majorHAnsi" w:cs="Arial"/>
          <w:kern w:val="0"/>
          <w:lang w:eastAsia="en-US" w:bidi="ar-SA"/>
        </w:rPr>
        <w:t>Acceptable timeframes for ICANN to implement the Review Team's recommendations;</w:t>
      </w:r>
    </w:p>
    <w:p w14:paraId="66F2AF4A" w14:textId="77777777" w:rsidR="00EE0096" w:rsidRPr="00EE0096" w:rsidRDefault="00EE0096" w:rsidP="00EE0096">
      <w:pPr>
        <w:numPr>
          <w:ilvl w:val="0"/>
          <w:numId w:val="7"/>
        </w:numPr>
        <w:shd w:val="clear" w:color="auto" w:fill="FFFFFF"/>
        <w:suppressAutoHyphens w:val="0"/>
        <w:spacing w:before="100" w:beforeAutospacing="1" w:after="75" w:line="330" w:lineRule="atLeast"/>
        <w:ind w:left="300" w:right="525"/>
        <w:rPr>
          <w:rFonts w:asciiTheme="majorHAnsi" w:eastAsia="Times New Roman" w:hAnsiTheme="majorHAnsi" w:cs="Arial"/>
          <w:kern w:val="0"/>
          <w:lang w:eastAsia="en-US" w:bidi="ar-SA"/>
        </w:rPr>
      </w:pPr>
      <w:r w:rsidRPr="00EE0096">
        <w:rPr>
          <w:rFonts w:asciiTheme="majorHAnsi" w:eastAsia="Times New Roman" w:hAnsiTheme="majorHAnsi" w:cs="Arial"/>
          <w:kern w:val="0"/>
          <w:lang w:eastAsia="en-US" w:bidi="ar-SA"/>
        </w:rPr>
        <w:t>Particular ICANN departments, staff or supporting organizations which ought to be tasked with particular recommendations, with some explanation;</w:t>
      </w:r>
    </w:p>
    <w:p w14:paraId="073B89B8" w14:textId="77777777" w:rsidR="00EE0096" w:rsidRPr="00EE0096" w:rsidRDefault="00EE0096" w:rsidP="00EE0096">
      <w:pPr>
        <w:numPr>
          <w:ilvl w:val="0"/>
          <w:numId w:val="7"/>
        </w:numPr>
        <w:shd w:val="clear" w:color="auto" w:fill="FFFFFF"/>
        <w:suppressAutoHyphens w:val="0"/>
        <w:spacing w:before="100" w:beforeAutospacing="1" w:after="75" w:line="330" w:lineRule="atLeast"/>
        <w:ind w:left="300" w:right="525"/>
        <w:rPr>
          <w:rFonts w:asciiTheme="majorHAnsi" w:eastAsia="Times New Roman" w:hAnsiTheme="majorHAnsi" w:cs="Arial"/>
          <w:kern w:val="0"/>
          <w:lang w:eastAsia="en-US" w:bidi="ar-SA"/>
        </w:rPr>
      </w:pPr>
      <w:r w:rsidRPr="00EE0096">
        <w:rPr>
          <w:rFonts w:asciiTheme="majorHAnsi" w:eastAsia="Times New Roman" w:hAnsiTheme="majorHAnsi" w:cs="Arial"/>
          <w:kern w:val="0"/>
          <w:lang w:eastAsia="en-US" w:bidi="ar-SA"/>
        </w:rPr>
        <w:t>Input on all Recommendations, including Recommendation 17 in which two variations of scope are presented for the "common interface" recommendation;</w:t>
      </w:r>
    </w:p>
    <w:p w14:paraId="121F1789" w14:textId="77777777" w:rsidR="00EE0096" w:rsidRPr="00EE0096" w:rsidRDefault="00EE0096" w:rsidP="00EE0096">
      <w:pPr>
        <w:numPr>
          <w:ilvl w:val="0"/>
          <w:numId w:val="7"/>
        </w:numPr>
        <w:shd w:val="clear" w:color="auto" w:fill="FFFFFF"/>
        <w:suppressAutoHyphens w:val="0"/>
        <w:spacing w:before="100" w:beforeAutospacing="1" w:after="75" w:line="330" w:lineRule="atLeast"/>
        <w:ind w:left="300" w:right="525"/>
        <w:rPr>
          <w:rFonts w:asciiTheme="majorHAnsi" w:eastAsia="Times New Roman" w:hAnsiTheme="majorHAnsi" w:cs="Arial"/>
          <w:kern w:val="0"/>
          <w:lang w:eastAsia="en-US" w:bidi="ar-SA"/>
        </w:rPr>
      </w:pPr>
      <w:r w:rsidRPr="00EE0096">
        <w:rPr>
          <w:rFonts w:asciiTheme="majorHAnsi" w:eastAsia="Times New Roman" w:hAnsiTheme="majorHAnsi" w:cs="Arial"/>
          <w:kern w:val="0"/>
          <w:lang w:eastAsia="en-US" w:bidi="ar-SA"/>
        </w:rPr>
        <w:t>Input on effective and efficient mechanisms for monitoring ICANN's progress in implementing the final Recommendations between completion of this Report and start of the next WHOIS Policy Review Team; and</w:t>
      </w:r>
    </w:p>
    <w:p w14:paraId="4DD6A561" w14:textId="77777777" w:rsidR="00EE0096" w:rsidRPr="00EE0096" w:rsidRDefault="00EE0096" w:rsidP="00EE0096">
      <w:pPr>
        <w:numPr>
          <w:ilvl w:val="0"/>
          <w:numId w:val="7"/>
        </w:numPr>
        <w:shd w:val="clear" w:color="auto" w:fill="FFFFFF"/>
        <w:suppressAutoHyphens w:val="0"/>
        <w:spacing w:before="100" w:beforeAutospacing="1" w:after="75" w:line="330" w:lineRule="atLeast"/>
        <w:ind w:left="300" w:right="525"/>
        <w:rPr>
          <w:rFonts w:asciiTheme="majorHAnsi" w:eastAsia="Times New Roman" w:hAnsiTheme="majorHAnsi" w:cs="Arial"/>
          <w:kern w:val="0"/>
          <w:lang w:eastAsia="en-US" w:bidi="ar-SA"/>
        </w:rPr>
      </w:pPr>
      <w:r w:rsidRPr="00EE0096">
        <w:rPr>
          <w:rFonts w:asciiTheme="majorHAnsi" w:eastAsia="Times New Roman" w:hAnsiTheme="majorHAnsi" w:cs="Arial"/>
          <w:kern w:val="0"/>
          <w:lang w:eastAsia="en-US" w:bidi="ar-SA"/>
        </w:rPr>
        <w:t>Additional input and notes.</w:t>
      </w:r>
    </w:p>
    <w:p w14:paraId="4E7304CD" w14:textId="77777777" w:rsidR="00B03DE4" w:rsidRDefault="00B03DE4"/>
    <w:p w14:paraId="2D8C1BD1" w14:textId="77777777" w:rsidR="00B03DE4" w:rsidRDefault="00B03DE4"/>
    <w:p w14:paraId="7313F79D" w14:textId="77777777" w:rsidR="00B03DE4" w:rsidRDefault="00B03DE4"/>
    <w:p w14:paraId="24C0B2ED" w14:textId="50B72DEB" w:rsidR="006F2CC1" w:rsidRPr="00B03DE4" w:rsidRDefault="006F2CC1" w:rsidP="00B03DE4">
      <w:pPr>
        <w:jc w:val="center"/>
        <w:rPr>
          <w:rFonts w:asciiTheme="majorHAnsi" w:hAnsiTheme="majorHAnsi"/>
          <w:b/>
          <w:sz w:val="28"/>
          <w:szCs w:val="28"/>
        </w:rPr>
      </w:pPr>
      <w:r w:rsidRPr="00B03DE4">
        <w:rPr>
          <w:rFonts w:asciiTheme="majorHAnsi" w:hAnsiTheme="majorHAnsi"/>
          <w:b/>
          <w:sz w:val="28"/>
          <w:szCs w:val="28"/>
        </w:rPr>
        <w:t xml:space="preserve">Please submit your comments to </w:t>
      </w:r>
      <w:hyperlink r:id="rId20" w:history="1">
        <w:r w:rsidR="00B03DE4" w:rsidRPr="00B03DE4">
          <w:rPr>
            <w:rStyle w:val="Hyperlink"/>
            <w:rFonts w:asciiTheme="majorHAnsi" w:hAnsiTheme="majorHAnsi"/>
            <w:b/>
            <w:sz w:val="28"/>
            <w:szCs w:val="28"/>
          </w:rPr>
          <w:t>whois-rt-draft-final-report@icann.org</w:t>
        </w:r>
      </w:hyperlink>
      <w:r w:rsidR="00B03DE4" w:rsidRPr="00B03DE4">
        <w:rPr>
          <w:rFonts w:asciiTheme="majorHAnsi" w:hAnsiTheme="majorHAnsi"/>
          <w:b/>
          <w:sz w:val="28"/>
          <w:szCs w:val="28"/>
        </w:rPr>
        <w:t xml:space="preserve"> by 18 March 2012 – 23:59 UTC.</w:t>
      </w:r>
    </w:p>
    <w:sectPr w:rsidR="006F2CC1" w:rsidRPr="00B03DE4" w:rsidSect="00FA5085">
      <w:footerReference w:type="even" r:id="rId21"/>
      <w:footerReference w:type="default" r:id="rId2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FA2F11" w14:textId="77777777" w:rsidR="006F2CC1" w:rsidRDefault="006F2CC1" w:rsidP="009C3918">
      <w:r>
        <w:separator/>
      </w:r>
    </w:p>
  </w:endnote>
  <w:endnote w:type="continuationSeparator" w:id="0">
    <w:p w14:paraId="4FB7F979" w14:textId="77777777" w:rsidR="006F2CC1" w:rsidRDefault="006F2CC1" w:rsidP="009C39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Sans Unicode">
    <w:panose1 w:val="020B0602030504020204"/>
    <w:charset w:val="00"/>
    <w:family w:val="auto"/>
    <w:pitch w:val="variable"/>
    <w:sig w:usb0="80000AFF" w:usb1="0000396B" w:usb2="00000000" w:usb3="00000000" w:csb0="000000BF" w:csb1="00000000"/>
  </w:font>
  <w:font w:name="Mangal">
    <w:panose1 w:val="00000000000000000000"/>
    <w:charset w:val="01"/>
    <w:family w:val="roman"/>
    <w:notTrueType/>
    <w:pitch w:val="variable"/>
    <w:sig w:usb0="00002000" w:usb1="00000000" w:usb2="00000000" w:usb3="00000000" w:csb0="00000000" w:csb1="00000000"/>
  </w:font>
  <w:font w:name="Verdana">
    <w:panose1 w:val="020B0604030504040204"/>
    <w:charset w:val="00"/>
    <w:family w:val="auto"/>
    <w:pitch w:val="variable"/>
    <w:sig w:usb0="A10006FF" w:usb1="4000205B" w:usb2="00000010"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65A5BC" w14:textId="77777777" w:rsidR="006F2CC1" w:rsidRDefault="006F2CC1" w:rsidP="006F2CC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8AECFC5" w14:textId="77777777" w:rsidR="006F2CC1" w:rsidRDefault="006F2CC1" w:rsidP="006F2CC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7195D5" w14:textId="77777777" w:rsidR="006F2CC1" w:rsidRDefault="006F2CC1" w:rsidP="006F2CC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C1702">
      <w:rPr>
        <w:rStyle w:val="PageNumber"/>
        <w:noProof/>
      </w:rPr>
      <w:t>1</w:t>
    </w:r>
    <w:r>
      <w:rPr>
        <w:rStyle w:val="PageNumber"/>
      </w:rPr>
      <w:fldChar w:fldCharType="end"/>
    </w:r>
  </w:p>
  <w:p w14:paraId="563CE031" w14:textId="77777777" w:rsidR="006F2CC1" w:rsidRDefault="006F2CC1" w:rsidP="006F2CC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521DBF" w14:textId="77777777" w:rsidR="006F2CC1" w:rsidRDefault="006F2CC1" w:rsidP="009C3918">
      <w:r>
        <w:separator/>
      </w:r>
    </w:p>
  </w:footnote>
  <w:footnote w:type="continuationSeparator" w:id="0">
    <w:p w14:paraId="1D572D3A" w14:textId="77777777" w:rsidR="006F2CC1" w:rsidRDefault="006F2CC1" w:rsidP="009C3918">
      <w:r>
        <w:continuationSeparator/>
      </w:r>
    </w:p>
  </w:footnote>
  <w:footnote w:id="1">
    <w:p w14:paraId="34FBA66C" w14:textId="77777777" w:rsidR="006F2CC1" w:rsidRPr="004B363D" w:rsidRDefault="006F2CC1" w:rsidP="009C3918">
      <w:pPr>
        <w:widowControl w:val="0"/>
        <w:suppressAutoHyphens w:val="0"/>
        <w:autoSpaceDE w:val="0"/>
        <w:autoSpaceDN w:val="0"/>
        <w:adjustRightInd w:val="0"/>
        <w:rPr>
          <w:rFonts w:ascii="Times" w:eastAsia="ＭＳ 明朝" w:hAnsi="Times" w:cs="Times New Roman"/>
          <w:kern w:val="0"/>
          <w:sz w:val="16"/>
          <w:szCs w:val="16"/>
          <w:lang w:eastAsia="en-US" w:bidi="ar-SA"/>
        </w:rPr>
      </w:pPr>
      <w:r w:rsidRPr="003743AB">
        <w:rPr>
          <w:rStyle w:val="FootnoteReference"/>
          <w:rFonts w:ascii="Times" w:hAnsi="Times"/>
          <w:sz w:val="16"/>
          <w:szCs w:val="16"/>
        </w:rPr>
        <w:footnoteRef/>
      </w:r>
      <w:r w:rsidRPr="003743AB">
        <w:rPr>
          <w:rFonts w:ascii="Times" w:hAnsi="Times"/>
          <w:sz w:val="16"/>
          <w:szCs w:val="16"/>
        </w:rPr>
        <w:t xml:space="preserve"> </w:t>
      </w:r>
      <w:r w:rsidRPr="004B363D">
        <w:rPr>
          <w:rFonts w:ascii="Times" w:eastAsia="ＭＳ 明朝" w:hAnsi="Times" w:cs="Calibri"/>
          <w:kern w:val="0"/>
          <w:sz w:val="16"/>
          <w:szCs w:val="16"/>
          <w:lang w:eastAsia="en-US" w:bidi="ar-SA"/>
        </w:rPr>
        <w:t>As guidance to the Community and as useful background for the Proxy Service Recommendations, the Review Team provides its working definitions of proxy service and different types of proxy service providers:</w:t>
      </w:r>
    </w:p>
    <w:p w14:paraId="352C5474" w14:textId="77777777" w:rsidR="006F2CC1" w:rsidRPr="004B363D" w:rsidRDefault="006F2CC1" w:rsidP="009C3918">
      <w:pPr>
        <w:widowControl w:val="0"/>
        <w:suppressAutoHyphens w:val="0"/>
        <w:autoSpaceDE w:val="0"/>
        <w:autoSpaceDN w:val="0"/>
        <w:adjustRightInd w:val="0"/>
        <w:rPr>
          <w:rFonts w:ascii="Times" w:eastAsia="ＭＳ 明朝" w:hAnsi="Times" w:cs="Times New Roman"/>
          <w:kern w:val="0"/>
          <w:sz w:val="16"/>
          <w:szCs w:val="16"/>
          <w:lang w:eastAsia="en-US" w:bidi="ar-SA"/>
        </w:rPr>
      </w:pPr>
      <w:r w:rsidRPr="004B363D">
        <w:rPr>
          <w:rFonts w:ascii="Times" w:eastAsia="ＭＳ 明朝" w:hAnsi="Times" w:cs="Times New Roman"/>
          <w:kern w:val="0"/>
          <w:sz w:val="16"/>
          <w:szCs w:val="16"/>
          <w:lang w:eastAsia="en-US" w:bidi="ar-SA"/>
        </w:rPr>
        <w:t>- </w:t>
      </w:r>
      <w:r w:rsidRPr="004B363D">
        <w:rPr>
          <w:rFonts w:ascii="Times" w:eastAsia="ＭＳ 明朝" w:hAnsi="Times" w:cs="Times New Roman"/>
          <w:b/>
          <w:bCs/>
          <w:kern w:val="0"/>
          <w:sz w:val="16"/>
          <w:szCs w:val="16"/>
          <w:u w:val="single"/>
          <w:lang w:eastAsia="en-US" w:bidi="ar-SA"/>
        </w:rPr>
        <w:t>Proxy Service</w:t>
      </w:r>
      <w:r w:rsidRPr="004B363D">
        <w:rPr>
          <w:rFonts w:ascii="Times" w:eastAsia="ＭＳ 明朝" w:hAnsi="Times" w:cs="Times New Roman"/>
          <w:b/>
          <w:bCs/>
          <w:kern w:val="0"/>
          <w:sz w:val="16"/>
          <w:szCs w:val="16"/>
          <w:lang w:eastAsia="en-US" w:bidi="ar-SA"/>
        </w:rPr>
        <w:t> </w:t>
      </w:r>
      <w:r w:rsidRPr="004B363D">
        <w:rPr>
          <w:rFonts w:ascii="Times" w:eastAsia="ＭＳ 明朝" w:hAnsi="Times" w:cs="Times New Roman"/>
          <w:kern w:val="0"/>
          <w:sz w:val="16"/>
          <w:szCs w:val="16"/>
          <w:lang w:eastAsia="en-US" w:bidi="ar-SA"/>
        </w:rPr>
        <w:t xml:space="preserve">– </w:t>
      </w:r>
      <w:r w:rsidRPr="004B363D">
        <w:rPr>
          <w:rFonts w:ascii="Calibri" w:eastAsia="ＭＳ 明朝" w:hAnsi="Calibri" w:cs="Calibri"/>
          <w:kern w:val="0"/>
          <w:sz w:val="16"/>
          <w:szCs w:val="16"/>
          <w:lang w:eastAsia="en-US" w:bidi="ar-SA"/>
        </w:rPr>
        <w:t>a relationship in which the registrant is acting on behalf of another. The WHOIS data is that of the agent and the agent alone obtains all rights and assumes all responsibility for the domain name and its manner of use.</w:t>
      </w:r>
    </w:p>
    <w:p w14:paraId="00B0AA1B" w14:textId="77777777" w:rsidR="006F2CC1" w:rsidRPr="004B363D" w:rsidRDefault="006F2CC1" w:rsidP="009C3918">
      <w:pPr>
        <w:widowControl w:val="0"/>
        <w:suppressAutoHyphens w:val="0"/>
        <w:autoSpaceDE w:val="0"/>
        <w:autoSpaceDN w:val="0"/>
        <w:adjustRightInd w:val="0"/>
        <w:rPr>
          <w:rFonts w:ascii="Times" w:eastAsia="ＭＳ 明朝" w:hAnsi="Times" w:cs="Times New Roman"/>
          <w:kern w:val="0"/>
          <w:sz w:val="16"/>
          <w:szCs w:val="16"/>
          <w:lang w:eastAsia="en-US" w:bidi="ar-SA"/>
        </w:rPr>
      </w:pPr>
      <w:r w:rsidRPr="004B363D">
        <w:rPr>
          <w:rFonts w:ascii="Times" w:eastAsia="ＭＳ 明朝" w:hAnsi="Times" w:cs="Times New Roman"/>
          <w:i/>
          <w:iCs/>
          <w:kern w:val="0"/>
          <w:sz w:val="16"/>
          <w:szCs w:val="16"/>
          <w:lang w:eastAsia="en-US" w:bidi="ar-SA"/>
        </w:rPr>
        <w:t>- </w:t>
      </w:r>
      <w:r w:rsidRPr="004B363D">
        <w:rPr>
          <w:rFonts w:ascii="Times" w:eastAsia="ＭＳ 明朝" w:hAnsi="Times" w:cs="Times New Roman"/>
          <w:b/>
          <w:bCs/>
          <w:kern w:val="0"/>
          <w:sz w:val="16"/>
          <w:szCs w:val="16"/>
          <w:u w:val="single"/>
          <w:lang w:eastAsia="en-US" w:bidi="ar-SA"/>
        </w:rPr>
        <w:t xml:space="preserve">Affiliated </w:t>
      </w:r>
      <w:r w:rsidRPr="004B363D">
        <w:rPr>
          <w:rFonts w:ascii="Times" w:eastAsia="ＭＳ 明朝" w:hAnsi="Times" w:cs="Times New Roman"/>
          <w:b/>
          <w:bCs/>
          <w:kern w:val="0"/>
          <w:sz w:val="16"/>
          <w:szCs w:val="16"/>
          <w:lang w:eastAsia="en-US" w:bidi="ar-SA"/>
        </w:rPr>
        <w:t xml:space="preserve">Registrar </w:t>
      </w:r>
      <w:r w:rsidRPr="004B363D">
        <w:rPr>
          <w:rFonts w:ascii="Times" w:eastAsia="ＭＳ 明朝" w:hAnsi="Times" w:cs="Times New Roman"/>
          <w:kern w:val="0"/>
          <w:sz w:val="16"/>
          <w:szCs w:val="16"/>
          <w:lang w:eastAsia="en-US" w:bidi="ar-SA"/>
        </w:rPr>
        <w:t>– another ICANN accredited registrar that operates under a common controlling interest (2009 Registrar Accreditation Agreement, Section 1.20)</w:t>
      </w:r>
    </w:p>
    <w:p w14:paraId="147A779F" w14:textId="77777777" w:rsidR="006F2CC1" w:rsidRPr="004B363D" w:rsidRDefault="006F2CC1" w:rsidP="009C3918">
      <w:pPr>
        <w:widowControl w:val="0"/>
        <w:suppressAutoHyphens w:val="0"/>
        <w:autoSpaceDE w:val="0"/>
        <w:autoSpaceDN w:val="0"/>
        <w:adjustRightInd w:val="0"/>
        <w:rPr>
          <w:rFonts w:ascii="Times" w:eastAsia="ＭＳ 明朝" w:hAnsi="Times" w:cs="Times New Roman"/>
          <w:kern w:val="0"/>
          <w:sz w:val="16"/>
          <w:szCs w:val="16"/>
          <w:lang w:eastAsia="en-US" w:bidi="ar-SA"/>
        </w:rPr>
      </w:pPr>
      <w:r w:rsidRPr="004B363D">
        <w:rPr>
          <w:rFonts w:ascii="Times" w:eastAsia="ＭＳ 明朝" w:hAnsi="Times" w:cs="Times New Roman"/>
          <w:kern w:val="0"/>
          <w:sz w:val="16"/>
          <w:szCs w:val="16"/>
          <w:lang w:eastAsia="en-US" w:bidi="ar-SA"/>
        </w:rPr>
        <w:t>- </w:t>
      </w:r>
      <w:r w:rsidRPr="004B363D">
        <w:rPr>
          <w:rFonts w:ascii="Times" w:eastAsia="ＭＳ 明朝" w:hAnsi="Times" w:cs="Times New Roman"/>
          <w:b/>
          <w:bCs/>
          <w:kern w:val="0"/>
          <w:sz w:val="16"/>
          <w:szCs w:val="16"/>
          <w:lang w:eastAsia="en-US" w:bidi="ar-SA"/>
        </w:rPr>
        <w:t>Affiliate retail proxy service provider </w:t>
      </w:r>
      <w:r w:rsidRPr="004B363D">
        <w:rPr>
          <w:rFonts w:ascii="Times" w:eastAsia="ＭＳ 明朝" w:hAnsi="Times" w:cs="Times New Roman"/>
          <w:kern w:val="0"/>
          <w:sz w:val="16"/>
          <w:szCs w:val="16"/>
          <w:lang w:eastAsia="en-US" w:bidi="ar-SA"/>
        </w:rPr>
        <w:t>– entity operating under a common controlling interest of a registrar.</w:t>
      </w:r>
    </w:p>
    <w:p w14:paraId="394BCFE0" w14:textId="77777777" w:rsidR="006F2CC1" w:rsidRPr="004B363D" w:rsidRDefault="006F2CC1" w:rsidP="009C3918">
      <w:pPr>
        <w:widowControl w:val="0"/>
        <w:suppressAutoHyphens w:val="0"/>
        <w:autoSpaceDE w:val="0"/>
        <w:autoSpaceDN w:val="0"/>
        <w:adjustRightInd w:val="0"/>
        <w:rPr>
          <w:rFonts w:ascii="Times" w:eastAsia="ＭＳ 明朝" w:hAnsi="Times" w:cs="Times New Roman"/>
          <w:kern w:val="0"/>
          <w:sz w:val="16"/>
          <w:szCs w:val="16"/>
          <w:lang w:eastAsia="en-US" w:bidi="ar-SA"/>
        </w:rPr>
      </w:pPr>
      <w:r w:rsidRPr="004B363D">
        <w:rPr>
          <w:rFonts w:ascii="Times" w:eastAsia="ＭＳ 明朝" w:hAnsi="Times" w:cs="Times New Roman"/>
          <w:kern w:val="0"/>
          <w:sz w:val="16"/>
          <w:szCs w:val="16"/>
          <w:lang w:eastAsia="en-US" w:bidi="ar-SA"/>
        </w:rPr>
        <w:t>- </w:t>
      </w:r>
      <w:r w:rsidRPr="004B363D">
        <w:rPr>
          <w:rFonts w:ascii="Times" w:eastAsia="ＭＳ 明朝" w:hAnsi="Times" w:cs="Times New Roman"/>
          <w:b/>
          <w:bCs/>
          <w:kern w:val="0"/>
          <w:sz w:val="16"/>
          <w:szCs w:val="16"/>
          <w:lang w:eastAsia="en-US" w:bidi="ar-SA"/>
        </w:rPr>
        <w:t>Retail proxy service provider </w:t>
      </w:r>
      <w:r w:rsidRPr="004B363D">
        <w:rPr>
          <w:rFonts w:ascii="Times" w:eastAsia="ＭＳ 明朝" w:hAnsi="Times" w:cs="Times New Roman"/>
          <w:kern w:val="0"/>
          <w:sz w:val="16"/>
          <w:szCs w:val="16"/>
          <w:lang w:eastAsia="en-US" w:bidi="ar-SA"/>
        </w:rPr>
        <w:t>- proxy service with little or no knowledge of the entity or individual requesting the service  beyond their ability to pay and their agreement to</w:t>
      </w:r>
      <w:r w:rsidRPr="004B363D">
        <w:rPr>
          <w:rFonts w:eastAsia="ＭＳ 明朝" w:cs="Times New Roman"/>
          <w:kern w:val="0"/>
          <w:lang w:eastAsia="en-US" w:bidi="ar-SA"/>
        </w:rPr>
        <w:t xml:space="preserve"> </w:t>
      </w:r>
      <w:r w:rsidRPr="004B363D">
        <w:rPr>
          <w:rFonts w:ascii="Times" w:eastAsia="ＭＳ 明朝" w:hAnsi="Times" w:cs="Times New Roman"/>
          <w:kern w:val="0"/>
          <w:sz w:val="16"/>
          <w:szCs w:val="16"/>
          <w:lang w:eastAsia="en-US" w:bidi="ar-SA"/>
        </w:rPr>
        <w:t>the  general terms and conditions.</w:t>
      </w:r>
    </w:p>
    <w:p w14:paraId="2C72A3CC" w14:textId="77777777" w:rsidR="006F2CC1" w:rsidRPr="004B363D" w:rsidRDefault="006F2CC1" w:rsidP="009C3918">
      <w:pPr>
        <w:widowControl w:val="0"/>
        <w:suppressAutoHyphens w:val="0"/>
        <w:autoSpaceDE w:val="0"/>
        <w:autoSpaceDN w:val="0"/>
        <w:adjustRightInd w:val="0"/>
        <w:rPr>
          <w:rFonts w:eastAsia="ＭＳ 明朝" w:cs="Times New Roman"/>
          <w:kern w:val="0"/>
          <w:sz w:val="28"/>
          <w:szCs w:val="28"/>
          <w:lang w:eastAsia="en-US" w:bidi="ar-SA"/>
        </w:rPr>
      </w:pPr>
      <w:r w:rsidRPr="004B363D">
        <w:rPr>
          <w:rFonts w:ascii="Times" w:eastAsia="ＭＳ 明朝" w:hAnsi="Times" w:cs="Calibri"/>
          <w:kern w:val="0"/>
          <w:sz w:val="16"/>
          <w:szCs w:val="16"/>
          <w:lang w:eastAsia="en-US" w:bidi="ar-SA"/>
        </w:rPr>
        <w:t>- </w:t>
      </w:r>
      <w:r w:rsidRPr="004B363D">
        <w:rPr>
          <w:rFonts w:ascii="Times" w:eastAsia="ＭＳ 明朝" w:hAnsi="Times" w:cs="Calibri"/>
          <w:b/>
          <w:bCs/>
          <w:kern w:val="0"/>
          <w:sz w:val="16"/>
          <w:szCs w:val="16"/>
          <w:u w:val="single"/>
          <w:lang w:eastAsia="en-US" w:bidi="ar-SA"/>
        </w:rPr>
        <w:t>Limited proxy service provider </w:t>
      </w:r>
      <w:r w:rsidRPr="004B363D">
        <w:rPr>
          <w:rFonts w:ascii="Times" w:eastAsia="ＭＳ 明朝" w:hAnsi="Times" w:cs="Calibri"/>
          <w:kern w:val="0"/>
          <w:sz w:val="16"/>
          <w:szCs w:val="16"/>
          <w:lang w:eastAsia="en-US" w:bidi="ar-SA"/>
        </w:rPr>
        <w:t>- proxy service for an entity or individual in which there is an ongoing business relationship bound by a contract that is specific to the relationship.</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44693"/>
    <w:multiLevelType w:val="multilevel"/>
    <w:tmpl w:val="9C5859C0"/>
    <w:lvl w:ilvl="0">
      <w:start w:val="1"/>
      <w:numFmt w:val="decimal"/>
      <w:lvlText w:val="%1."/>
      <w:lvlJc w:val="left"/>
      <w:pPr>
        <w:ind w:left="720" w:hanging="360"/>
      </w:pPr>
      <w:rPr>
        <w:b/>
      </w:rPr>
    </w:lvl>
    <w:lvl w:ilvl="1">
      <w:start w:val="1"/>
      <w:numFmt w:val="decimal"/>
      <w:lvlText w:val="%2."/>
      <w:lvlJc w:val="left"/>
      <w:pPr>
        <w:tabs>
          <w:tab w:val="num" w:pos="1080"/>
        </w:tabs>
        <w:ind w:left="1080" w:hanging="360"/>
      </w:pPr>
      <w:rPr>
        <w:b/>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20882B79"/>
    <w:multiLevelType w:val="hybridMultilevel"/>
    <w:tmpl w:val="133A1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06197B"/>
    <w:multiLevelType w:val="hybridMultilevel"/>
    <w:tmpl w:val="53A2DB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4D5B6EDF"/>
    <w:multiLevelType w:val="hybridMultilevel"/>
    <w:tmpl w:val="7026DF46"/>
    <w:lvl w:ilvl="0" w:tplc="C290AC8A">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FDB23DE"/>
    <w:multiLevelType w:val="multilevel"/>
    <w:tmpl w:val="4BFC6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00E4555"/>
    <w:multiLevelType w:val="hybridMultilevel"/>
    <w:tmpl w:val="0D024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C5E30E7"/>
    <w:multiLevelType w:val="hybridMultilevel"/>
    <w:tmpl w:val="80C44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2"/>
  </w:num>
  <w:num w:numId="4">
    <w:abstractNumId w:val="0"/>
  </w:num>
  <w:num w:numId="5">
    <w:abstractNumId w:val="1"/>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918"/>
    <w:rsid w:val="001769D1"/>
    <w:rsid w:val="001C1702"/>
    <w:rsid w:val="006F2CC1"/>
    <w:rsid w:val="007D4407"/>
    <w:rsid w:val="009C3918"/>
    <w:rsid w:val="00AF6269"/>
    <w:rsid w:val="00B03DE4"/>
    <w:rsid w:val="00D040F0"/>
    <w:rsid w:val="00EE0096"/>
    <w:rsid w:val="00FA50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EC6CD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3918"/>
    <w:pPr>
      <w:suppressAutoHyphens/>
    </w:pPr>
    <w:rPr>
      <w:rFonts w:ascii="Times New Roman" w:eastAsia="Lucida Sans Unicode" w:hAnsi="Times New Roman" w:cs="Mangal"/>
      <w:kern w:val="1"/>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rsid w:val="009C3918"/>
    <w:rPr>
      <w:vertAlign w:val="superscript"/>
    </w:rPr>
  </w:style>
  <w:style w:type="paragraph" w:styleId="ListParagraph">
    <w:name w:val="List Paragraph"/>
    <w:basedOn w:val="Normal"/>
    <w:qFormat/>
    <w:rsid w:val="009C3918"/>
    <w:pPr>
      <w:ind w:left="720"/>
    </w:pPr>
  </w:style>
  <w:style w:type="paragraph" w:customStyle="1" w:styleId="NoteLevel11">
    <w:name w:val="Note Level 11"/>
    <w:basedOn w:val="Normal"/>
    <w:rsid w:val="009C3918"/>
    <w:pPr>
      <w:keepNext/>
    </w:pPr>
    <w:rPr>
      <w:rFonts w:ascii="Verdana" w:hAnsi="Verdana"/>
    </w:rPr>
  </w:style>
  <w:style w:type="character" w:styleId="Hyperlink">
    <w:name w:val="Hyperlink"/>
    <w:basedOn w:val="DefaultParagraphFont"/>
    <w:uiPriority w:val="99"/>
    <w:unhideWhenUsed/>
    <w:rsid w:val="006F2CC1"/>
    <w:rPr>
      <w:color w:val="0000FF" w:themeColor="hyperlink"/>
      <w:u w:val="single"/>
    </w:rPr>
  </w:style>
  <w:style w:type="paragraph" w:styleId="Footer">
    <w:name w:val="footer"/>
    <w:basedOn w:val="Normal"/>
    <w:link w:val="FooterChar"/>
    <w:uiPriority w:val="99"/>
    <w:unhideWhenUsed/>
    <w:rsid w:val="006F2CC1"/>
    <w:pPr>
      <w:tabs>
        <w:tab w:val="center" w:pos="4320"/>
        <w:tab w:val="right" w:pos="8640"/>
      </w:tabs>
    </w:pPr>
  </w:style>
  <w:style w:type="character" w:customStyle="1" w:styleId="FooterChar">
    <w:name w:val="Footer Char"/>
    <w:basedOn w:val="DefaultParagraphFont"/>
    <w:link w:val="Footer"/>
    <w:uiPriority w:val="99"/>
    <w:rsid w:val="006F2CC1"/>
    <w:rPr>
      <w:rFonts w:ascii="Times New Roman" w:eastAsia="Lucida Sans Unicode" w:hAnsi="Times New Roman" w:cs="Mangal"/>
      <w:kern w:val="1"/>
      <w:lang w:eastAsia="hi-IN" w:bidi="hi-IN"/>
    </w:rPr>
  </w:style>
  <w:style w:type="character" w:styleId="PageNumber">
    <w:name w:val="page number"/>
    <w:basedOn w:val="DefaultParagraphFont"/>
    <w:uiPriority w:val="99"/>
    <w:semiHidden/>
    <w:unhideWhenUsed/>
    <w:rsid w:val="006F2CC1"/>
  </w:style>
  <w:style w:type="character" w:customStyle="1" w:styleId="apple-converted-space">
    <w:name w:val="apple-converted-space"/>
    <w:basedOn w:val="DefaultParagraphFont"/>
    <w:rsid w:val="006F2CC1"/>
  </w:style>
  <w:style w:type="paragraph" w:styleId="BalloonText">
    <w:name w:val="Balloon Text"/>
    <w:basedOn w:val="Normal"/>
    <w:link w:val="BalloonTextChar"/>
    <w:uiPriority w:val="99"/>
    <w:semiHidden/>
    <w:unhideWhenUsed/>
    <w:rsid w:val="00B03DE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03DE4"/>
    <w:rPr>
      <w:rFonts w:ascii="Lucida Grande" w:eastAsia="Lucida Sans Unicode" w:hAnsi="Lucida Grande" w:cs="Lucida Grande"/>
      <w:kern w:val="1"/>
      <w:sz w:val="18"/>
      <w:szCs w:val="18"/>
      <w:lang w:eastAsia="hi-IN" w:bidi="hi-IN"/>
    </w:rPr>
  </w:style>
  <w:style w:type="paragraph" w:styleId="NormalWeb">
    <w:name w:val="Normal (Web)"/>
    <w:basedOn w:val="Normal"/>
    <w:uiPriority w:val="99"/>
    <w:semiHidden/>
    <w:unhideWhenUsed/>
    <w:rsid w:val="00EE0096"/>
    <w:pPr>
      <w:suppressAutoHyphens w:val="0"/>
      <w:spacing w:before="100" w:beforeAutospacing="1" w:after="100" w:afterAutospacing="1"/>
    </w:pPr>
    <w:rPr>
      <w:rFonts w:ascii="Times" w:eastAsiaTheme="minorEastAsia" w:hAnsi="Times" w:cs="Times New Roman"/>
      <w:kern w:val="0"/>
      <w:sz w:val="20"/>
      <w:szCs w:val="20"/>
      <w:lang w:eastAsia="en-US" w:bidi="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3918"/>
    <w:pPr>
      <w:suppressAutoHyphens/>
    </w:pPr>
    <w:rPr>
      <w:rFonts w:ascii="Times New Roman" w:eastAsia="Lucida Sans Unicode" w:hAnsi="Times New Roman" w:cs="Mangal"/>
      <w:kern w:val="1"/>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rsid w:val="009C3918"/>
    <w:rPr>
      <w:vertAlign w:val="superscript"/>
    </w:rPr>
  </w:style>
  <w:style w:type="paragraph" w:styleId="ListParagraph">
    <w:name w:val="List Paragraph"/>
    <w:basedOn w:val="Normal"/>
    <w:qFormat/>
    <w:rsid w:val="009C3918"/>
    <w:pPr>
      <w:ind w:left="720"/>
    </w:pPr>
  </w:style>
  <w:style w:type="paragraph" w:customStyle="1" w:styleId="NoteLevel11">
    <w:name w:val="Note Level 11"/>
    <w:basedOn w:val="Normal"/>
    <w:rsid w:val="009C3918"/>
    <w:pPr>
      <w:keepNext/>
    </w:pPr>
    <w:rPr>
      <w:rFonts w:ascii="Verdana" w:hAnsi="Verdana"/>
    </w:rPr>
  </w:style>
  <w:style w:type="character" w:styleId="Hyperlink">
    <w:name w:val="Hyperlink"/>
    <w:basedOn w:val="DefaultParagraphFont"/>
    <w:uiPriority w:val="99"/>
    <w:unhideWhenUsed/>
    <w:rsid w:val="006F2CC1"/>
    <w:rPr>
      <w:color w:val="0000FF" w:themeColor="hyperlink"/>
      <w:u w:val="single"/>
    </w:rPr>
  </w:style>
  <w:style w:type="paragraph" w:styleId="Footer">
    <w:name w:val="footer"/>
    <w:basedOn w:val="Normal"/>
    <w:link w:val="FooterChar"/>
    <w:uiPriority w:val="99"/>
    <w:unhideWhenUsed/>
    <w:rsid w:val="006F2CC1"/>
    <w:pPr>
      <w:tabs>
        <w:tab w:val="center" w:pos="4320"/>
        <w:tab w:val="right" w:pos="8640"/>
      </w:tabs>
    </w:pPr>
  </w:style>
  <w:style w:type="character" w:customStyle="1" w:styleId="FooterChar">
    <w:name w:val="Footer Char"/>
    <w:basedOn w:val="DefaultParagraphFont"/>
    <w:link w:val="Footer"/>
    <w:uiPriority w:val="99"/>
    <w:rsid w:val="006F2CC1"/>
    <w:rPr>
      <w:rFonts w:ascii="Times New Roman" w:eastAsia="Lucida Sans Unicode" w:hAnsi="Times New Roman" w:cs="Mangal"/>
      <w:kern w:val="1"/>
      <w:lang w:eastAsia="hi-IN" w:bidi="hi-IN"/>
    </w:rPr>
  </w:style>
  <w:style w:type="character" w:styleId="PageNumber">
    <w:name w:val="page number"/>
    <w:basedOn w:val="DefaultParagraphFont"/>
    <w:uiPriority w:val="99"/>
    <w:semiHidden/>
    <w:unhideWhenUsed/>
    <w:rsid w:val="006F2CC1"/>
  </w:style>
  <w:style w:type="character" w:customStyle="1" w:styleId="apple-converted-space">
    <w:name w:val="apple-converted-space"/>
    <w:basedOn w:val="DefaultParagraphFont"/>
    <w:rsid w:val="006F2CC1"/>
  </w:style>
  <w:style w:type="paragraph" w:styleId="BalloonText">
    <w:name w:val="Balloon Text"/>
    <w:basedOn w:val="Normal"/>
    <w:link w:val="BalloonTextChar"/>
    <w:uiPriority w:val="99"/>
    <w:semiHidden/>
    <w:unhideWhenUsed/>
    <w:rsid w:val="00B03DE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03DE4"/>
    <w:rPr>
      <w:rFonts w:ascii="Lucida Grande" w:eastAsia="Lucida Sans Unicode" w:hAnsi="Lucida Grande" w:cs="Lucida Grande"/>
      <w:kern w:val="1"/>
      <w:sz w:val="18"/>
      <w:szCs w:val="18"/>
      <w:lang w:eastAsia="hi-IN" w:bidi="hi-IN"/>
    </w:rPr>
  </w:style>
  <w:style w:type="paragraph" w:styleId="NormalWeb">
    <w:name w:val="Normal (Web)"/>
    <w:basedOn w:val="Normal"/>
    <w:uiPriority w:val="99"/>
    <w:semiHidden/>
    <w:unhideWhenUsed/>
    <w:rsid w:val="00EE0096"/>
    <w:pPr>
      <w:suppressAutoHyphens w:val="0"/>
      <w:spacing w:before="100" w:beforeAutospacing="1" w:after="100" w:afterAutospacing="1"/>
    </w:pPr>
    <w:rPr>
      <w:rFonts w:ascii="Times" w:eastAsiaTheme="minorEastAsia" w:hAnsi="Times" w:cs="Times New Roman"/>
      <w:kern w:val="0"/>
      <w:sz w:val="20"/>
      <w:szCs w:val="20"/>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6523652">
      <w:bodyDiv w:val="1"/>
      <w:marLeft w:val="0"/>
      <w:marRight w:val="0"/>
      <w:marTop w:val="0"/>
      <w:marBottom w:val="0"/>
      <w:divBdr>
        <w:top w:val="none" w:sz="0" w:space="0" w:color="auto"/>
        <w:left w:val="none" w:sz="0" w:space="0" w:color="auto"/>
        <w:bottom w:val="none" w:sz="0" w:space="0" w:color="auto"/>
        <w:right w:val="none" w:sz="0" w:space="0" w:color="auto"/>
      </w:divBdr>
    </w:div>
    <w:div w:id="1951666379">
      <w:bodyDiv w:val="1"/>
      <w:marLeft w:val="0"/>
      <w:marRight w:val="0"/>
      <w:marTop w:val="0"/>
      <w:marBottom w:val="0"/>
      <w:divBdr>
        <w:top w:val="none" w:sz="0" w:space="0" w:color="auto"/>
        <w:left w:val="none" w:sz="0" w:space="0" w:color="auto"/>
        <w:bottom w:val="none" w:sz="0" w:space="0" w:color="auto"/>
        <w:right w:val="none" w:sz="0" w:space="0" w:color="auto"/>
      </w:divBdr>
    </w:div>
    <w:div w:id="198877890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icann.org/en/reviews/affirmation/whois-rt-draft-final-report-05dec11-en.pdf" TargetMode="External"/><Relationship Id="rId20" Type="http://schemas.openxmlformats.org/officeDocument/2006/relationships/hyperlink" Target="mailto:whois-rt-draft-final-report@icann.org" TargetMode="External"/><Relationship Id="rId21" Type="http://schemas.openxmlformats.org/officeDocument/2006/relationships/footer" Target="footer1.xml"/><Relationship Id="rId22" Type="http://schemas.openxmlformats.org/officeDocument/2006/relationships/footer" Target="footer2.xm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hyperlink" Target="http://www.icann.org/ar/reviews/affirmation/whois-rt-draft-final-report-05dec11-ar.pdf" TargetMode="External"/><Relationship Id="rId11" Type="http://schemas.openxmlformats.org/officeDocument/2006/relationships/hyperlink" Target="http://www.icann.org/en/news/public-comment/whois-rt-draft-final-report-05dec11-en.htm" TargetMode="External"/><Relationship Id="rId12" Type="http://schemas.openxmlformats.org/officeDocument/2006/relationships/hyperlink" Target="http://www.icann.org/fr/reviews/affirmation/whois-rt-draft-final-report-05dec11-fr.pdf" TargetMode="External"/><Relationship Id="rId13" Type="http://schemas.openxmlformats.org/officeDocument/2006/relationships/hyperlink" Target="http://www.icann.org/ru/reviews/affirmation/whois-rt-draft-final-report-05dec11-ru.pdf" TargetMode="External"/><Relationship Id="rId14" Type="http://schemas.openxmlformats.org/officeDocument/2006/relationships/hyperlink" Target="http://www.icann.org/zh/reviews/affirmation/whois-rt-draft-final-report-05dec11-zh.pdf" TargetMode="External"/><Relationship Id="rId15" Type="http://schemas.openxmlformats.org/officeDocument/2006/relationships/hyperlink" Target="http://www.icann.org/en/reviews/affirmation/whois-rt-draft-final-report-appendix-whois-compliance-10jan12-en.pdf" TargetMode="External"/><Relationship Id="rId16" Type="http://schemas.openxmlformats.org/officeDocument/2006/relationships/hyperlink" Target="http://www.icann.org/en/reviews/affirmation/whois-rt-draft-final-report-appendix-methodology-outreach-10jan12-en.pdf" TargetMode="External"/><Relationship Id="rId17" Type="http://schemas.openxmlformats.org/officeDocument/2006/relationships/hyperlink" Target="http://www.icann.org/en/reviews/affirmation/whois-rt-draft-final-report-appendix-background-glossary-10jan12-en.pdf" TargetMode="External"/><Relationship Id="rId18" Type="http://schemas.openxmlformats.org/officeDocument/2006/relationships/hyperlink" Target="http://vimeo.com/34627934" TargetMode="External"/><Relationship Id="rId19" Type="http://schemas.openxmlformats.org/officeDocument/2006/relationships/hyperlink" Target="http://www.icann.org/en/news/public-comment/whois-rt-draft-final-report-05dec11-en.htm"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93F334-026E-D848-A2FC-ACDD18BCC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1706</Words>
  <Characters>9730</Characters>
  <Application>Microsoft Macintosh Word</Application>
  <DocSecurity>0</DocSecurity>
  <Lines>81</Lines>
  <Paragraphs>22</Paragraphs>
  <ScaleCrop>false</ScaleCrop>
  <Company/>
  <LinksUpToDate>false</LinksUpToDate>
  <CharactersWithSpaces>11414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dc:description/>
  <cp:lastModifiedBy>Alice Jansen</cp:lastModifiedBy>
  <cp:revision>2</cp:revision>
  <dcterms:created xsi:type="dcterms:W3CDTF">2012-03-08T16:38:00Z</dcterms:created>
  <dcterms:modified xsi:type="dcterms:W3CDTF">2012-03-08T16:38:00Z</dcterms:modified>
</cp:coreProperties>
</file>