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38" w:rsidRPr="00145568" w:rsidRDefault="00270C38" w:rsidP="001D3016">
      <w:pPr>
        <w:pStyle w:val="ListParagraph"/>
        <w:numPr>
          <w:ilvl w:val="0"/>
          <w:numId w:val="5"/>
        </w:numPr>
        <w:spacing w:before="150" w:after="150" w:line="260" w:lineRule="atLeast"/>
        <w:rPr>
          <w:sz w:val="24"/>
          <w:szCs w:val="24"/>
          <w:u w:val="single"/>
        </w:rPr>
      </w:pPr>
      <w:r w:rsidRPr="00145568">
        <w:rPr>
          <w:sz w:val="24"/>
          <w:szCs w:val="24"/>
        </w:rPr>
        <w:t>Stakeholders key</w:t>
      </w:r>
    </w:p>
    <w:p w:rsidR="00270C38" w:rsidRPr="00145568" w:rsidRDefault="00270C38" w:rsidP="001D3016">
      <w:pPr>
        <w:pStyle w:val="ListParagraph"/>
        <w:numPr>
          <w:ilvl w:val="0"/>
          <w:numId w:val="5"/>
        </w:numPr>
        <w:spacing w:before="150" w:after="150" w:line="260" w:lineRule="atLeast"/>
        <w:rPr>
          <w:sz w:val="24"/>
          <w:szCs w:val="24"/>
          <w:u w:val="single"/>
        </w:rPr>
      </w:pPr>
      <w:r w:rsidRPr="00145568">
        <w:rPr>
          <w:sz w:val="24"/>
          <w:szCs w:val="24"/>
        </w:rPr>
        <w:t>Applicable laws - Definition &amp; Overview of received comments</w:t>
      </w:r>
    </w:p>
    <w:p w:rsidR="00270C38" w:rsidRPr="00145568" w:rsidRDefault="00270C38" w:rsidP="001D3016">
      <w:pPr>
        <w:pStyle w:val="ListParagraph"/>
        <w:numPr>
          <w:ilvl w:val="0"/>
          <w:numId w:val="5"/>
        </w:numPr>
        <w:spacing w:before="150" w:after="150" w:line="260" w:lineRule="atLeast"/>
        <w:rPr>
          <w:sz w:val="24"/>
          <w:szCs w:val="24"/>
          <w:u w:val="single"/>
        </w:rPr>
      </w:pPr>
      <w:r w:rsidRPr="00145568">
        <w:rPr>
          <w:color w:val="000000"/>
          <w:kern w:val="36"/>
          <w:sz w:val="24"/>
          <w:szCs w:val="24"/>
        </w:rPr>
        <w:t xml:space="preserve">Producers and Maintainers </w:t>
      </w:r>
      <w:r w:rsidRPr="00145568">
        <w:rPr>
          <w:sz w:val="24"/>
          <w:szCs w:val="24"/>
        </w:rPr>
        <w:t>- Definition &amp; Overview of received comments</w:t>
      </w:r>
    </w:p>
    <w:p w:rsidR="00270C38" w:rsidRPr="00145568" w:rsidRDefault="00270C38" w:rsidP="001D3016">
      <w:pPr>
        <w:pStyle w:val="ListParagraph"/>
        <w:numPr>
          <w:ilvl w:val="0"/>
          <w:numId w:val="5"/>
        </w:numPr>
        <w:spacing w:before="150" w:after="150" w:line="260" w:lineRule="atLeast"/>
        <w:rPr>
          <w:sz w:val="24"/>
          <w:szCs w:val="24"/>
          <w:u w:val="single"/>
        </w:rPr>
      </w:pPr>
      <w:r w:rsidRPr="00145568">
        <w:rPr>
          <w:color w:val="000000"/>
          <w:kern w:val="36"/>
          <w:sz w:val="24"/>
          <w:szCs w:val="24"/>
        </w:rPr>
        <w:t xml:space="preserve">Law Enforcement </w:t>
      </w:r>
      <w:r w:rsidRPr="00145568">
        <w:rPr>
          <w:sz w:val="24"/>
          <w:szCs w:val="24"/>
        </w:rPr>
        <w:t>- Definition &amp; Overview of received comments</w:t>
      </w:r>
    </w:p>
    <w:p w:rsidR="00270C38" w:rsidRPr="00601037" w:rsidRDefault="00270C38" w:rsidP="001D3016">
      <w:pPr>
        <w:ind w:left="360"/>
        <w:rPr>
          <w:color w:val="000000"/>
          <w:kern w:val="36"/>
          <w:sz w:val="24"/>
          <w:szCs w:val="24"/>
        </w:rPr>
      </w:pPr>
      <w:r w:rsidRPr="00601037">
        <w:rPr>
          <w:color w:val="000000"/>
          <w:kern w:val="36"/>
          <w:sz w:val="24"/>
          <w:szCs w:val="24"/>
        </w:rPr>
        <w:t xml:space="preserve">Annex </w:t>
      </w:r>
      <w:r>
        <w:rPr>
          <w:color w:val="000000"/>
          <w:kern w:val="36"/>
          <w:sz w:val="24"/>
          <w:szCs w:val="24"/>
        </w:rPr>
        <w:t>A</w:t>
      </w:r>
      <w:r w:rsidRPr="00601037">
        <w:rPr>
          <w:color w:val="000000"/>
          <w:kern w:val="36"/>
          <w:sz w:val="24"/>
          <w:szCs w:val="24"/>
        </w:rPr>
        <w:t xml:space="preserve"> – Received comments</w:t>
      </w:r>
      <w:r>
        <w:rPr>
          <w:color w:val="000000"/>
          <w:kern w:val="36"/>
          <w:sz w:val="24"/>
          <w:szCs w:val="24"/>
        </w:rPr>
        <w:t xml:space="preserve"> on definitions</w:t>
      </w:r>
      <w:r w:rsidRPr="00601037">
        <w:rPr>
          <w:color w:val="000000"/>
          <w:kern w:val="36"/>
          <w:sz w:val="24"/>
          <w:szCs w:val="24"/>
        </w:rPr>
        <w:t xml:space="preserve"> in full</w:t>
      </w:r>
    </w:p>
    <w:p w:rsidR="00270C38" w:rsidRPr="00601037" w:rsidRDefault="00270C38" w:rsidP="00601037">
      <w:pPr>
        <w:ind w:left="360"/>
        <w:rPr>
          <w:color w:val="000000"/>
          <w:kern w:val="36"/>
          <w:sz w:val="24"/>
          <w:szCs w:val="24"/>
        </w:rPr>
      </w:pPr>
      <w:r>
        <w:rPr>
          <w:sz w:val="24"/>
          <w:szCs w:val="24"/>
        </w:rPr>
        <w:t>Annex B – Full results of Law Enforcement Survey</w:t>
      </w:r>
    </w:p>
    <w:p w:rsidR="00270C38" w:rsidRPr="00145568" w:rsidRDefault="00270C38" w:rsidP="001D3016">
      <w:pPr>
        <w:ind w:left="360"/>
        <w:rPr>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p>
    <w:p w:rsidR="00270C38" w:rsidRDefault="00270C38" w:rsidP="00145568">
      <w:pPr>
        <w:rPr>
          <w:b/>
          <w:bCs/>
          <w:color w:val="000000"/>
          <w:kern w:val="36"/>
          <w:sz w:val="24"/>
          <w:szCs w:val="24"/>
        </w:rPr>
      </w:pPr>
      <w:r>
        <w:rPr>
          <w:b/>
          <w:bCs/>
          <w:color w:val="000000"/>
          <w:kern w:val="36"/>
          <w:sz w:val="24"/>
          <w:szCs w:val="24"/>
        </w:rPr>
        <w:br w:type="page"/>
        <w:t xml:space="preserve">1. Stakeholders Key: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800"/>
        <w:gridCol w:w="6434"/>
      </w:tblGrid>
      <w:tr w:rsidR="00270C38">
        <w:tc>
          <w:tcPr>
            <w:tcW w:w="1008" w:type="dxa"/>
          </w:tcPr>
          <w:p w:rsidR="00270C38" w:rsidRPr="007E28A4" w:rsidRDefault="00270C38" w:rsidP="001D3016">
            <w:pPr>
              <w:rPr>
                <w:b/>
                <w:bCs/>
                <w:color w:val="000000"/>
                <w:kern w:val="36"/>
                <w:sz w:val="24"/>
                <w:szCs w:val="24"/>
              </w:rPr>
            </w:pPr>
          </w:p>
        </w:tc>
        <w:tc>
          <w:tcPr>
            <w:tcW w:w="1800" w:type="dxa"/>
          </w:tcPr>
          <w:p w:rsidR="00270C38" w:rsidRPr="007E28A4" w:rsidRDefault="00270C38" w:rsidP="001D3016">
            <w:pPr>
              <w:rPr>
                <w:b/>
                <w:bCs/>
                <w:color w:val="000000"/>
                <w:kern w:val="36"/>
                <w:sz w:val="24"/>
                <w:szCs w:val="24"/>
              </w:rPr>
            </w:pPr>
            <w:r w:rsidRPr="007E28A4">
              <w:rPr>
                <w:b/>
                <w:bCs/>
                <w:color w:val="000000"/>
                <w:kern w:val="36"/>
                <w:sz w:val="24"/>
                <w:szCs w:val="24"/>
              </w:rPr>
              <w:t>Name</w:t>
            </w:r>
          </w:p>
        </w:tc>
        <w:tc>
          <w:tcPr>
            <w:tcW w:w="6434" w:type="dxa"/>
          </w:tcPr>
          <w:p w:rsidR="00270C38" w:rsidRPr="007E28A4" w:rsidRDefault="00270C38" w:rsidP="001D3016">
            <w:pPr>
              <w:rPr>
                <w:b/>
                <w:bCs/>
                <w:color w:val="000000"/>
                <w:kern w:val="36"/>
                <w:sz w:val="24"/>
                <w:szCs w:val="24"/>
              </w:rPr>
            </w:pPr>
            <w:r w:rsidRPr="007E28A4">
              <w:rPr>
                <w:b/>
                <w:bCs/>
                <w:color w:val="000000"/>
                <w:kern w:val="36"/>
                <w:sz w:val="24"/>
                <w:szCs w:val="24"/>
              </w:rPr>
              <w:t>Background</w:t>
            </w:r>
          </w:p>
        </w:tc>
      </w:tr>
      <w:tr w:rsidR="00270C38">
        <w:tc>
          <w:tcPr>
            <w:tcW w:w="1008" w:type="dxa"/>
          </w:tcPr>
          <w:p w:rsidR="00270C38" w:rsidRPr="007E28A4" w:rsidRDefault="00270C38" w:rsidP="001D3016">
            <w:pPr>
              <w:rPr>
                <w:b/>
                <w:bCs/>
                <w:color w:val="000000"/>
                <w:kern w:val="36"/>
                <w:sz w:val="24"/>
                <w:szCs w:val="24"/>
              </w:rPr>
            </w:pPr>
            <w:r w:rsidRPr="007E28A4">
              <w:rPr>
                <w:b/>
                <w:bCs/>
                <w:color w:val="000000"/>
                <w:kern w:val="36"/>
                <w:sz w:val="24"/>
                <w:szCs w:val="24"/>
              </w:rPr>
              <w:t>BC</w:t>
            </w:r>
          </w:p>
        </w:tc>
        <w:tc>
          <w:tcPr>
            <w:tcW w:w="1800" w:type="dxa"/>
          </w:tcPr>
          <w:p w:rsidR="00270C38" w:rsidRPr="007E28A4" w:rsidRDefault="00270C38" w:rsidP="001D3016">
            <w:pPr>
              <w:rPr>
                <w:color w:val="000000"/>
                <w:kern w:val="36"/>
                <w:sz w:val="24"/>
                <w:szCs w:val="24"/>
              </w:rPr>
            </w:pPr>
            <w:r w:rsidRPr="007E28A4">
              <w:rPr>
                <w:color w:val="000000"/>
                <w:kern w:val="36"/>
                <w:sz w:val="24"/>
                <w:szCs w:val="24"/>
              </w:rPr>
              <w:t>Business Constituency</w:t>
            </w:r>
          </w:p>
        </w:tc>
        <w:tc>
          <w:tcPr>
            <w:tcW w:w="6434" w:type="dxa"/>
          </w:tcPr>
          <w:p w:rsidR="00270C38" w:rsidRPr="007E28A4" w:rsidRDefault="00270C38" w:rsidP="001D3016">
            <w:pPr>
              <w:rPr>
                <w:color w:val="000000"/>
                <w:kern w:val="36"/>
                <w:sz w:val="24"/>
                <w:szCs w:val="24"/>
              </w:rPr>
            </w:pPr>
            <w:r w:rsidRPr="007E28A4">
              <w:rPr>
                <w:color w:val="000000"/>
                <w:kern w:val="36"/>
                <w:sz w:val="24"/>
                <w:szCs w:val="24"/>
              </w:rPr>
              <w:t>Represents both large and small commercial entity users of the Internet.</w:t>
            </w:r>
          </w:p>
        </w:tc>
      </w:tr>
      <w:tr w:rsidR="00270C38">
        <w:tc>
          <w:tcPr>
            <w:tcW w:w="1008" w:type="dxa"/>
          </w:tcPr>
          <w:p w:rsidR="00270C38" w:rsidRPr="007E28A4" w:rsidRDefault="00270C38" w:rsidP="001D3016">
            <w:pPr>
              <w:rPr>
                <w:b/>
                <w:bCs/>
                <w:color w:val="000000"/>
                <w:kern w:val="36"/>
                <w:sz w:val="24"/>
                <w:szCs w:val="24"/>
              </w:rPr>
            </w:pPr>
            <w:r w:rsidRPr="007E28A4">
              <w:rPr>
                <w:b/>
                <w:bCs/>
                <w:color w:val="000000"/>
                <w:kern w:val="36"/>
                <w:sz w:val="24"/>
                <w:szCs w:val="24"/>
              </w:rPr>
              <w:t>CAUCE</w:t>
            </w:r>
          </w:p>
        </w:tc>
        <w:tc>
          <w:tcPr>
            <w:tcW w:w="1800" w:type="dxa"/>
          </w:tcPr>
          <w:p w:rsidR="00270C38" w:rsidRPr="007E28A4" w:rsidRDefault="00270C38" w:rsidP="001D3016">
            <w:pPr>
              <w:rPr>
                <w:color w:val="000000"/>
                <w:kern w:val="36"/>
                <w:sz w:val="24"/>
                <w:szCs w:val="24"/>
              </w:rPr>
            </w:pPr>
            <w:r w:rsidRPr="007E28A4">
              <w:rPr>
                <w:color w:val="000000"/>
                <w:kern w:val="36"/>
                <w:sz w:val="24"/>
                <w:szCs w:val="24"/>
              </w:rPr>
              <w:t>Coalition Against Unsolicited Commercial Email</w:t>
            </w:r>
          </w:p>
        </w:tc>
        <w:tc>
          <w:tcPr>
            <w:tcW w:w="6434" w:type="dxa"/>
          </w:tcPr>
          <w:p w:rsidR="00270C38" w:rsidRPr="007E28A4" w:rsidRDefault="00270C38" w:rsidP="001D3016">
            <w:pPr>
              <w:rPr>
                <w:color w:val="000000"/>
                <w:kern w:val="36"/>
                <w:sz w:val="24"/>
                <w:szCs w:val="24"/>
              </w:rPr>
            </w:pPr>
            <w:r w:rsidRPr="007E28A4">
              <w:rPr>
                <w:color w:val="000000"/>
                <w:kern w:val="36"/>
                <w:sz w:val="24"/>
                <w:szCs w:val="24"/>
              </w:rPr>
              <w:t>An all-volunteer consumer advocacy group, defending the interests of the average internet user.</w:t>
            </w:r>
          </w:p>
        </w:tc>
      </w:tr>
      <w:tr w:rsidR="00270C38">
        <w:tc>
          <w:tcPr>
            <w:tcW w:w="1008" w:type="dxa"/>
          </w:tcPr>
          <w:p w:rsidR="00270C38" w:rsidRPr="007E28A4" w:rsidRDefault="00270C38" w:rsidP="001D3016">
            <w:pPr>
              <w:rPr>
                <w:b/>
                <w:bCs/>
                <w:color w:val="000000"/>
                <w:kern w:val="36"/>
                <w:sz w:val="24"/>
                <w:szCs w:val="24"/>
              </w:rPr>
            </w:pPr>
            <w:r w:rsidRPr="007E28A4">
              <w:rPr>
                <w:b/>
                <w:bCs/>
                <w:color w:val="000000"/>
                <w:kern w:val="36"/>
                <w:sz w:val="24"/>
                <w:szCs w:val="24"/>
              </w:rPr>
              <w:t>ECTA+M</w:t>
            </w:r>
          </w:p>
        </w:tc>
        <w:tc>
          <w:tcPr>
            <w:tcW w:w="1800" w:type="dxa"/>
          </w:tcPr>
          <w:p w:rsidR="00270C38" w:rsidRPr="007E28A4" w:rsidRDefault="00270C38" w:rsidP="001D3016">
            <w:pPr>
              <w:rPr>
                <w:color w:val="000000"/>
                <w:kern w:val="36"/>
                <w:sz w:val="24"/>
                <w:szCs w:val="24"/>
              </w:rPr>
            </w:pPr>
            <w:r w:rsidRPr="007E28A4">
              <w:rPr>
                <w:color w:val="000000"/>
                <w:kern w:val="36"/>
                <w:sz w:val="24"/>
                <w:szCs w:val="24"/>
              </w:rPr>
              <w:t>European Communities Trademark Association &amp; Marques</w:t>
            </w:r>
          </w:p>
        </w:tc>
        <w:tc>
          <w:tcPr>
            <w:tcW w:w="6434" w:type="dxa"/>
          </w:tcPr>
          <w:p w:rsidR="00270C38" w:rsidRPr="007E28A4" w:rsidRDefault="00270C38" w:rsidP="001D3016">
            <w:pPr>
              <w:rPr>
                <w:color w:val="000000"/>
                <w:kern w:val="36"/>
                <w:sz w:val="24"/>
                <w:szCs w:val="24"/>
              </w:rPr>
            </w:pPr>
            <w:r w:rsidRPr="007E28A4">
              <w:rPr>
                <w:color w:val="000000"/>
                <w:kern w:val="36"/>
                <w:sz w:val="24"/>
                <w:szCs w:val="24"/>
              </w:rPr>
              <w:t>Main role as a spokesperson on problems relating to the use and protection of industrial trademarks / designs in the EU.</w:t>
            </w:r>
          </w:p>
        </w:tc>
      </w:tr>
      <w:tr w:rsidR="00270C38">
        <w:tc>
          <w:tcPr>
            <w:tcW w:w="1008" w:type="dxa"/>
          </w:tcPr>
          <w:p w:rsidR="00270C38" w:rsidRPr="007E28A4" w:rsidRDefault="00270C38" w:rsidP="001D3016">
            <w:pPr>
              <w:rPr>
                <w:b/>
                <w:bCs/>
                <w:color w:val="000000"/>
                <w:kern w:val="36"/>
                <w:sz w:val="24"/>
                <w:szCs w:val="24"/>
              </w:rPr>
            </w:pPr>
            <w:r w:rsidRPr="007E28A4">
              <w:rPr>
                <w:b/>
                <w:bCs/>
                <w:color w:val="000000"/>
                <w:kern w:val="36"/>
                <w:sz w:val="24"/>
                <w:szCs w:val="24"/>
              </w:rPr>
              <w:t>IPC</w:t>
            </w:r>
          </w:p>
        </w:tc>
        <w:tc>
          <w:tcPr>
            <w:tcW w:w="1800" w:type="dxa"/>
          </w:tcPr>
          <w:p w:rsidR="00270C38" w:rsidRPr="007E28A4" w:rsidRDefault="00270C38" w:rsidP="001D3016">
            <w:pPr>
              <w:rPr>
                <w:color w:val="000000"/>
                <w:kern w:val="36"/>
                <w:sz w:val="24"/>
                <w:szCs w:val="24"/>
              </w:rPr>
            </w:pPr>
            <w:r w:rsidRPr="007E28A4">
              <w:rPr>
                <w:color w:val="000000"/>
                <w:kern w:val="36"/>
                <w:sz w:val="24"/>
                <w:szCs w:val="24"/>
              </w:rPr>
              <w:t xml:space="preserve">Intellectual Property Constituency </w:t>
            </w:r>
          </w:p>
        </w:tc>
        <w:tc>
          <w:tcPr>
            <w:tcW w:w="6434" w:type="dxa"/>
          </w:tcPr>
          <w:p w:rsidR="00270C38" w:rsidRPr="007E28A4" w:rsidRDefault="00270C38" w:rsidP="001D3016">
            <w:pPr>
              <w:rPr>
                <w:color w:val="000000"/>
                <w:kern w:val="36"/>
                <w:sz w:val="24"/>
                <w:szCs w:val="24"/>
              </w:rPr>
            </w:pPr>
            <w:r w:rsidRPr="007E28A4">
              <w:rPr>
                <w:color w:val="000000"/>
                <w:kern w:val="36"/>
                <w:sz w:val="24"/>
                <w:szCs w:val="24"/>
              </w:rPr>
              <w:t>Represents the views and interests of owners of intellectual property, with particular emphasis on trademark, copyright and related intellectual property rights.</w:t>
            </w:r>
          </w:p>
        </w:tc>
      </w:tr>
      <w:tr w:rsidR="00270C38">
        <w:tc>
          <w:tcPr>
            <w:tcW w:w="1008" w:type="dxa"/>
          </w:tcPr>
          <w:p w:rsidR="00270C38" w:rsidRPr="007E28A4" w:rsidRDefault="00270C38" w:rsidP="001D3016">
            <w:pPr>
              <w:rPr>
                <w:b/>
                <w:bCs/>
                <w:color w:val="000000"/>
                <w:kern w:val="36"/>
                <w:sz w:val="24"/>
                <w:szCs w:val="24"/>
              </w:rPr>
            </w:pPr>
            <w:r w:rsidRPr="007E28A4">
              <w:rPr>
                <w:b/>
                <w:bCs/>
                <w:color w:val="000000"/>
                <w:kern w:val="36"/>
                <w:sz w:val="24"/>
                <w:szCs w:val="24"/>
              </w:rPr>
              <w:t>RSG</w:t>
            </w:r>
          </w:p>
        </w:tc>
        <w:tc>
          <w:tcPr>
            <w:tcW w:w="1800" w:type="dxa"/>
          </w:tcPr>
          <w:p w:rsidR="00270C38" w:rsidRPr="007E28A4" w:rsidRDefault="00270C38" w:rsidP="001D3016">
            <w:pPr>
              <w:rPr>
                <w:color w:val="000000"/>
                <w:kern w:val="36"/>
                <w:sz w:val="24"/>
                <w:szCs w:val="24"/>
              </w:rPr>
            </w:pPr>
            <w:r w:rsidRPr="007E28A4">
              <w:rPr>
                <w:color w:val="000000"/>
                <w:kern w:val="36"/>
                <w:sz w:val="24"/>
                <w:szCs w:val="24"/>
              </w:rPr>
              <w:t>Registrar Stakeholder Group</w:t>
            </w:r>
          </w:p>
        </w:tc>
        <w:tc>
          <w:tcPr>
            <w:tcW w:w="6434" w:type="dxa"/>
          </w:tcPr>
          <w:p w:rsidR="00270C38" w:rsidRPr="007E28A4" w:rsidRDefault="00270C38" w:rsidP="001D3016">
            <w:pPr>
              <w:rPr>
                <w:color w:val="000000"/>
                <w:kern w:val="36"/>
                <w:sz w:val="24"/>
                <w:szCs w:val="24"/>
              </w:rPr>
            </w:pPr>
            <w:r w:rsidRPr="007E28A4">
              <w:rPr>
                <w:color w:val="000000"/>
                <w:kern w:val="36"/>
                <w:sz w:val="24"/>
                <w:szCs w:val="24"/>
              </w:rPr>
              <w:t xml:space="preserve">Working to ensure the interests of registrars and their customers are effectively advanced. </w:t>
            </w:r>
          </w:p>
        </w:tc>
      </w:tr>
      <w:tr w:rsidR="00270C38">
        <w:tc>
          <w:tcPr>
            <w:tcW w:w="1008" w:type="dxa"/>
          </w:tcPr>
          <w:p w:rsidR="00270C38" w:rsidRPr="007E28A4" w:rsidRDefault="00270C38" w:rsidP="001D3016">
            <w:pPr>
              <w:rPr>
                <w:b/>
                <w:bCs/>
                <w:color w:val="000000"/>
                <w:kern w:val="36"/>
                <w:sz w:val="24"/>
                <w:szCs w:val="24"/>
              </w:rPr>
            </w:pPr>
            <w:r w:rsidRPr="007E28A4">
              <w:rPr>
                <w:b/>
                <w:bCs/>
                <w:color w:val="000000"/>
                <w:kern w:val="36"/>
                <w:sz w:val="24"/>
                <w:szCs w:val="24"/>
              </w:rPr>
              <w:t>VOL</w:t>
            </w:r>
          </w:p>
        </w:tc>
        <w:tc>
          <w:tcPr>
            <w:tcW w:w="1800" w:type="dxa"/>
          </w:tcPr>
          <w:p w:rsidR="00270C38" w:rsidRPr="007E28A4" w:rsidRDefault="00270C38" w:rsidP="001D3016">
            <w:pPr>
              <w:rPr>
                <w:color w:val="000000"/>
                <w:kern w:val="36"/>
                <w:sz w:val="24"/>
                <w:szCs w:val="24"/>
              </w:rPr>
            </w:pPr>
            <w:r w:rsidRPr="007E28A4">
              <w:rPr>
                <w:color w:val="000000"/>
                <w:kern w:val="36"/>
                <w:sz w:val="24"/>
                <w:szCs w:val="24"/>
              </w:rPr>
              <w:t>Volodya</w:t>
            </w:r>
          </w:p>
        </w:tc>
        <w:tc>
          <w:tcPr>
            <w:tcW w:w="6434" w:type="dxa"/>
          </w:tcPr>
          <w:p w:rsidR="00270C38" w:rsidRPr="007E28A4" w:rsidRDefault="00270C38" w:rsidP="001D3016">
            <w:pPr>
              <w:rPr>
                <w:color w:val="000000"/>
                <w:kern w:val="36"/>
                <w:sz w:val="24"/>
                <w:szCs w:val="24"/>
              </w:rPr>
            </w:pPr>
            <w:r w:rsidRPr="007E28A4">
              <w:rPr>
                <w:color w:val="000000"/>
                <w:kern w:val="36"/>
                <w:sz w:val="24"/>
                <w:szCs w:val="24"/>
              </w:rPr>
              <w:t xml:space="preserve">Independent person. OS search suggests he is a Moscow-based coder called Vladimir PRUS (Volodya is diminutive form of Vladimir). Volodya has posted to the ‘free net’ forums, showing an interest in privacy and freedom of expression. </w:t>
            </w:r>
          </w:p>
        </w:tc>
      </w:tr>
      <w:tr w:rsidR="00270C38">
        <w:tc>
          <w:tcPr>
            <w:tcW w:w="1008" w:type="dxa"/>
          </w:tcPr>
          <w:p w:rsidR="00270C38" w:rsidRPr="007E28A4" w:rsidRDefault="00270C38" w:rsidP="001D3016">
            <w:pPr>
              <w:rPr>
                <w:b/>
                <w:bCs/>
                <w:color w:val="000000"/>
                <w:kern w:val="36"/>
                <w:sz w:val="24"/>
                <w:szCs w:val="24"/>
              </w:rPr>
            </w:pPr>
            <w:r w:rsidRPr="007E28A4">
              <w:rPr>
                <w:b/>
                <w:bCs/>
                <w:color w:val="000000"/>
                <w:kern w:val="36"/>
                <w:sz w:val="24"/>
                <w:szCs w:val="24"/>
              </w:rPr>
              <w:t>LEX</w:t>
            </w:r>
          </w:p>
        </w:tc>
        <w:tc>
          <w:tcPr>
            <w:tcW w:w="1800" w:type="dxa"/>
          </w:tcPr>
          <w:p w:rsidR="00270C38" w:rsidRPr="007E28A4" w:rsidRDefault="00270C38" w:rsidP="001D3016">
            <w:pPr>
              <w:rPr>
                <w:color w:val="000000"/>
                <w:kern w:val="36"/>
                <w:sz w:val="24"/>
                <w:szCs w:val="24"/>
              </w:rPr>
            </w:pPr>
            <w:r w:rsidRPr="007E28A4">
              <w:rPr>
                <w:color w:val="000000"/>
                <w:kern w:val="36"/>
                <w:sz w:val="24"/>
                <w:szCs w:val="24"/>
              </w:rPr>
              <w:t>Lexinta</w:t>
            </w:r>
          </w:p>
        </w:tc>
        <w:tc>
          <w:tcPr>
            <w:tcW w:w="6434" w:type="dxa"/>
          </w:tcPr>
          <w:p w:rsidR="00270C38" w:rsidRPr="007E28A4" w:rsidRDefault="00270C38" w:rsidP="001D3016">
            <w:pPr>
              <w:rPr>
                <w:color w:val="000000"/>
                <w:kern w:val="36"/>
                <w:sz w:val="24"/>
                <w:szCs w:val="24"/>
              </w:rPr>
            </w:pPr>
            <w:r w:rsidRPr="007E28A4">
              <w:rPr>
                <w:color w:val="000000"/>
                <w:kern w:val="36"/>
                <w:sz w:val="24"/>
                <w:szCs w:val="24"/>
              </w:rPr>
              <w:t>Intellectual Property Attorneys based in Belgium</w:t>
            </w:r>
          </w:p>
        </w:tc>
      </w:tr>
      <w:tr w:rsidR="00270C38">
        <w:tc>
          <w:tcPr>
            <w:tcW w:w="1008" w:type="dxa"/>
          </w:tcPr>
          <w:p w:rsidR="00270C38" w:rsidRPr="007E28A4" w:rsidRDefault="00270C38" w:rsidP="001D3016">
            <w:pPr>
              <w:rPr>
                <w:b/>
                <w:bCs/>
                <w:color w:val="000000"/>
                <w:kern w:val="36"/>
                <w:sz w:val="24"/>
                <w:szCs w:val="24"/>
              </w:rPr>
            </w:pPr>
            <w:r w:rsidRPr="007E28A4">
              <w:rPr>
                <w:b/>
                <w:bCs/>
                <w:color w:val="000000"/>
                <w:kern w:val="36"/>
                <w:sz w:val="24"/>
                <w:szCs w:val="24"/>
              </w:rPr>
              <w:t>RG</w:t>
            </w:r>
          </w:p>
        </w:tc>
        <w:tc>
          <w:tcPr>
            <w:tcW w:w="1800" w:type="dxa"/>
          </w:tcPr>
          <w:p w:rsidR="00270C38" w:rsidRPr="007E28A4" w:rsidRDefault="00270C38" w:rsidP="001D3016">
            <w:pPr>
              <w:rPr>
                <w:color w:val="000000"/>
                <w:kern w:val="36"/>
                <w:sz w:val="24"/>
                <w:szCs w:val="24"/>
              </w:rPr>
            </w:pPr>
            <w:r w:rsidRPr="007E28A4">
              <w:rPr>
                <w:color w:val="000000"/>
                <w:kern w:val="36"/>
                <w:sz w:val="24"/>
                <w:szCs w:val="24"/>
              </w:rPr>
              <w:t>Ronald Guilmette</w:t>
            </w:r>
          </w:p>
        </w:tc>
        <w:tc>
          <w:tcPr>
            <w:tcW w:w="6434" w:type="dxa"/>
          </w:tcPr>
          <w:p w:rsidR="00270C38" w:rsidRPr="007E28A4" w:rsidRDefault="00270C38" w:rsidP="001D3016">
            <w:pPr>
              <w:rPr>
                <w:color w:val="000000"/>
                <w:kern w:val="36"/>
                <w:sz w:val="24"/>
                <w:szCs w:val="24"/>
              </w:rPr>
            </w:pPr>
            <w:r w:rsidRPr="007E28A4">
              <w:rPr>
                <w:color w:val="000000"/>
                <w:kern w:val="36"/>
                <w:sz w:val="24"/>
                <w:szCs w:val="24"/>
              </w:rPr>
              <w:t xml:space="preserve">An anti-spam activist and frequest user of the Whois Data Problem Reporting System. He has been quoted in articles in Krebs on Security on problems with Whois Data. </w:t>
            </w:r>
          </w:p>
        </w:tc>
      </w:tr>
    </w:tbl>
    <w:p w:rsidR="00270C38" w:rsidRDefault="00270C38">
      <w:pPr>
        <w:rPr>
          <w:b/>
          <w:bCs/>
          <w:sz w:val="32"/>
          <w:szCs w:val="32"/>
          <w:u w:val="single"/>
        </w:rPr>
      </w:pPr>
    </w:p>
    <w:p w:rsidR="00270C38" w:rsidRDefault="00270C38">
      <w:pPr>
        <w:rPr>
          <w:b/>
          <w:bCs/>
          <w:sz w:val="32"/>
          <w:szCs w:val="32"/>
          <w:u w:val="single"/>
        </w:rPr>
      </w:pPr>
    </w:p>
    <w:p w:rsidR="00270C38" w:rsidRDefault="00270C38">
      <w:pPr>
        <w:rPr>
          <w:b/>
          <w:bCs/>
          <w:sz w:val="32"/>
          <w:szCs w:val="32"/>
          <w:u w:val="single"/>
        </w:rPr>
      </w:pPr>
    </w:p>
    <w:p w:rsidR="00270C38" w:rsidRDefault="00270C38">
      <w:pPr>
        <w:rPr>
          <w:b/>
          <w:bCs/>
          <w:sz w:val="32"/>
          <w:szCs w:val="32"/>
          <w:u w:val="single"/>
        </w:rPr>
      </w:pPr>
      <w:r>
        <w:rPr>
          <w:b/>
          <w:bCs/>
          <w:sz w:val="32"/>
          <w:szCs w:val="32"/>
          <w:u w:val="single"/>
        </w:rPr>
        <w:br w:type="page"/>
      </w:r>
    </w:p>
    <w:p w:rsidR="00270C38" w:rsidRDefault="00270C38" w:rsidP="00D82EB8">
      <w:pPr>
        <w:pStyle w:val="ListParagraph"/>
        <w:rPr>
          <w:b/>
          <w:bCs/>
          <w:sz w:val="32"/>
          <w:szCs w:val="32"/>
          <w:u w:val="single"/>
        </w:rPr>
      </w:pPr>
      <w:r>
        <w:rPr>
          <w:b/>
          <w:bCs/>
          <w:sz w:val="32"/>
          <w:szCs w:val="32"/>
          <w:u w:val="single"/>
        </w:rPr>
        <w:t>Key definitions – introduction</w:t>
      </w:r>
    </w:p>
    <w:p w:rsidR="00270C38" w:rsidRDefault="00270C38" w:rsidP="00D82EB8">
      <w:pPr>
        <w:pStyle w:val="ListParagraph"/>
        <w:rPr>
          <w:color w:val="000000"/>
          <w:lang w:eastAsia="en-GB"/>
        </w:rPr>
      </w:pPr>
      <w:r>
        <w:rPr>
          <w:color w:val="000000"/>
          <w:lang w:eastAsia="en-GB"/>
        </w:rPr>
        <w:t>Early in the WHOIS Review Team’s work programme, it attempted to identify and define key terms in the Affirmation of Commitments which are relevant to the review.  Input was sought in relation to the draft definitions by way of Public Comment [dates ].  [number] comments were received.  Not every commentator gave feedback on every definition.  However the Review Team was reasonably satisfied that it had received a response from a broad spectrum of stakeholder groups, representing the different actors who have a legitimate interest in the WHOIS service whether as a provider, or user.</w:t>
      </w:r>
    </w:p>
    <w:p w:rsidR="00270C38" w:rsidRPr="00D82EB8" w:rsidRDefault="00270C38" w:rsidP="00D82EB8">
      <w:pPr>
        <w:pStyle w:val="ListParagraph"/>
        <w:rPr>
          <w:color w:val="000000"/>
          <w:lang w:eastAsia="en-GB"/>
        </w:rPr>
      </w:pPr>
      <w:r>
        <w:rPr>
          <w:color w:val="000000"/>
          <w:lang w:eastAsia="en-GB"/>
        </w:rPr>
        <w:t>The sections below set out the original definition as consulted upon, an overview of the comments relating to that definition, and then sets out any changes to the definition.</w:t>
      </w:r>
    </w:p>
    <w:p w:rsidR="00270C38" w:rsidRDefault="00270C38" w:rsidP="00D82EB8">
      <w:pPr>
        <w:pStyle w:val="ListParagraph"/>
        <w:rPr>
          <w:b/>
          <w:bCs/>
          <w:sz w:val="32"/>
          <w:szCs w:val="32"/>
          <w:u w:val="single"/>
        </w:rPr>
      </w:pPr>
    </w:p>
    <w:p w:rsidR="00270C38" w:rsidRPr="001D3016" w:rsidRDefault="00270C38" w:rsidP="001D3016">
      <w:pPr>
        <w:pStyle w:val="ListParagraph"/>
        <w:numPr>
          <w:ilvl w:val="0"/>
          <w:numId w:val="6"/>
        </w:numPr>
        <w:rPr>
          <w:b/>
          <w:bCs/>
          <w:sz w:val="32"/>
          <w:szCs w:val="32"/>
          <w:u w:val="single"/>
        </w:rPr>
      </w:pPr>
      <w:r w:rsidRPr="001D3016">
        <w:rPr>
          <w:b/>
          <w:bCs/>
          <w:sz w:val="32"/>
          <w:szCs w:val="32"/>
          <w:u w:val="single"/>
        </w:rPr>
        <w:t>Applicable laws</w:t>
      </w:r>
    </w:p>
    <w:p w:rsidR="00270C38" w:rsidRPr="003D5128" w:rsidRDefault="00270C38" w:rsidP="003D5128">
      <w:pPr>
        <w:spacing w:before="150" w:after="150" w:line="260" w:lineRule="atLeast"/>
        <w:rPr>
          <w:color w:val="000000"/>
          <w:lang w:eastAsia="en-GB"/>
        </w:rPr>
      </w:pPr>
      <w:r w:rsidRPr="00AD7715">
        <w:rPr>
          <w:b/>
          <w:bCs/>
          <w:color w:val="FF0000"/>
        </w:rPr>
        <w:t>Definition:</w:t>
      </w:r>
      <w:r w:rsidRPr="00AD7715">
        <w:rPr>
          <w:color w:val="FF0000"/>
        </w:rPr>
        <w:t xml:space="preserve"> </w:t>
      </w:r>
      <w:r w:rsidRPr="00AD7715">
        <w:rPr>
          <w:color w:val="000000"/>
          <w:lang w:eastAsia="en-GB"/>
        </w:rPr>
        <w:t>Includes any and all local and national laws that regulate and/or control the collection, use, access, and disclosure of personally identifiable information. It may also include other relevant legal obligations, including U.N. Universal Declaration of Human Rights and the U.N. Guidelines for the Regulation of Computerized Personal Data Files.</w:t>
      </w:r>
    </w:p>
    <w:p w:rsidR="00270C38" w:rsidRPr="00AD7715" w:rsidRDefault="00270C38" w:rsidP="003A4D1C">
      <w:pPr>
        <w:pStyle w:val="BodyText"/>
        <w:spacing w:before="0" w:beforeAutospacing="0" w:after="0" w:afterAutospacing="0"/>
        <w:rPr>
          <w:rFonts w:ascii="Calibri" w:hAnsi="Calibri" w:cs="Calibri"/>
          <w:b/>
          <w:bCs/>
        </w:rPr>
      </w:pPr>
      <w:r w:rsidRPr="00AD7715">
        <w:rPr>
          <w:rFonts w:ascii="Calibri" w:hAnsi="Calibri" w:cs="Calibri"/>
          <w:b/>
          <w:bCs/>
        </w:rPr>
        <w:t>Overview of received comments</w:t>
      </w:r>
      <w:r w:rsidRPr="00AD7715">
        <w:rPr>
          <w:rStyle w:val="FootnoteReference"/>
          <w:rFonts w:ascii="Calibri" w:hAnsi="Calibri" w:cs="Calibri"/>
          <w:b/>
          <w:bCs/>
        </w:rPr>
        <w:footnoteReference w:id="1"/>
      </w:r>
      <w:r w:rsidRPr="00AD7715">
        <w:rPr>
          <w:rFonts w:ascii="Calibri" w:hAnsi="Calibri" w:cs="Calibri"/>
          <w:b/>
          <w:bCs/>
        </w:rPr>
        <w:t xml:space="preserve">: </w:t>
      </w:r>
    </w:p>
    <w:p w:rsidR="00270C38" w:rsidRDefault="00270C38" w:rsidP="003A4D1C">
      <w:pPr>
        <w:pStyle w:val="BodyText"/>
        <w:spacing w:before="0" w:beforeAutospacing="0" w:after="0" w:afterAutospacing="0"/>
        <w:rPr>
          <w:rFonts w:ascii="Calibri" w:hAnsi="Calibri" w:cs="Calibri"/>
        </w:rPr>
      </w:pPr>
    </w:p>
    <w:p w:rsidR="00270C38" w:rsidRDefault="00270C38" w:rsidP="003A4D1C">
      <w:pPr>
        <w:pStyle w:val="BodyText"/>
        <w:spacing w:before="0" w:beforeAutospacing="0" w:after="0" w:afterAutospacing="0"/>
        <w:rPr>
          <w:rFonts w:ascii="Calibri" w:hAnsi="Calibri" w:cs="Calibri"/>
        </w:rPr>
      </w:pPr>
      <w:r>
        <w:rPr>
          <w:rFonts w:ascii="Calibri" w:hAnsi="Calibri" w:cs="Calibri"/>
        </w:rPr>
        <w:t>Seven parties provided feedback on this definition.</w:t>
      </w:r>
    </w:p>
    <w:p w:rsidR="00270C38" w:rsidRDefault="00270C38" w:rsidP="003A4D1C">
      <w:pPr>
        <w:pStyle w:val="BodyText"/>
        <w:spacing w:before="0" w:beforeAutospacing="0" w:after="0" w:afterAutospacing="0"/>
        <w:rPr>
          <w:rFonts w:ascii="Calibri" w:hAnsi="Calibri" w:cs="Calibri"/>
        </w:rPr>
      </w:pPr>
    </w:p>
    <w:p w:rsidR="00270C38" w:rsidRPr="00AD7715" w:rsidRDefault="00270C38" w:rsidP="003A4D1C">
      <w:pPr>
        <w:pStyle w:val="BodyText"/>
        <w:spacing w:before="0" w:beforeAutospacing="0" w:after="0" w:afterAutospacing="0"/>
        <w:rPr>
          <w:rFonts w:ascii="Calibri" w:hAnsi="Calibri" w:cs="Calibri"/>
        </w:rPr>
      </w:pPr>
      <w:r>
        <w:rPr>
          <w:rFonts w:ascii="Calibri" w:hAnsi="Calibri" w:cs="Calibri"/>
        </w:rPr>
        <w:t>One commentator (BC) supported</w:t>
      </w:r>
      <w:r w:rsidRPr="00AD7715">
        <w:rPr>
          <w:rFonts w:ascii="Calibri" w:hAnsi="Calibri" w:cs="Calibri"/>
        </w:rPr>
        <w:t xml:space="preserve"> the definition as </w:t>
      </w:r>
      <w:r>
        <w:rPr>
          <w:rFonts w:ascii="Calibri" w:hAnsi="Calibri" w:cs="Calibri"/>
        </w:rPr>
        <w:t>drafted</w:t>
      </w:r>
      <w:r w:rsidRPr="00AD7715">
        <w:rPr>
          <w:rFonts w:ascii="Calibri" w:hAnsi="Calibri" w:cs="Calibri"/>
        </w:rPr>
        <w:t>.</w:t>
      </w:r>
      <w:r>
        <w:rPr>
          <w:rFonts w:ascii="Calibri" w:hAnsi="Calibri" w:cs="Calibri"/>
        </w:rPr>
        <w:t xml:space="preserve">  Others commented that t</w:t>
      </w:r>
      <w:r w:rsidRPr="00AD7715">
        <w:rPr>
          <w:rFonts w:ascii="Calibri" w:hAnsi="Calibri" w:cs="Calibri"/>
        </w:rPr>
        <w:t>he definition lacks pr</w:t>
      </w:r>
      <w:r>
        <w:rPr>
          <w:rFonts w:ascii="Calibri" w:hAnsi="Calibri" w:cs="Calibri"/>
        </w:rPr>
        <w:t>ecision on the following points:</w:t>
      </w:r>
    </w:p>
    <w:p w:rsidR="00270C38" w:rsidRPr="00AD7715" w:rsidRDefault="00270C38" w:rsidP="006D1A21">
      <w:pPr>
        <w:pStyle w:val="BodyText"/>
        <w:numPr>
          <w:ilvl w:val="0"/>
          <w:numId w:val="4"/>
        </w:numPr>
        <w:spacing w:before="0" w:beforeAutospacing="0" w:after="0" w:afterAutospacing="0"/>
        <w:rPr>
          <w:rFonts w:ascii="Calibri" w:hAnsi="Calibri" w:cs="Calibri"/>
        </w:rPr>
      </w:pPr>
      <w:r w:rsidRPr="00AD7715">
        <w:rPr>
          <w:rFonts w:ascii="Calibri" w:hAnsi="Calibri" w:cs="Calibri"/>
        </w:rPr>
        <w:t>Lack of clarity when local laws and UN declarations conflict</w:t>
      </w:r>
      <w:r>
        <w:rPr>
          <w:rFonts w:ascii="Calibri" w:hAnsi="Calibri" w:cs="Calibri"/>
        </w:rPr>
        <w:t xml:space="preserve"> </w:t>
      </w:r>
      <w:r w:rsidRPr="00D77AE4">
        <w:rPr>
          <w:rFonts w:ascii="Calibri" w:hAnsi="Calibri" w:cs="Calibri"/>
          <w:b/>
          <w:bCs/>
        </w:rPr>
        <w:t>(RSG &amp; VOL).</w:t>
      </w:r>
    </w:p>
    <w:p w:rsidR="00270C38" w:rsidRPr="00AD7715" w:rsidRDefault="00270C38" w:rsidP="00F9022A">
      <w:pPr>
        <w:pStyle w:val="BodyText"/>
        <w:numPr>
          <w:ilvl w:val="0"/>
          <w:numId w:val="4"/>
        </w:numPr>
        <w:spacing w:before="0" w:beforeAutospacing="0" w:after="0" w:afterAutospacing="0"/>
        <w:rPr>
          <w:rFonts w:ascii="Calibri" w:hAnsi="Calibri" w:cs="Calibri"/>
        </w:rPr>
      </w:pPr>
      <w:r w:rsidRPr="00AD7715">
        <w:rPr>
          <w:rFonts w:ascii="Calibri" w:hAnsi="Calibri" w:cs="Calibri"/>
        </w:rPr>
        <w:t>UN guidelines are not legally binding</w:t>
      </w:r>
      <w:r>
        <w:rPr>
          <w:rFonts w:ascii="Calibri" w:hAnsi="Calibri" w:cs="Calibri"/>
        </w:rPr>
        <w:t xml:space="preserve"> </w:t>
      </w:r>
      <w:r w:rsidRPr="00D77AE4">
        <w:rPr>
          <w:rFonts w:ascii="Calibri" w:hAnsi="Calibri" w:cs="Calibri"/>
          <w:b/>
          <w:bCs/>
        </w:rPr>
        <w:t>(RSG &amp; IPC).</w:t>
      </w:r>
      <w:r w:rsidRPr="00AD7715">
        <w:rPr>
          <w:rFonts w:ascii="Calibri" w:hAnsi="Calibri" w:cs="Calibri"/>
        </w:rPr>
        <w:t xml:space="preserve"> </w:t>
      </w:r>
    </w:p>
    <w:p w:rsidR="00270C38" w:rsidRDefault="00270C38" w:rsidP="006D1A21">
      <w:pPr>
        <w:pStyle w:val="BodyText"/>
        <w:numPr>
          <w:ilvl w:val="0"/>
          <w:numId w:val="4"/>
        </w:numPr>
        <w:spacing w:before="0" w:beforeAutospacing="0" w:after="0" w:afterAutospacing="0"/>
        <w:rPr>
          <w:rFonts w:ascii="Calibri" w:hAnsi="Calibri" w:cs="Calibri"/>
        </w:rPr>
      </w:pPr>
      <w:r>
        <w:rPr>
          <w:rFonts w:ascii="Calibri" w:hAnsi="Calibri" w:cs="Calibri"/>
        </w:rPr>
        <w:t>Currently</w:t>
      </w:r>
      <w:r w:rsidRPr="00AD7715">
        <w:rPr>
          <w:rFonts w:ascii="Calibri" w:hAnsi="Calibri" w:cs="Calibri"/>
        </w:rPr>
        <w:t>, it only applies to registrant privacy. If the definition was to be used in a wider sense, there are areas other than personal data where laws might apply. For instance; child exploitation, fraud prevention, regulation of drugs, intellectual property etc</w:t>
      </w:r>
      <w:r>
        <w:rPr>
          <w:rFonts w:ascii="Calibri" w:hAnsi="Calibri" w:cs="Calibri"/>
        </w:rPr>
        <w:t xml:space="preserve"> </w:t>
      </w:r>
      <w:r>
        <w:rPr>
          <w:rFonts w:ascii="Calibri" w:hAnsi="Calibri" w:cs="Calibri"/>
          <w:b/>
          <w:bCs/>
        </w:rPr>
        <w:t>(CAUCE &amp; ECTA+M)</w:t>
      </w:r>
      <w:r w:rsidRPr="00AD7715">
        <w:rPr>
          <w:rFonts w:ascii="Calibri" w:hAnsi="Calibri" w:cs="Calibri"/>
        </w:rPr>
        <w:t xml:space="preserve">. </w:t>
      </w:r>
    </w:p>
    <w:p w:rsidR="00270C38" w:rsidRPr="00AD7715" w:rsidRDefault="00270C38" w:rsidP="006D1A21">
      <w:pPr>
        <w:pStyle w:val="BodyText"/>
        <w:numPr>
          <w:ilvl w:val="0"/>
          <w:numId w:val="4"/>
        </w:numPr>
        <w:spacing w:before="0" w:beforeAutospacing="0" w:after="0" w:afterAutospacing="0"/>
        <w:rPr>
          <w:rFonts w:ascii="Calibri" w:hAnsi="Calibri" w:cs="Calibri"/>
        </w:rPr>
      </w:pPr>
      <w:r>
        <w:rPr>
          <w:rFonts w:ascii="Calibri" w:hAnsi="Calibri" w:cs="Calibri"/>
        </w:rPr>
        <w:t>[whatever the GAC said on this – I believe that they were also concerned about limiting to privacy laws.</w:t>
      </w:r>
    </w:p>
    <w:p w:rsidR="00270C38" w:rsidRPr="00AA6F79" w:rsidRDefault="00270C38" w:rsidP="00F9022A">
      <w:pPr>
        <w:pStyle w:val="BodyText"/>
        <w:spacing w:before="0" w:beforeAutospacing="0" w:after="0" w:afterAutospacing="0"/>
        <w:rPr>
          <w:rFonts w:ascii="Calibri" w:hAnsi="Calibri" w:cs="Calibri"/>
        </w:rPr>
      </w:pPr>
      <w:r w:rsidRPr="00AD7715">
        <w:rPr>
          <w:rFonts w:ascii="Calibri" w:hAnsi="Calibri" w:cs="Calibri"/>
        </w:rPr>
        <w:t xml:space="preserve">There is also a pre-existing ICANN procedure which covers WHOIS conflicts </w:t>
      </w:r>
      <w:r w:rsidRPr="003A1235">
        <w:rPr>
          <w:rFonts w:ascii="Calibri" w:hAnsi="Calibri" w:cs="Calibri"/>
        </w:rPr>
        <w:t>with privacy law (</w:t>
      </w:r>
      <w:r w:rsidRPr="00AA6F79">
        <w:rPr>
          <w:rFonts w:ascii="Calibri" w:hAnsi="Calibri" w:cs="Calibri"/>
        </w:rPr>
        <w:t xml:space="preserve">See  </w:t>
      </w:r>
      <w:hyperlink r:id="rId7" w:history="1">
        <w:r w:rsidRPr="00AA6F79">
          <w:rPr>
            <w:rStyle w:val="Hyperlink"/>
            <w:rFonts w:ascii="Calibri" w:hAnsi="Calibri" w:cs="Calibri"/>
          </w:rPr>
          <w:t>http://www.icann.org/en/processes/icann-procedure-17jan08.htm</w:t>
        </w:r>
      </w:hyperlink>
      <w:r w:rsidRPr="00AA6F79">
        <w:rPr>
          <w:rFonts w:ascii="Calibri" w:hAnsi="Calibri" w:cs="Calibri"/>
        </w:rPr>
        <w:t xml:space="preserve">). Consideration should be given to this, and how it applies </w:t>
      </w:r>
      <w:r w:rsidRPr="00AA6F79">
        <w:rPr>
          <w:rFonts w:ascii="Calibri" w:hAnsi="Calibri" w:cs="Calibri"/>
          <w:b/>
          <w:bCs/>
        </w:rPr>
        <w:t>(IPC).</w:t>
      </w:r>
    </w:p>
    <w:p w:rsidR="00270C38" w:rsidRPr="00AD7715" w:rsidRDefault="00270C38" w:rsidP="00F9022A">
      <w:pPr>
        <w:pStyle w:val="BodyText"/>
        <w:spacing w:before="0" w:beforeAutospacing="0" w:after="0" w:afterAutospacing="0"/>
        <w:rPr>
          <w:rFonts w:ascii="Calibri" w:hAnsi="Calibri" w:cs="Calibri"/>
        </w:rPr>
      </w:pPr>
    </w:p>
    <w:p w:rsidR="00270C38" w:rsidRPr="00AD7715" w:rsidRDefault="00270C38" w:rsidP="00F9022A">
      <w:pPr>
        <w:pStyle w:val="BodyText"/>
        <w:spacing w:before="0" w:beforeAutospacing="0" w:after="0" w:afterAutospacing="0"/>
        <w:rPr>
          <w:rFonts w:ascii="Calibri" w:hAnsi="Calibri" w:cs="Calibri"/>
        </w:rPr>
      </w:pPr>
      <w:r w:rsidRPr="00AD7715">
        <w:rPr>
          <w:rFonts w:ascii="Calibri" w:hAnsi="Calibri" w:cs="Calibri"/>
        </w:rPr>
        <w:t>An alternative definition was given as:</w:t>
      </w:r>
    </w:p>
    <w:p w:rsidR="00270C38" w:rsidRPr="00AD7715" w:rsidRDefault="00270C38" w:rsidP="00F9022A">
      <w:pPr>
        <w:pStyle w:val="BodyText"/>
        <w:spacing w:before="0" w:beforeAutospacing="0" w:after="0" w:afterAutospacing="0"/>
        <w:rPr>
          <w:rFonts w:ascii="Calibri" w:hAnsi="Calibri" w:cs="Calibri"/>
        </w:rPr>
      </w:pPr>
      <w:r w:rsidRPr="00AD7715">
        <w:rPr>
          <w:rFonts w:ascii="Calibri" w:hAnsi="Calibri" w:cs="Calibri"/>
          <w:i/>
          <w:iCs/>
          <w:lang w:val="en-US" w:eastAsia="en-US"/>
        </w:rPr>
        <w:t>Includes any and all locally applicable laws and legislation in force that regulate and/or control use, access, and disclosure of personally identifiable information. It may also include other relevant legal requirements, including but not limited to U.N. Universal Declaration of Human Rights etc</w:t>
      </w:r>
      <w:r>
        <w:rPr>
          <w:rFonts w:ascii="Calibri" w:hAnsi="Calibri" w:cs="Calibri"/>
          <w:b/>
          <w:bCs/>
          <w:lang w:val="en-US" w:eastAsia="en-US"/>
        </w:rPr>
        <w:t xml:space="preserve"> (LEX).</w:t>
      </w:r>
      <w:r w:rsidRPr="00AD7715">
        <w:rPr>
          <w:rFonts w:ascii="Calibri" w:hAnsi="Calibri" w:cs="Calibri"/>
        </w:rPr>
        <w:br/>
      </w:r>
    </w:p>
    <w:p w:rsidR="00270C38" w:rsidRDefault="00270C38" w:rsidP="00223256">
      <w:pPr>
        <w:pStyle w:val="BodyText"/>
        <w:spacing w:before="0" w:beforeAutospacing="0" w:after="0" w:afterAutospacing="0"/>
        <w:rPr>
          <w:rFonts w:ascii="Calibri" w:hAnsi="Calibri" w:cs="Calibri"/>
          <w:b/>
          <w:bCs/>
        </w:rPr>
      </w:pPr>
      <w:r>
        <w:rPr>
          <w:rStyle w:val="CommentReference"/>
        </w:rPr>
        <w:commentReference w:id="0"/>
      </w:r>
      <w:r>
        <w:rPr>
          <w:rFonts w:ascii="Calibri" w:hAnsi="Calibri" w:cs="Calibri"/>
          <w:b/>
          <w:bCs/>
        </w:rPr>
        <w:t>Response to the comments</w:t>
      </w:r>
      <w:r w:rsidRPr="00AD7715">
        <w:rPr>
          <w:rFonts w:ascii="Calibri" w:hAnsi="Calibri" w:cs="Calibri"/>
          <w:b/>
          <w:bCs/>
        </w:rPr>
        <w:t>:</w:t>
      </w:r>
    </w:p>
    <w:p w:rsidR="00270C38" w:rsidRDefault="00270C38" w:rsidP="00223256">
      <w:pPr>
        <w:pStyle w:val="BodyText"/>
        <w:spacing w:before="0" w:beforeAutospacing="0" w:after="0" w:afterAutospacing="0"/>
        <w:rPr>
          <w:rFonts w:ascii="Calibri" w:hAnsi="Calibri" w:cs="Calibri"/>
          <w:b/>
          <w:bCs/>
        </w:rPr>
      </w:pPr>
    </w:p>
    <w:p w:rsidR="00270C38" w:rsidRDefault="00270C38" w:rsidP="00223256">
      <w:pPr>
        <w:pStyle w:val="BodyText"/>
        <w:spacing w:before="0" w:beforeAutospacing="0" w:after="0" w:afterAutospacing="0"/>
        <w:rPr>
          <w:rFonts w:ascii="Calibri" w:hAnsi="Calibri" w:cs="Calibri"/>
        </w:rPr>
      </w:pPr>
      <w:r>
        <w:rPr>
          <w:rFonts w:ascii="Calibri" w:hAnsi="Calibri" w:cs="Calibri"/>
        </w:rPr>
        <w:t>In general, this definition drew the most feedback from commentators.  The reference to UN guidelines was not felt to be helpful to some, who pointed out that they were not legally binding. The WRT had recognised this in its drafting, but formed the view that the concepts contained within them inform privacy laws globally, and that they therefore were an appropriate shorthand to use.  However, it is clear from the feedback that the reference was not found helpful by a number of commentators, and may add unwelcome complexity.</w:t>
      </w:r>
    </w:p>
    <w:p w:rsidR="00270C38" w:rsidRDefault="00270C38" w:rsidP="00223256">
      <w:pPr>
        <w:pStyle w:val="BodyText"/>
        <w:spacing w:before="0" w:beforeAutospacing="0" w:after="0" w:afterAutospacing="0"/>
        <w:rPr>
          <w:rFonts w:ascii="Calibri" w:hAnsi="Calibri" w:cs="Calibri"/>
        </w:rPr>
      </w:pPr>
    </w:p>
    <w:p w:rsidR="00270C38" w:rsidRDefault="00270C38" w:rsidP="00223256">
      <w:pPr>
        <w:pStyle w:val="BodyText"/>
        <w:spacing w:before="0" w:beforeAutospacing="0" w:after="0" w:afterAutospacing="0"/>
        <w:rPr>
          <w:rFonts w:ascii="Calibri" w:hAnsi="Calibri" w:cs="Calibri"/>
        </w:rPr>
      </w:pPr>
      <w:r>
        <w:rPr>
          <w:rFonts w:ascii="Calibri" w:hAnsi="Calibri" w:cs="Calibri"/>
        </w:rPr>
        <w:t>Other commentators stated that the reference to “local and national” laws excluded “transnational” laws such as EU regulations, which have direct effect.  The WRT understands that in the EU, at present data protection laws are contained within Directives, which are left to member states to implement within national law, and therefore are caught by the definition.  In any event, were the situation to change in future, any law (even an EU regulation) would have effect at the national level, and is therefore contained within the definition.</w:t>
      </w:r>
    </w:p>
    <w:p w:rsidR="00270C38" w:rsidRDefault="00270C38" w:rsidP="00223256">
      <w:pPr>
        <w:pStyle w:val="BodyText"/>
        <w:spacing w:before="0" w:beforeAutospacing="0" w:after="0" w:afterAutospacing="0"/>
        <w:rPr>
          <w:rFonts w:ascii="Calibri" w:hAnsi="Calibri" w:cs="Calibri"/>
        </w:rPr>
      </w:pPr>
    </w:p>
    <w:p w:rsidR="00270C38" w:rsidRDefault="00270C38" w:rsidP="00223256">
      <w:pPr>
        <w:pStyle w:val="BodyText"/>
        <w:spacing w:before="0" w:beforeAutospacing="0" w:after="0" w:afterAutospacing="0"/>
        <w:rPr>
          <w:rFonts w:ascii="Calibri" w:hAnsi="Calibri" w:cs="Calibri"/>
        </w:rPr>
      </w:pPr>
      <w:r>
        <w:rPr>
          <w:rFonts w:ascii="Calibri" w:hAnsi="Calibri" w:cs="Calibri"/>
        </w:rPr>
        <w:t xml:space="preserve">Others were concerned about the narrow focus on privacy laws only.  Considering the feedback, the WHOIS Review Team agreed that it was appropriate to reference the ICANN consensus policy relating to conflicts with privacy law.  </w:t>
      </w:r>
    </w:p>
    <w:p w:rsidR="00270C38" w:rsidRDefault="00270C38" w:rsidP="00223256">
      <w:pPr>
        <w:pStyle w:val="BodyText"/>
        <w:spacing w:before="0" w:beforeAutospacing="0" w:after="0" w:afterAutospacing="0"/>
        <w:rPr>
          <w:rFonts w:ascii="Calibri" w:hAnsi="Calibri" w:cs="Calibri"/>
        </w:rPr>
      </w:pPr>
    </w:p>
    <w:p w:rsidR="00270C38" w:rsidRDefault="00270C38" w:rsidP="00223256">
      <w:pPr>
        <w:pStyle w:val="BodyText"/>
        <w:spacing w:before="0" w:beforeAutospacing="0" w:after="0" w:afterAutospacing="0"/>
        <w:rPr>
          <w:rFonts w:ascii="Calibri" w:hAnsi="Calibri" w:cs="Calibri"/>
        </w:rPr>
      </w:pPr>
      <w:r>
        <w:rPr>
          <w:rFonts w:ascii="Calibri" w:hAnsi="Calibri" w:cs="Calibri"/>
        </w:rPr>
        <w:t>The WHOIS Review Team notes the input of LEX, but believes that by definition laws which are not in force, or applicable, do not regulate and/or control […], and therefore the original drafting covers the points raised in the input.</w:t>
      </w:r>
    </w:p>
    <w:p w:rsidR="00270C38" w:rsidRDefault="00270C38" w:rsidP="00223256">
      <w:pPr>
        <w:pStyle w:val="BodyText"/>
        <w:spacing w:before="0" w:beforeAutospacing="0" w:after="0" w:afterAutospacing="0"/>
        <w:rPr>
          <w:rFonts w:ascii="Calibri" w:hAnsi="Calibri" w:cs="Calibri"/>
        </w:rPr>
      </w:pPr>
    </w:p>
    <w:p w:rsidR="00270C38" w:rsidRDefault="00270C38" w:rsidP="00223256">
      <w:pPr>
        <w:pStyle w:val="BodyText"/>
        <w:spacing w:before="0" w:beforeAutospacing="0" w:after="0" w:afterAutospacing="0"/>
        <w:rPr>
          <w:rFonts w:ascii="Calibri" w:hAnsi="Calibri" w:cs="Calibri"/>
        </w:rPr>
      </w:pPr>
      <w:r>
        <w:rPr>
          <w:rFonts w:ascii="Calibri" w:hAnsi="Calibri" w:cs="Calibri"/>
        </w:rPr>
        <w:t>The WHOIS Review Team agrees that the definition is limited to privacy laws, and considered this point carefully.  On balance, and given the existing consensus policy relating to privacy laws, the WRT made a decision to draft the definition narrowly, on the basis that the core tension at the heart of the WHOIS service and policy is that between the contractual requirement to provide full and timely access to WHOIS data on the one hand, and local, national or regional laws on the other hand which require a data controller (whether registry, registrar or other entity within the WHOIS supply chain) to process personal data in a particular manner which may be inconsistent with the contractual requirement.  This is recognised in the consensus policy relating to WHOIS conflicts with privacy law.</w:t>
      </w:r>
    </w:p>
    <w:p w:rsidR="00270C38" w:rsidRDefault="00270C38" w:rsidP="00223256">
      <w:pPr>
        <w:pStyle w:val="BodyText"/>
        <w:spacing w:before="0" w:beforeAutospacing="0" w:after="0" w:afterAutospacing="0"/>
        <w:rPr>
          <w:rFonts w:ascii="Calibri" w:hAnsi="Calibri" w:cs="Calibri"/>
        </w:rPr>
      </w:pPr>
    </w:p>
    <w:p w:rsidR="00270C38" w:rsidRDefault="00270C38" w:rsidP="00223256">
      <w:pPr>
        <w:pStyle w:val="BodyText"/>
        <w:spacing w:before="0" w:beforeAutospacing="0" w:after="0" w:afterAutospacing="0"/>
        <w:rPr>
          <w:rFonts w:ascii="Calibri" w:hAnsi="Calibri" w:cs="Calibri"/>
        </w:rPr>
      </w:pPr>
      <w:r>
        <w:rPr>
          <w:rFonts w:ascii="Calibri" w:hAnsi="Calibri" w:cs="Calibri"/>
        </w:rPr>
        <w:t>The consensus policy does not define applicable laws, but is stated to detail how ICANN will respond to a</w:t>
      </w:r>
      <w:r w:rsidRPr="00B02FF0">
        <w:rPr>
          <w:rFonts w:ascii="Calibri" w:hAnsi="Calibri" w:cs="Calibri"/>
        </w:rPr>
        <w:t xml:space="preserve"> situation where a registrar/registry</w:t>
      </w:r>
      <w:bookmarkStart w:id="1" w:name="text5"/>
      <w:bookmarkEnd w:id="1"/>
      <w:r w:rsidRPr="00B02FF0">
        <w:rPr>
          <w:rFonts w:ascii="Calibri" w:hAnsi="Calibri" w:cs="Calibri"/>
        </w:rPr>
        <w:t xml:space="preserve"> indicates that it is legally prevented by local/national privacy laws or regulations from complying with the provisions of its ICANN contract regarding the collection, display and distribution of personal data via WHOIS.</w:t>
      </w:r>
    </w:p>
    <w:p w:rsidR="00270C38" w:rsidRDefault="00270C38" w:rsidP="00223256">
      <w:pPr>
        <w:pStyle w:val="BodyText"/>
        <w:spacing w:before="0" w:beforeAutospacing="0" w:after="0" w:afterAutospacing="0"/>
        <w:rPr>
          <w:rFonts w:ascii="Calibri" w:hAnsi="Calibri" w:cs="Calibri"/>
        </w:rPr>
      </w:pPr>
    </w:p>
    <w:p w:rsidR="00270C38" w:rsidRDefault="00270C38" w:rsidP="00223256">
      <w:pPr>
        <w:pStyle w:val="BodyText"/>
        <w:spacing w:before="0" w:beforeAutospacing="0" w:after="0" w:afterAutospacing="0"/>
        <w:rPr>
          <w:rFonts w:ascii="Calibri" w:hAnsi="Calibri" w:cs="Calibri"/>
        </w:rPr>
      </w:pPr>
      <w:r>
        <w:rPr>
          <w:rFonts w:ascii="Calibri" w:hAnsi="Calibri" w:cs="Calibri"/>
        </w:rPr>
        <w:t>Given that this document is a consensus policy, and the wording is slightly different from the WRT’s definition, the WRT on consideration believes that in the interests of consistency, the same wording should be adopted unless it is inappropriate to do so.</w:t>
      </w:r>
    </w:p>
    <w:p w:rsidR="00270C38" w:rsidRDefault="00270C38" w:rsidP="00223256">
      <w:pPr>
        <w:pStyle w:val="BodyText"/>
        <w:spacing w:before="0" w:beforeAutospacing="0" w:after="0" w:afterAutospacing="0"/>
        <w:rPr>
          <w:rFonts w:ascii="Calibri" w:hAnsi="Calibri" w:cs="Calibri"/>
        </w:rPr>
      </w:pPr>
    </w:p>
    <w:p w:rsidR="00270C38" w:rsidRDefault="00270C38" w:rsidP="00E543E7">
      <w:pPr>
        <w:pStyle w:val="BodyText"/>
        <w:spacing w:before="0" w:beforeAutospacing="0" w:after="0" w:afterAutospacing="0"/>
        <w:rPr>
          <w:rFonts w:ascii="Calibri" w:hAnsi="Calibri" w:cs="Calibri"/>
          <w:b/>
          <w:bCs/>
        </w:rPr>
      </w:pPr>
      <w:r>
        <w:rPr>
          <w:rFonts w:ascii="Calibri" w:hAnsi="Calibri" w:cs="Calibri"/>
          <w:b/>
          <w:bCs/>
        </w:rPr>
        <w:t>Updated definition.</w:t>
      </w:r>
    </w:p>
    <w:p w:rsidR="00270C38" w:rsidRPr="003D5128" w:rsidRDefault="00270C38" w:rsidP="00E543E7">
      <w:pPr>
        <w:spacing w:before="150" w:after="150" w:line="260" w:lineRule="atLeast"/>
        <w:rPr>
          <w:color w:val="000000"/>
          <w:lang w:eastAsia="en-GB"/>
        </w:rPr>
      </w:pPr>
      <w:r>
        <w:rPr>
          <w:color w:val="000000"/>
          <w:lang w:eastAsia="en-GB"/>
        </w:rPr>
        <w:t xml:space="preserve">Applicable laws includes any and all local and national </w:t>
      </w:r>
      <w:r w:rsidRPr="00AD7715">
        <w:rPr>
          <w:color w:val="000000"/>
          <w:lang w:eastAsia="en-GB"/>
        </w:rPr>
        <w:t xml:space="preserve">laws that regulate and/or control the collection, </w:t>
      </w:r>
      <w:r>
        <w:rPr>
          <w:color w:val="000000"/>
          <w:lang w:eastAsia="en-GB"/>
        </w:rPr>
        <w:t>display and distribution of personal data via WHOIS.</w:t>
      </w:r>
    </w:p>
    <w:p w:rsidR="00270C38" w:rsidRDefault="00270C38" w:rsidP="00223256">
      <w:pPr>
        <w:pStyle w:val="BodyText"/>
        <w:spacing w:before="0" w:beforeAutospacing="0" w:after="0" w:afterAutospacing="0"/>
        <w:rPr>
          <w:rFonts w:ascii="Calibri" w:hAnsi="Calibri" w:cs="Calibri"/>
        </w:rPr>
      </w:pPr>
    </w:p>
    <w:p w:rsidR="00270C38" w:rsidRDefault="00270C38" w:rsidP="00016827">
      <w:pPr>
        <w:pStyle w:val="ListParagraph"/>
        <w:numPr>
          <w:ilvl w:val="0"/>
          <w:numId w:val="6"/>
        </w:numPr>
        <w:rPr>
          <w:b/>
          <w:bCs/>
          <w:color w:val="000000"/>
          <w:kern w:val="36"/>
          <w:sz w:val="32"/>
          <w:szCs w:val="32"/>
          <w:u w:val="single"/>
        </w:rPr>
      </w:pPr>
      <w:r>
        <w:rPr>
          <w:b/>
          <w:bCs/>
          <w:color w:val="000000"/>
          <w:kern w:val="36"/>
          <w:sz w:val="32"/>
          <w:szCs w:val="32"/>
          <w:u w:val="single"/>
        </w:rPr>
        <w:t>Consumer and consumer trust</w:t>
      </w:r>
    </w:p>
    <w:p w:rsidR="00270C38" w:rsidRDefault="00270C38" w:rsidP="00016827">
      <w:pPr>
        <w:spacing w:before="150" w:after="150" w:line="260" w:lineRule="atLeast"/>
        <w:rPr>
          <w:color w:val="000000"/>
          <w:lang w:eastAsia="en-GB"/>
        </w:rPr>
      </w:pPr>
      <w:r>
        <w:rPr>
          <w:color w:val="000000"/>
          <w:lang w:eastAsia="en-GB"/>
        </w:rPr>
        <w:t>The WRT found the definitions of consumer and consumer trust extremely challenging to reach agreement on.  As a result, WRT went forward with two possible definitions of “consumer” as follows:</w:t>
      </w:r>
    </w:p>
    <w:p w:rsidR="00270C38" w:rsidRDefault="00270C38" w:rsidP="00016827">
      <w:pPr>
        <w:spacing w:before="150" w:after="150" w:line="260" w:lineRule="atLeast"/>
        <w:rPr>
          <w:color w:val="000000"/>
          <w:lang w:eastAsia="en-GB"/>
        </w:rPr>
      </w:pPr>
    </w:p>
    <w:p w:rsidR="00270C38" w:rsidRDefault="00270C38" w:rsidP="00016827">
      <w:pPr>
        <w:spacing w:before="150" w:after="150" w:line="260" w:lineRule="atLeast"/>
        <w:rPr>
          <w:i/>
          <w:iCs/>
          <w:color w:val="000000"/>
          <w:lang w:eastAsia="en-GB"/>
        </w:rPr>
      </w:pPr>
      <w:r w:rsidRPr="00412AB7">
        <w:rPr>
          <w:i/>
          <w:iCs/>
          <w:color w:val="000000"/>
          <w:lang w:eastAsia="en-GB"/>
        </w:rPr>
        <w:t>A:</w:t>
      </w:r>
      <w:r>
        <w:rPr>
          <w:i/>
          <w:iCs/>
          <w:color w:val="000000"/>
          <w:lang w:eastAsia="en-GB"/>
        </w:rPr>
        <w:t xml:space="preserve"> All Internet users including natural personal, commercial and non-commercial entities, government and academic entities.</w:t>
      </w:r>
    </w:p>
    <w:p w:rsidR="00270C38" w:rsidRDefault="00270C38" w:rsidP="00016827">
      <w:pPr>
        <w:spacing w:before="150" w:after="150" w:line="260" w:lineRule="atLeast"/>
        <w:rPr>
          <w:i/>
          <w:iCs/>
          <w:color w:val="000000"/>
          <w:lang w:eastAsia="en-GB"/>
        </w:rPr>
      </w:pPr>
      <w:r>
        <w:rPr>
          <w:color w:val="000000"/>
          <w:lang w:eastAsia="en-GB"/>
        </w:rPr>
        <w:t>Within the context of this review, a “consumer” with regard to WHOIS data and WHOIS Service may mean:</w:t>
      </w:r>
      <w:r>
        <w:rPr>
          <w:i/>
          <w:iCs/>
          <w:color w:val="000000"/>
          <w:lang w:eastAsia="en-GB"/>
        </w:rPr>
        <w:t xml:space="preserve"> </w:t>
      </w:r>
    </w:p>
    <w:p w:rsidR="00270C38" w:rsidRDefault="00270C38" w:rsidP="00016827">
      <w:pPr>
        <w:spacing w:before="150" w:after="150" w:line="260" w:lineRule="atLeast"/>
        <w:rPr>
          <w:i/>
          <w:iCs/>
          <w:color w:val="000000"/>
          <w:lang w:eastAsia="en-GB"/>
        </w:rPr>
      </w:pPr>
      <w:r>
        <w:rPr>
          <w:i/>
          <w:iCs/>
          <w:color w:val="000000"/>
          <w:lang w:eastAsia="en-GB"/>
        </w:rPr>
        <w:t>B: Any consumer that acts as a Producer of WHOIS data (see above), Maintainer of WHOIS data and provider of WHOIS Service (eg Registrars), or User of WHOIS data (eg individiuals, commercial or non-commercial entities who legitimately query the WHOIS data).</w:t>
      </w:r>
    </w:p>
    <w:p w:rsidR="00270C38" w:rsidRDefault="00270C38" w:rsidP="00016827">
      <w:pPr>
        <w:spacing w:before="150" w:after="150" w:line="260" w:lineRule="atLeast"/>
        <w:rPr>
          <w:color w:val="000000"/>
          <w:lang w:eastAsia="en-GB"/>
        </w:rPr>
      </w:pPr>
      <w:r>
        <w:rPr>
          <w:color w:val="000000"/>
          <w:lang w:eastAsia="en-GB"/>
        </w:rPr>
        <w:t xml:space="preserve">In general, the feedback noted that no Internet user was excluded by the definition A. A number of commentators were comfortable with this (eg </w:t>
      </w:r>
      <w:r>
        <w:rPr>
          <w:b/>
          <w:bCs/>
          <w:color w:val="000000"/>
          <w:lang w:eastAsia="en-GB"/>
        </w:rPr>
        <w:t xml:space="preserve">BC </w:t>
      </w:r>
      <w:r>
        <w:rPr>
          <w:color w:val="000000"/>
          <w:lang w:eastAsia="en-GB"/>
        </w:rPr>
        <w:t xml:space="preserve">and </w:t>
      </w:r>
      <w:r>
        <w:rPr>
          <w:b/>
          <w:bCs/>
          <w:color w:val="000000"/>
          <w:lang w:eastAsia="en-GB"/>
        </w:rPr>
        <w:t>IPC</w:t>
      </w:r>
      <w:r>
        <w:rPr>
          <w:color w:val="000000"/>
          <w:lang w:eastAsia="en-GB"/>
        </w:rPr>
        <w:t xml:space="preserve">), noting that a broad definition was “probably consistent with the intention of the AoC drafters”.  Others (eg </w:t>
      </w:r>
      <w:r>
        <w:rPr>
          <w:b/>
          <w:bCs/>
          <w:color w:val="000000"/>
          <w:lang w:eastAsia="en-GB"/>
        </w:rPr>
        <w:t>ECTA+M</w:t>
      </w:r>
      <w:r>
        <w:rPr>
          <w:color w:val="000000"/>
          <w:lang w:eastAsia="en-GB"/>
        </w:rPr>
        <w:t xml:space="preserve">) noted that the term “consumer” has acquired well-established and narrower meaning, ie “a person who purchases goods and services for personal uses”. </w:t>
      </w:r>
      <w:r>
        <w:rPr>
          <w:b/>
          <w:bCs/>
          <w:color w:val="000000"/>
          <w:lang w:eastAsia="en-GB"/>
        </w:rPr>
        <w:t>RrSG</w:t>
      </w:r>
      <w:r>
        <w:rPr>
          <w:color w:val="000000"/>
          <w:lang w:eastAsia="en-GB"/>
        </w:rPr>
        <w:t xml:space="preserve"> was also uncomfortable with a broad definition, and recommended that the term be narrowly construed.</w:t>
      </w:r>
    </w:p>
    <w:p w:rsidR="00270C38" w:rsidRDefault="00270C38" w:rsidP="00016827">
      <w:pPr>
        <w:spacing w:before="150" w:after="150" w:line="260" w:lineRule="atLeast"/>
        <w:rPr>
          <w:color w:val="000000"/>
          <w:lang w:eastAsia="en-GB"/>
        </w:rPr>
      </w:pPr>
      <w:r>
        <w:rPr>
          <w:color w:val="000000"/>
          <w:lang w:eastAsia="en-GB"/>
        </w:rPr>
        <w:t xml:space="preserve">In general, definition B was not found to be helpful by a number of those who gave public comment. Although </w:t>
      </w:r>
      <w:r>
        <w:rPr>
          <w:b/>
          <w:bCs/>
          <w:color w:val="000000"/>
          <w:lang w:eastAsia="en-GB"/>
        </w:rPr>
        <w:t>RrSG</w:t>
      </w:r>
      <w:r>
        <w:rPr>
          <w:color w:val="000000"/>
          <w:lang w:eastAsia="en-GB"/>
        </w:rPr>
        <w:t xml:space="preserve"> urged to construe the term consumer, and consumer trust “narrowly in terms of WHOIS specifically”, </w:t>
      </w:r>
      <w:r>
        <w:rPr>
          <w:b/>
          <w:bCs/>
          <w:color w:val="000000"/>
          <w:lang w:eastAsia="en-GB"/>
        </w:rPr>
        <w:t xml:space="preserve">IPC </w:t>
      </w:r>
      <w:r>
        <w:rPr>
          <w:color w:val="000000"/>
          <w:lang w:eastAsia="en-GB"/>
        </w:rPr>
        <w:t>stated that the definition “should not be limited to WHOIS users”.</w:t>
      </w:r>
    </w:p>
    <w:p w:rsidR="00270C38" w:rsidRDefault="00270C38" w:rsidP="00016827">
      <w:pPr>
        <w:spacing w:before="150" w:after="150" w:line="260" w:lineRule="atLeast"/>
        <w:rPr>
          <w:color w:val="000000"/>
          <w:lang w:eastAsia="en-GB"/>
        </w:rPr>
      </w:pPr>
      <w:r>
        <w:rPr>
          <w:color w:val="000000"/>
          <w:lang w:eastAsia="en-GB"/>
        </w:rPr>
        <w:t>The issue of whether to define consumer trust as meaning trust in the WHOIS (narrow) or trust in the Internet as a whole, with a focus on the part played by the WHOIS (broad) remains divisive – both amongst the commentators and within the WRT itself.</w:t>
      </w:r>
    </w:p>
    <w:p w:rsidR="00270C38" w:rsidRDefault="00270C38" w:rsidP="00016827">
      <w:pPr>
        <w:spacing w:before="150" w:after="150" w:line="260" w:lineRule="atLeast"/>
        <w:rPr>
          <w:color w:val="000000"/>
          <w:lang w:eastAsia="en-GB"/>
        </w:rPr>
      </w:pPr>
      <w:r>
        <w:rPr>
          <w:color w:val="000000"/>
          <w:lang w:eastAsia="en-GB"/>
        </w:rPr>
        <w:t>Comments made in public meetings (San Francisco) highlighted that the WRT should consider the impact of the definitions when taken together.</w:t>
      </w:r>
    </w:p>
    <w:p w:rsidR="00270C38" w:rsidRPr="003720AD" w:rsidRDefault="00270C38" w:rsidP="00016827">
      <w:pPr>
        <w:spacing w:before="150" w:after="150" w:line="260" w:lineRule="atLeast"/>
        <w:rPr>
          <w:color w:val="000000"/>
          <w:lang w:eastAsia="en-GB"/>
        </w:rPr>
      </w:pPr>
      <w:r>
        <w:rPr>
          <w:color w:val="000000"/>
          <w:lang w:eastAsia="en-GB"/>
        </w:rPr>
        <w:t xml:space="preserve">One of the impacts of defining both “consumer” and “law enforcement” narrowly is that to do so would exclude from the ambit of the AoC a stakeholder group who rely on WHOIS information to enforce private law rights, or in some cases assist law enforcement agencies in combating online fraud.  The WRT is doubtful that this was the intention of the AoC drafters.  In the WRT’s view, it is more appropriate to view such stakeholders as “consumers” of WHOIS services rather than as “law enforcement” (even though, on one view, they are enforcing laws).  </w:t>
      </w:r>
    </w:p>
    <w:p w:rsidR="00270C38" w:rsidRDefault="00270C38" w:rsidP="00016827">
      <w:pPr>
        <w:spacing w:before="150" w:after="150" w:line="260" w:lineRule="atLeast"/>
        <w:rPr>
          <w:color w:val="000000"/>
          <w:lang w:eastAsia="en-GB"/>
        </w:rPr>
      </w:pPr>
      <w:r>
        <w:rPr>
          <w:color w:val="000000"/>
          <w:lang w:eastAsia="en-GB"/>
        </w:rPr>
        <w:t>Having considered the feedback carefully, the WRT adopts the first, broad definition of consumer.  It notes the different levels in the WHOIS supply chain, and has produced a “WHOIS service” lifecycle [ include SSAC paper] to attempt to use terms in a consistent way.</w:t>
      </w:r>
    </w:p>
    <w:p w:rsidR="00270C38" w:rsidRPr="00016827" w:rsidRDefault="00270C38" w:rsidP="00016827">
      <w:pPr>
        <w:spacing w:before="150" w:after="150" w:line="260" w:lineRule="atLeast"/>
        <w:rPr>
          <w:color w:val="000000"/>
          <w:lang w:eastAsia="en-GB"/>
        </w:rPr>
      </w:pPr>
      <w:r>
        <w:rPr>
          <w:color w:val="000000"/>
          <w:lang w:eastAsia="en-GB"/>
        </w:rPr>
        <w:t>The concept of consumer trust remained problematic, and WRT’s response was (as advised by [ ] feedback) was to reach outside of the ICANN community, and engage third party researchers to conduct multi-country research on the issue of consumer trust in the Internet with reference to WHOIS.  The research, and its results, are covered at [ ].</w:t>
      </w:r>
    </w:p>
    <w:p w:rsidR="00270C38" w:rsidRPr="00016827" w:rsidRDefault="00270C38" w:rsidP="00016827">
      <w:pPr>
        <w:rPr>
          <w:b/>
          <w:bCs/>
          <w:color w:val="000000"/>
          <w:kern w:val="36"/>
          <w:sz w:val="32"/>
          <w:szCs w:val="32"/>
          <w:u w:val="single"/>
        </w:rPr>
      </w:pPr>
    </w:p>
    <w:p w:rsidR="00270C38" w:rsidRPr="001D3016" w:rsidRDefault="00270C38" w:rsidP="001D3016">
      <w:pPr>
        <w:pStyle w:val="ListParagraph"/>
        <w:numPr>
          <w:ilvl w:val="0"/>
          <w:numId w:val="6"/>
        </w:numPr>
        <w:rPr>
          <w:b/>
          <w:bCs/>
          <w:color w:val="000000"/>
          <w:kern w:val="36"/>
          <w:sz w:val="32"/>
          <w:szCs w:val="32"/>
          <w:u w:val="single"/>
        </w:rPr>
      </w:pPr>
      <w:commentRangeStart w:id="2"/>
      <w:r w:rsidRPr="001D3016">
        <w:rPr>
          <w:b/>
          <w:bCs/>
          <w:color w:val="000000"/>
          <w:kern w:val="36"/>
          <w:sz w:val="32"/>
          <w:szCs w:val="32"/>
          <w:u w:val="single"/>
        </w:rPr>
        <w:t>Producers</w:t>
      </w:r>
      <w:commentRangeEnd w:id="2"/>
      <w:r>
        <w:rPr>
          <w:rStyle w:val="CommentReference"/>
        </w:rPr>
        <w:commentReference w:id="2"/>
      </w:r>
      <w:r w:rsidRPr="001D3016">
        <w:rPr>
          <w:b/>
          <w:bCs/>
          <w:color w:val="000000"/>
          <w:kern w:val="36"/>
          <w:sz w:val="32"/>
          <w:szCs w:val="32"/>
          <w:u w:val="single"/>
        </w:rPr>
        <w:t xml:space="preserve"> and Maintainers</w:t>
      </w:r>
    </w:p>
    <w:p w:rsidR="00270C38" w:rsidRPr="00AD7715" w:rsidRDefault="00270C38" w:rsidP="008A2CFB">
      <w:pPr>
        <w:spacing w:before="150" w:after="150" w:line="260" w:lineRule="atLeast"/>
        <w:rPr>
          <w:color w:val="000000"/>
          <w:lang w:eastAsia="en-GB"/>
        </w:rPr>
      </w:pPr>
      <w:r w:rsidRPr="00AD7715">
        <w:rPr>
          <w:b/>
          <w:bCs/>
          <w:color w:val="FF0000"/>
          <w:lang w:eastAsia="en-GB"/>
        </w:rPr>
        <w:t>Definitions (approved 2 March 2011):</w:t>
      </w:r>
    </w:p>
    <w:p w:rsidR="00270C38" w:rsidRPr="00D77AE4" w:rsidRDefault="00270C38" w:rsidP="008A2CFB">
      <w:pPr>
        <w:spacing w:before="150" w:after="150" w:line="260" w:lineRule="atLeast"/>
        <w:rPr>
          <w:color w:val="000000"/>
          <w:lang w:eastAsia="en-GB"/>
        </w:rPr>
      </w:pPr>
      <w:r w:rsidRPr="00D77AE4">
        <w:rPr>
          <w:color w:val="000000"/>
          <w:lang w:eastAsia="en-GB"/>
        </w:rPr>
        <w:t>A.   Producers:  The individuals or organizations supplying contact data for inclusion into WHOIS data.</w:t>
      </w:r>
    </w:p>
    <w:p w:rsidR="00270C38" w:rsidRPr="00D77AE4" w:rsidRDefault="00270C38" w:rsidP="008A2CFB">
      <w:pPr>
        <w:spacing w:before="150" w:after="150" w:line="260" w:lineRule="atLeast"/>
        <w:rPr>
          <w:color w:val="000000"/>
          <w:lang w:eastAsia="en-GB"/>
        </w:rPr>
      </w:pPr>
      <w:r w:rsidRPr="00D77AE4">
        <w:rPr>
          <w:color w:val="000000"/>
          <w:lang w:eastAsia="en-GB"/>
        </w:rPr>
        <w:t>B.    Maintainers: The WHOIS Review Team proposes to subdivide this category in to:</w:t>
      </w:r>
    </w:p>
    <w:p w:rsidR="00270C38" w:rsidRPr="00D77AE4" w:rsidRDefault="00270C38" w:rsidP="008A2CFB">
      <w:pPr>
        <w:spacing w:before="150" w:after="150" w:line="260" w:lineRule="atLeast"/>
        <w:rPr>
          <w:color w:val="000000"/>
          <w:lang w:eastAsia="en-GB"/>
        </w:rPr>
      </w:pPr>
      <w:r w:rsidRPr="00D77AE4">
        <w:rPr>
          <w:color w:val="000000"/>
          <w:lang w:eastAsia="en-GB"/>
        </w:rPr>
        <w:t>* Data Controllers:  Individuals or organizations that define the data to be collected, require its release, and govern its use.  May or may not be directly involved in these functions.</w:t>
      </w:r>
    </w:p>
    <w:p w:rsidR="00270C38" w:rsidRPr="00D77AE4" w:rsidRDefault="00270C38" w:rsidP="008A2CFB">
      <w:pPr>
        <w:spacing w:before="150" w:after="150" w:line="260" w:lineRule="atLeast"/>
        <w:rPr>
          <w:color w:val="000000"/>
          <w:lang w:eastAsia="en-GB"/>
        </w:rPr>
      </w:pPr>
      <w:r w:rsidRPr="00D77AE4">
        <w:rPr>
          <w:color w:val="000000"/>
          <w:lang w:eastAsia="en-GB"/>
        </w:rPr>
        <w:t>*  Data Processors:  Individuals or organizations engaged in the collection, storage, and release of data, according to the terms defined by the Data Controller.  They do -not- determine the nature or use of the data that they collect or maintain.</w:t>
      </w:r>
    </w:p>
    <w:p w:rsidR="00270C38" w:rsidRPr="00D77AE4" w:rsidRDefault="00270C38" w:rsidP="008A2CFB">
      <w:pPr>
        <w:spacing w:before="150" w:after="150" w:line="260" w:lineRule="atLeast"/>
        <w:rPr>
          <w:color w:val="000000"/>
          <w:lang w:eastAsia="en-GB"/>
        </w:rPr>
      </w:pPr>
    </w:p>
    <w:p w:rsidR="00270C38" w:rsidRPr="00D77AE4" w:rsidRDefault="00270C38" w:rsidP="008A2CFB">
      <w:pPr>
        <w:spacing w:before="150" w:after="150" w:line="260" w:lineRule="atLeast"/>
        <w:rPr>
          <w:b/>
          <w:bCs/>
          <w:color w:val="000000"/>
          <w:lang w:eastAsia="en-GB"/>
        </w:rPr>
      </w:pPr>
      <w:r w:rsidRPr="00D77AE4">
        <w:rPr>
          <w:b/>
          <w:bCs/>
          <w:color w:val="000000"/>
          <w:lang w:eastAsia="en-GB"/>
        </w:rPr>
        <w:t>Overview of Received Comments</w:t>
      </w:r>
      <w:r w:rsidRPr="00D77AE4">
        <w:rPr>
          <w:rStyle w:val="FootnoteReference"/>
          <w:b/>
          <w:bCs/>
          <w:color w:val="000000"/>
          <w:lang w:eastAsia="en-GB"/>
        </w:rPr>
        <w:footnoteReference w:id="2"/>
      </w:r>
      <w:r w:rsidRPr="00D77AE4">
        <w:rPr>
          <w:b/>
          <w:bCs/>
          <w:color w:val="000000"/>
          <w:lang w:eastAsia="en-GB"/>
        </w:rPr>
        <w:t xml:space="preserve">: </w:t>
      </w:r>
    </w:p>
    <w:p w:rsidR="00270C38" w:rsidRPr="00D77AE4" w:rsidRDefault="00270C38" w:rsidP="008A2CFB">
      <w:pPr>
        <w:spacing w:before="150" w:after="150" w:line="260" w:lineRule="atLeast"/>
        <w:rPr>
          <w:color w:val="000000"/>
          <w:lang w:eastAsia="en-GB"/>
        </w:rPr>
      </w:pPr>
      <w:r w:rsidRPr="00D77AE4">
        <w:rPr>
          <w:color w:val="000000"/>
          <w:lang w:eastAsia="en-GB"/>
        </w:rPr>
        <w:t>Five parties provided feedback.</w:t>
      </w:r>
    </w:p>
    <w:p w:rsidR="00270C38" w:rsidRPr="00D77AE4" w:rsidRDefault="00270C38" w:rsidP="008A2CFB">
      <w:pPr>
        <w:spacing w:before="150" w:after="150" w:line="260" w:lineRule="atLeast"/>
        <w:rPr>
          <w:color w:val="000000"/>
          <w:lang w:eastAsia="en-GB"/>
        </w:rPr>
      </w:pPr>
      <w:r w:rsidRPr="00D77AE4">
        <w:rPr>
          <w:color w:val="000000"/>
          <w:lang w:eastAsia="en-GB"/>
        </w:rPr>
        <w:t>Two groups support the definitions given</w:t>
      </w:r>
      <w:r>
        <w:rPr>
          <w:color w:val="000000"/>
          <w:lang w:eastAsia="en-GB"/>
        </w:rPr>
        <w:t xml:space="preserve"> </w:t>
      </w:r>
      <w:r>
        <w:rPr>
          <w:b/>
          <w:bCs/>
          <w:color w:val="000000"/>
          <w:lang w:eastAsia="en-GB"/>
        </w:rPr>
        <w:t>(BC &amp; RSG)</w:t>
      </w:r>
      <w:r w:rsidRPr="00D77AE4">
        <w:rPr>
          <w:color w:val="000000"/>
          <w:lang w:eastAsia="en-GB"/>
        </w:rPr>
        <w:t xml:space="preserve">. </w:t>
      </w:r>
    </w:p>
    <w:p w:rsidR="00270C38" w:rsidRPr="00D77AE4" w:rsidRDefault="00270C38" w:rsidP="008A2CFB">
      <w:pPr>
        <w:spacing w:before="150" w:after="150" w:line="260" w:lineRule="atLeast"/>
        <w:rPr>
          <w:color w:val="000000"/>
          <w:lang w:eastAsia="en-GB"/>
        </w:rPr>
      </w:pPr>
      <w:r w:rsidRPr="00D77AE4">
        <w:rPr>
          <w:color w:val="000000"/>
          <w:lang w:eastAsia="en-GB"/>
        </w:rPr>
        <w:t>In other comments; there is a question as to whether definitions of these terms are needed, given that they are not referred to in the AoC, the WHOIS RT Scope or the WHOIS RT Roadmap</w:t>
      </w:r>
      <w:r>
        <w:rPr>
          <w:color w:val="000000"/>
          <w:lang w:eastAsia="en-GB"/>
        </w:rPr>
        <w:t xml:space="preserve"> </w:t>
      </w:r>
      <w:r>
        <w:rPr>
          <w:b/>
          <w:bCs/>
          <w:color w:val="000000"/>
          <w:lang w:eastAsia="en-GB"/>
        </w:rPr>
        <w:t>(IPC)</w:t>
      </w:r>
      <w:r w:rsidRPr="00D77AE4">
        <w:rPr>
          <w:color w:val="000000"/>
          <w:lang w:eastAsia="en-GB"/>
        </w:rPr>
        <w:t xml:space="preserve">. </w:t>
      </w:r>
    </w:p>
    <w:p w:rsidR="00270C38" w:rsidRPr="00D77AE4" w:rsidRDefault="00270C38" w:rsidP="008A2CFB">
      <w:pPr>
        <w:spacing w:before="150" w:after="150" w:line="260" w:lineRule="atLeast"/>
        <w:rPr>
          <w:color w:val="000000"/>
          <w:lang w:eastAsia="en-GB"/>
        </w:rPr>
      </w:pPr>
      <w:r w:rsidRPr="00D77AE4">
        <w:rPr>
          <w:color w:val="000000"/>
          <w:lang w:eastAsia="en-GB"/>
        </w:rPr>
        <w:t xml:space="preserve">The definition of ‘producers' does not recognise the </w:t>
      </w:r>
      <w:commentRangeStart w:id="3"/>
      <w:r w:rsidRPr="00D77AE4">
        <w:rPr>
          <w:color w:val="000000"/>
          <w:lang w:eastAsia="en-GB"/>
        </w:rPr>
        <w:t>different parties that may fill this role</w:t>
      </w:r>
      <w:commentRangeEnd w:id="3"/>
      <w:r>
        <w:rPr>
          <w:rStyle w:val="CommentReference"/>
        </w:rPr>
        <w:commentReference w:id="3"/>
      </w:r>
      <w:r w:rsidRPr="00D77AE4">
        <w:rPr>
          <w:color w:val="000000"/>
          <w:lang w:eastAsia="en-GB"/>
        </w:rPr>
        <w:t>, and their differing objectives / perspective which may have an impact</w:t>
      </w:r>
      <w:r>
        <w:rPr>
          <w:color w:val="000000"/>
          <w:lang w:eastAsia="en-GB"/>
        </w:rPr>
        <w:t xml:space="preserve"> </w:t>
      </w:r>
      <w:r>
        <w:rPr>
          <w:b/>
          <w:bCs/>
          <w:color w:val="000000"/>
          <w:lang w:eastAsia="en-GB"/>
        </w:rPr>
        <w:t>(CAUCE &amp; ECTA+M)</w:t>
      </w:r>
      <w:r w:rsidRPr="00D77AE4">
        <w:rPr>
          <w:color w:val="000000"/>
          <w:lang w:eastAsia="en-GB"/>
        </w:rPr>
        <w:t xml:space="preserve">. </w:t>
      </w:r>
    </w:p>
    <w:p w:rsidR="00270C38" w:rsidRPr="00D77AE4" w:rsidRDefault="00270C38" w:rsidP="008A2CFB">
      <w:pPr>
        <w:spacing w:before="150" w:after="150" w:line="260" w:lineRule="atLeast"/>
        <w:rPr>
          <w:color w:val="000000"/>
          <w:lang w:eastAsia="en-GB"/>
        </w:rPr>
      </w:pPr>
      <w:commentRangeStart w:id="4"/>
      <w:r w:rsidRPr="00D77AE4">
        <w:rPr>
          <w:color w:val="000000"/>
          <w:lang w:eastAsia="en-GB"/>
        </w:rPr>
        <w:t>The inclusion of ‘may or may not be directly involved…’ in the definition of ‘maintainers’ has led to some confusion, and again it was felt that roles within the definition may have been grouped too generally. It was also felt that the use of terms from EU data protection legislation may confuse some parties</w:t>
      </w:r>
      <w:r>
        <w:rPr>
          <w:color w:val="000000"/>
          <w:lang w:eastAsia="en-GB"/>
        </w:rPr>
        <w:t xml:space="preserve"> </w:t>
      </w:r>
      <w:r>
        <w:rPr>
          <w:b/>
          <w:bCs/>
          <w:color w:val="000000"/>
          <w:lang w:eastAsia="en-GB"/>
        </w:rPr>
        <w:t xml:space="preserve"> (CAUCE)</w:t>
      </w:r>
      <w:r w:rsidRPr="00D77AE4">
        <w:rPr>
          <w:color w:val="000000"/>
          <w:lang w:eastAsia="en-GB"/>
        </w:rPr>
        <w:t xml:space="preserve">. </w:t>
      </w:r>
    </w:p>
    <w:p w:rsidR="00270C38" w:rsidRPr="00D77AE4" w:rsidRDefault="00270C38" w:rsidP="008A2CFB">
      <w:pPr>
        <w:spacing w:before="150" w:after="150" w:line="260" w:lineRule="atLeast"/>
        <w:rPr>
          <w:color w:val="000000"/>
          <w:lang w:eastAsia="en-GB"/>
        </w:rPr>
      </w:pPr>
      <w:r w:rsidRPr="00D77AE4">
        <w:rPr>
          <w:color w:val="000000"/>
          <w:lang w:eastAsia="en-GB"/>
        </w:rPr>
        <w:t>The team also need to recognise that EU data protection rules apply only to individuals; businesses and organisations do not generally have a right to privacy</w:t>
      </w:r>
      <w:r>
        <w:rPr>
          <w:color w:val="000000"/>
          <w:lang w:eastAsia="en-GB"/>
        </w:rPr>
        <w:t xml:space="preserve"> </w:t>
      </w:r>
      <w:r>
        <w:rPr>
          <w:b/>
          <w:bCs/>
          <w:color w:val="000000"/>
          <w:lang w:eastAsia="en-GB"/>
        </w:rPr>
        <w:t>(ECTA+M)</w:t>
      </w:r>
      <w:r w:rsidRPr="00D77AE4">
        <w:rPr>
          <w:color w:val="000000"/>
          <w:lang w:eastAsia="en-GB"/>
        </w:rPr>
        <w:t xml:space="preserve">. </w:t>
      </w:r>
    </w:p>
    <w:commentRangeEnd w:id="4"/>
    <w:p w:rsidR="00270C38" w:rsidRPr="001D3016" w:rsidRDefault="00270C38" w:rsidP="001D3016">
      <w:pPr>
        <w:pStyle w:val="ListParagraph"/>
        <w:numPr>
          <w:ilvl w:val="0"/>
          <w:numId w:val="6"/>
        </w:numPr>
        <w:rPr>
          <w:b/>
          <w:bCs/>
          <w:color w:val="000000"/>
          <w:kern w:val="36"/>
          <w:sz w:val="32"/>
          <w:szCs w:val="32"/>
          <w:u w:val="single"/>
        </w:rPr>
      </w:pPr>
      <w:r>
        <w:rPr>
          <w:rStyle w:val="CommentReference"/>
        </w:rPr>
        <w:commentReference w:id="4"/>
      </w:r>
      <w:r w:rsidRPr="001D3016">
        <w:rPr>
          <w:b/>
          <w:bCs/>
          <w:color w:val="000000"/>
          <w:kern w:val="36"/>
          <w:sz w:val="32"/>
          <w:szCs w:val="32"/>
          <w:u w:val="single"/>
        </w:rPr>
        <w:t>Law enforcement</w:t>
      </w:r>
    </w:p>
    <w:p w:rsidR="00270C38" w:rsidRPr="00145568" w:rsidRDefault="00270C38" w:rsidP="008A2CFB">
      <w:pPr>
        <w:spacing w:before="150" w:after="150" w:line="260" w:lineRule="atLeast"/>
        <w:rPr>
          <w:color w:val="000000"/>
          <w:lang w:eastAsia="en-GB"/>
        </w:rPr>
      </w:pPr>
      <w:r w:rsidRPr="00145568">
        <w:rPr>
          <w:b/>
          <w:bCs/>
          <w:color w:val="FF0000"/>
          <w:lang w:eastAsia="en-GB"/>
        </w:rPr>
        <w:t>Definition (adopted on March 2)</w:t>
      </w:r>
    </w:p>
    <w:p w:rsidR="00270C38" w:rsidRPr="00145568" w:rsidRDefault="00270C38" w:rsidP="008A2CFB">
      <w:pPr>
        <w:spacing w:before="150" w:after="150" w:line="260" w:lineRule="atLeast"/>
        <w:rPr>
          <w:color w:val="000000"/>
          <w:lang w:eastAsia="en-GB"/>
        </w:rPr>
      </w:pPr>
      <w:r w:rsidRPr="00145568">
        <w:rPr>
          <w:color w:val="000000"/>
          <w:lang w:eastAsia="en-GB"/>
        </w:rPr>
        <w:t>Law Enforcement shall be considered to be an entity authorized by a government and whose responsibilities include the maintenance, co-ordination, or enforcement of laws, multi-national treaty or government-imposed legal obligations.</w:t>
      </w:r>
    </w:p>
    <w:p w:rsidR="00270C38" w:rsidRPr="00145568" w:rsidRDefault="00270C38" w:rsidP="008A2CFB">
      <w:pPr>
        <w:spacing w:before="150" w:after="150" w:line="260" w:lineRule="atLeast"/>
        <w:rPr>
          <w:color w:val="000000"/>
          <w:lang w:eastAsia="en-GB"/>
        </w:rPr>
      </w:pPr>
      <w:r w:rsidRPr="00145568">
        <w:rPr>
          <w:b/>
          <w:bCs/>
          <w:color w:val="000000"/>
          <w:lang w:eastAsia="en-GB"/>
        </w:rPr>
        <w:t>Examples</w:t>
      </w:r>
    </w:p>
    <w:tbl>
      <w:tblPr>
        <w:tblW w:w="0" w:type="auto"/>
        <w:tblInd w:w="2" w:type="dxa"/>
        <w:tblCellMar>
          <w:left w:w="0" w:type="dxa"/>
          <w:right w:w="0" w:type="dxa"/>
        </w:tblCellMar>
        <w:tblLook w:val="00A0"/>
      </w:tblPr>
      <w:tblGrid>
        <w:gridCol w:w="3941"/>
        <w:gridCol w:w="3368"/>
      </w:tblGrid>
      <w:tr w:rsidR="00270C38" w:rsidRPr="00145568">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tcPr>
          <w:p w:rsidR="00270C38" w:rsidRPr="00145568" w:rsidRDefault="00270C38" w:rsidP="008A2CFB">
            <w:pPr>
              <w:spacing w:before="75" w:after="75" w:line="260" w:lineRule="atLeast"/>
              <w:rPr>
                <w:b/>
                <w:bCs/>
                <w:color w:val="000000"/>
                <w:lang w:eastAsia="en-GB"/>
              </w:rPr>
            </w:pPr>
            <w:r w:rsidRPr="00145568">
              <w:rPr>
                <w:b/>
                <w:bCs/>
                <w:color w:val="000000"/>
                <w:lang w:eastAsia="en-GB"/>
              </w:rPr>
              <w:t xml:space="preserve">Included </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tcPr>
          <w:p w:rsidR="00270C38" w:rsidRPr="00145568" w:rsidRDefault="00270C38" w:rsidP="008A2CFB">
            <w:pPr>
              <w:spacing w:before="75" w:after="75" w:line="260" w:lineRule="atLeast"/>
              <w:rPr>
                <w:b/>
                <w:bCs/>
                <w:color w:val="000000"/>
                <w:lang w:eastAsia="en-GB"/>
              </w:rPr>
            </w:pPr>
            <w:r w:rsidRPr="00145568">
              <w:rPr>
                <w:b/>
                <w:bCs/>
                <w:color w:val="000000"/>
                <w:lang w:eastAsia="en-GB"/>
              </w:rPr>
              <w:t xml:space="preserve">Excluded </w:t>
            </w:r>
          </w:p>
        </w:tc>
      </w:tr>
      <w:tr w:rsidR="00270C38"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Government executive agency (like police)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Lawyers </w:t>
            </w:r>
          </w:p>
        </w:tc>
      </w:tr>
      <w:tr w:rsidR="00270C38"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Secret service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Intellectual Property industry </w:t>
            </w:r>
          </w:p>
        </w:tc>
      </w:tr>
      <w:tr w:rsidR="00270C38"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Military intelligence service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Abuse fighters </w:t>
            </w:r>
          </w:p>
        </w:tc>
      </w:tr>
      <w:tr w:rsidR="00270C38"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Regulatory authority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Network Operator </w:t>
            </w:r>
          </w:p>
        </w:tc>
      </w:tr>
      <w:tr w:rsidR="00270C38"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270C38" w:rsidRPr="00145568" w:rsidRDefault="00270C38" w:rsidP="008A2CFB">
            <w:pPr>
              <w:spacing w:before="75" w:after="75" w:line="260" w:lineRule="atLeast"/>
              <w:rPr>
                <w:color w:val="000000"/>
                <w:lang w:eastAsia="en-GB"/>
              </w:rPr>
            </w:pPr>
            <w:r w:rsidRPr="00145568">
              <w:rPr>
                <w:color w:val="000000"/>
                <w:lang w:eastAsia="en-GB"/>
              </w:rPr>
              <w:t xml:space="preserve">Private or commercial organisations </w:t>
            </w:r>
          </w:p>
        </w:tc>
      </w:tr>
    </w:tbl>
    <w:p w:rsidR="00270C38" w:rsidRPr="00145568" w:rsidRDefault="00270C38" w:rsidP="008A2CFB"/>
    <w:p w:rsidR="00270C38" w:rsidRPr="00145568" w:rsidRDefault="00270C38" w:rsidP="001D3016">
      <w:pPr>
        <w:spacing w:before="150" w:after="150" w:line="260" w:lineRule="atLeast"/>
        <w:rPr>
          <w:b/>
          <w:bCs/>
          <w:color w:val="000000"/>
          <w:lang w:eastAsia="en-GB"/>
        </w:rPr>
      </w:pPr>
      <w:r w:rsidRPr="00145568">
        <w:rPr>
          <w:b/>
          <w:bCs/>
          <w:color w:val="000000"/>
          <w:lang w:eastAsia="en-GB"/>
        </w:rPr>
        <w:t>Overview of Received Comments</w:t>
      </w:r>
      <w:r w:rsidRPr="00145568">
        <w:rPr>
          <w:rStyle w:val="FootnoteReference"/>
          <w:b/>
          <w:bCs/>
          <w:color w:val="000000"/>
          <w:lang w:eastAsia="en-GB"/>
        </w:rPr>
        <w:footnoteReference w:id="3"/>
      </w:r>
      <w:r w:rsidRPr="00145568">
        <w:rPr>
          <w:b/>
          <w:bCs/>
          <w:color w:val="000000"/>
          <w:lang w:eastAsia="en-GB"/>
        </w:rPr>
        <w:t xml:space="preserve">: </w:t>
      </w:r>
    </w:p>
    <w:p w:rsidR="00270C38" w:rsidRPr="00145568" w:rsidRDefault="00270C38" w:rsidP="008A2CFB">
      <w:r w:rsidRPr="00145568">
        <w:t xml:space="preserve">Six parties provided feedback. </w:t>
      </w:r>
    </w:p>
    <w:p w:rsidR="00270C38" w:rsidRPr="00145568" w:rsidRDefault="00270C38" w:rsidP="000445F7">
      <w:pPr>
        <w:pStyle w:val="BodyText"/>
        <w:spacing w:before="0" w:beforeAutospacing="0" w:after="0" w:afterAutospacing="0"/>
        <w:rPr>
          <w:rFonts w:ascii="Calibri" w:hAnsi="Calibri" w:cs="Calibri"/>
        </w:rPr>
      </w:pPr>
      <w:r w:rsidRPr="00145568">
        <w:rPr>
          <w:rFonts w:ascii="Calibri" w:hAnsi="Calibri" w:cs="Calibri"/>
        </w:rPr>
        <w:t>One group supports the definition as it stands</w:t>
      </w:r>
      <w:r>
        <w:rPr>
          <w:rFonts w:ascii="Calibri" w:hAnsi="Calibri" w:cs="Calibri"/>
        </w:rPr>
        <w:t xml:space="preserve"> </w:t>
      </w:r>
      <w:r>
        <w:rPr>
          <w:rFonts w:ascii="Calibri" w:hAnsi="Calibri" w:cs="Calibri"/>
          <w:b/>
          <w:bCs/>
        </w:rPr>
        <w:t>(BC)</w:t>
      </w:r>
      <w:r w:rsidRPr="00145568">
        <w:rPr>
          <w:rFonts w:ascii="Calibri" w:hAnsi="Calibri" w:cs="Calibri"/>
        </w:rPr>
        <w:t xml:space="preserve">.  </w:t>
      </w:r>
    </w:p>
    <w:p w:rsidR="00270C38" w:rsidRPr="00145568" w:rsidRDefault="00270C38" w:rsidP="008A2CFB"/>
    <w:p w:rsidR="00270C38" w:rsidRPr="00145568" w:rsidRDefault="00270C38" w:rsidP="008A2CFB">
      <w:pPr>
        <w:rPr>
          <w:b/>
          <w:bCs/>
        </w:rPr>
      </w:pPr>
      <w:r w:rsidRPr="00145568">
        <w:t>In other comments; it was felt the definition was too broad, with no distinction being made between sworn officials and individuals working for private enterprise. There were also questions around whether intelligence services and military services should be included</w:t>
      </w:r>
      <w:r>
        <w:t xml:space="preserve"> </w:t>
      </w:r>
      <w:r>
        <w:rPr>
          <w:b/>
          <w:bCs/>
        </w:rPr>
        <w:t>(CAUCE)</w:t>
      </w:r>
      <w:r w:rsidRPr="00145568">
        <w:t>. Additionally,  the concept of</w:t>
      </w:r>
      <w:r>
        <w:t xml:space="preserve"> civil proceedings was raised – would parties involved in those be classed as law enforcement if they are enforcing law? </w:t>
      </w:r>
      <w:r>
        <w:rPr>
          <w:b/>
          <w:bCs/>
        </w:rPr>
        <w:t>(ECTA+M)</w:t>
      </w:r>
    </w:p>
    <w:p w:rsidR="00270C38" w:rsidRDefault="00270C38" w:rsidP="008A2CFB">
      <w:r>
        <w:t xml:space="preserve">One party stated they could not comment on the definition until they knew what access LE would get </w:t>
      </w:r>
      <w:r>
        <w:rPr>
          <w:b/>
          <w:bCs/>
        </w:rPr>
        <w:t>(RG)</w:t>
      </w:r>
      <w:r>
        <w:t xml:space="preserve">. </w:t>
      </w:r>
    </w:p>
    <w:p w:rsidR="00270C38" w:rsidRDefault="00270C38" w:rsidP="008A2CFB">
      <w:r>
        <w:t xml:space="preserve">An alternative definition was suggested: </w:t>
      </w:r>
    </w:p>
    <w:p w:rsidR="00270C38" w:rsidRDefault="00270C38" w:rsidP="008A2CFB">
      <w:pPr>
        <w:rPr>
          <w:b/>
          <w:bCs/>
        </w:rPr>
      </w:pPr>
      <w:r>
        <w:rPr>
          <w:i/>
          <w:iCs/>
        </w:rPr>
        <w:t xml:space="preserve">Individuals who (1) have been sworn or commissioned as a law enforcement officer by a government agency of competent authority; (2) are charged with </w:t>
      </w:r>
      <w:r w:rsidRPr="00AD7715">
        <w:rPr>
          <w:i/>
          <w:iCs/>
          <w:sz w:val="20"/>
          <w:szCs w:val="20"/>
          <w:lang w:val="en-US"/>
        </w:rPr>
        <w:t>upholding the general criminal laws of an applicable jurisdiction, including having power to arrest; 3) typically have received specialized peace officer training</w:t>
      </w:r>
      <w:r w:rsidRPr="00AD7715">
        <w:rPr>
          <w:sz w:val="20"/>
          <w:szCs w:val="20"/>
          <w:lang w:val="en-US"/>
        </w:rPr>
        <w:t xml:space="preserve"> (see submission for examples); </w:t>
      </w:r>
      <w:r w:rsidRPr="00AD7715">
        <w:rPr>
          <w:i/>
          <w:iCs/>
          <w:sz w:val="20"/>
          <w:szCs w:val="20"/>
          <w:lang w:val="en-US"/>
        </w:rPr>
        <w:t>4) who normally receive tangible official signs of their role such as police uniform or official credentials.</w:t>
      </w:r>
      <w:r>
        <w:t xml:space="preserve"> </w:t>
      </w:r>
      <w:r>
        <w:rPr>
          <w:b/>
          <w:bCs/>
        </w:rPr>
        <w:t>(</w:t>
      </w:r>
      <w:commentRangeStart w:id="5"/>
      <w:r>
        <w:rPr>
          <w:b/>
          <w:bCs/>
        </w:rPr>
        <w:t>CAUCE</w:t>
      </w:r>
      <w:commentRangeEnd w:id="5"/>
      <w:r>
        <w:rPr>
          <w:rStyle w:val="CommentReference"/>
        </w:rPr>
        <w:commentReference w:id="5"/>
      </w:r>
      <w:r>
        <w:rPr>
          <w:b/>
          <w:bCs/>
        </w:rPr>
        <w:t>)</w:t>
      </w:r>
    </w:p>
    <w:p w:rsidR="00270C38" w:rsidRDefault="00270C38" w:rsidP="008A2CFB">
      <w:pPr>
        <w:rPr>
          <w:b/>
          <w:bCs/>
        </w:rPr>
      </w:pPr>
    </w:p>
    <w:p w:rsidR="00270C38" w:rsidRDefault="00270C38" w:rsidP="008A2CFB">
      <w:pPr>
        <w:rPr>
          <w:b/>
          <w:bCs/>
        </w:rPr>
      </w:pPr>
      <w:r>
        <w:rPr>
          <w:b/>
          <w:bCs/>
        </w:rPr>
        <w:t>Response to the comments:</w:t>
      </w:r>
    </w:p>
    <w:p w:rsidR="00270C38" w:rsidRPr="00E31E35" w:rsidRDefault="00270C38" w:rsidP="00E31E35">
      <w:pPr>
        <w:spacing w:line="240" w:lineRule="auto"/>
        <w:rPr>
          <w:rFonts w:ascii="Times New Roman" w:hAnsi="Times New Roman" w:cs="Times New Roman"/>
          <w:color w:val="0000FF"/>
          <w:sz w:val="24"/>
          <w:szCs w:val="24"/>
          <w:lang w:eastAsia="en-GB"/>
        </w:rPr>
      </w:pPr>
      <w:r w:rsidRPr="00E31E35">
        <w:rPr>
          <w:color w:val="000000"/>
          <w:sz w:val="24"/>
          <w:szCs w:val="24"/>
          <w:lang w:eastAsia="en-GB"/>
        </w:rPr>
        <w:t>The comments received on this definition considered it to be too wide and had the potential to include far more organisations and parties than envisaged by the term.  In light of those comments, and as those other organisations and parties who may require Whois data are catered for elsewhere, we have tightened the definition of law enforcement to:</w:t>
      </w:r>
    </w:p>
    <w:p w:rsidR="00270C38" w:rsidRPr="00E31E35" w:rsidRDefault="00270C38" w:rsidP="00E31E35">
      <w:pPr>
        <w:spacing w:line="240" w:lineRule="auto"/>
        <w:rPr>
          <w:rFonts w:ascii="Times New Roman" w:hAnsi="Times New Roman" w:cs="Times New Roman"/>
          <w:color w:val="0000FF"/>
          <w:sz w:val="24"/>
          <w:szCs w:val="24"/>
          <w:lang w:eastAsia="en-GB"/>
        </w:rPr>
      </w:pPr>
    </w:p>
    <w:p w:rsidR="00270C38" w:rsidRPr="00E31E35" w:rsidRDefault="00270C38" w:rsidP="00E31E35">
      <w:pPr>
        <w:spacing w:line="240" w:lineRule="auto"/>
        <w:rPr>
          <w:b/>
          <w:bCs/>
          <w:color w:val="000000"/>
          <w:sz w:val="24"/>
          <w:szCs w:val="24"/>
          <w:lang w:eastAsia="en-GB"/>
        </w:rPr>
      </w:pPr>
      <w:r w:rsidRPr="00E31E35">
        <w:rPr>
          <w:b/>
          <w:bCs/>
          <w:color w:val="000000"/>
          <w:sz w:val="24"/>
          <w:szCs w:val="24"/>
          <w:lang w:eastAsia="en-GB"/>
        </w:rPr>
        <w:t>Updated definition:</w:t>
      </w:r>
    </w:p>
    <w:p w:rsidR="00270C38" w:rsidRPr="00E31E35" w:rsidRDefault="00270C38" w:rsidP="00E31E35">
      <w:pPr>
        <w:spacing w:line="240" w:lineRule="auto"/>
        <w:rPr>
          <w:rFonts w:ascii="Times New Roman" w:hAnsi="Times New Roman" w:cs="Times New Roman"/>
          <w:color w:val="0000FF"/>
          <w:sz w:val="24"/>
          <w:szCs w:val="24"/>
          <w:lang w:eastAsia="en-GB"/>
        </w:rPr>
      </w:pPr>
      <w:r>
        <w:rPr>
          <w:color w:val="000000"/>
        </w:rPr>
        <w:t>Law Enforcement means any entity charged, or otherwise mandated by government, with the regulation and control of the affairs of a community; an organised body of people officially maintained or employed to keep order, prevent or detect crime and enforce the law.</w:t>
      </w:r>
    </w:p>
    <w:p w:rsidR="00270C38" w:rsidRDefault="00270C38" w:rsidP="008A2CFB"/>
    <w:p w:rsidR="00270C38" w:rsidRPr="00AD7715" w:rsidRDefault="00270C38" w:rsidP="008A2CFB"/>
    <w:p w:rsidR="00270C38" w:rsidRPr="002D193D" w:rsidRDefault="00270C38" w:rsidP="008A2CFB">
      <w:pPr>
        <w:rPr>
          <w:b/>
          <w:bCs/>
          <w:sz w:val="32"/>
          <w:szCs w:val="32"/>
        </w:rPr>
      </w:pPr>
    </w:p>
    <w:p w:rsidR="00270C38" w:rsidRDefault="00270C38">
      <w:pPr>
        <w:rPr>
          <w:b/>
          <w:bCs/>
          <w:sz w:val="32"/>
          <w:szCs w:val="32"/>
        </w:rPr>
        <w:sectPr w:rsidR="00270C38" w:rsidSect="00AA6F79">
          <w:pgSz w:w="11906" w:h="16838"/>
          <w:pgMar w:top="720" w:right="720" w:bottom="720" w:left="720" w:header="709" w:footer="709" w:gutter="0"/>
          <w:cols w:space="708"/>
          <w:docGrid w:linePitch="360"/>
        </w:sectPr>
      </w:pPr>
    </w:p>
    <w:p w:rsidR="00270C38" w:rsidRDefault="00270C38">
      <w:pPr>
        <w:rPr>
          <w:b/>
          <w:bCs/>
          <w:sz w:val="32"/>
          <w:szCs w:val="32"/>
        </w:rPr>
      </w:pPr>
    </w:p>
    <w:p w:rsidR="00270C38" w:rsidRPr="002D193D" w:rsidRDefault="00270C38" w:rsidP="00DE0C09">
      <w:pPr>
        <w:rPr>
          <w:rFonts w:ascii="Arial" w:hAnsi="Arial" w:cs="Arial"/>
          <w:b/>
          <w:bCs/>
          <w:sz w:val="32"/>
          <w:szCs w:val="32"/>
        </w:rPr>
      </w:pPr>
      <w:r w:rsidRPr="002D193D">
        <w:rPr>
          <w:b/>
          <w:bCs/>
          <w:sz w:val="32"/>
          <w:szCs w:val="32"/>
        </w:rPr>
        <w:t>Annex A</w:t>
      </w:r>
    </w:p>
    <w:tbl>
      <w:tblPr>
        <w:tblW w:w="155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1950"/>
        <w:gridCol w:w="4110"/>
        <w:gridCol w:w="4535"/>
        <w:gridCol w:w="4959"/>
      </w:tblGrid>
      <w:tr w:rsidR="00270C38" w:rsidRPr="00353BF5">
        <w:trPr>
          <w:tblHeader/>
        </w:trPr>
        <w:tc>
          <w:tcPr>
            <w:tcW w:w="1951" w:type="dxa"/>
            <w:gridSpan w:val="2"/>
            <w:shd w:val="clear" w:color="auto" w:fill="D9D9D9"/>
          </w:tcPr>
          <w:p w:rsidR="00270C38" w:rsidRPr="00353BF5" w:rsidRDefault="00270C38" w:rsidP="00353BF5">
            <w:pPr>
              <w:spacing w:after="0" w:line="240" w:lineRule="auto"/>
            </w:pPr>
          </w:p>
        </w:tc>
        <w:tc>
          <w:tcPr>
            <w:tcW w:w="4111" w:type="dxa"/>
            <w:shd w:val="clear" w:color="auto" w:fill="D9D9D9"/>
          </w:tcPr>
          <w:p w:rsidR="00270C38" w:rsidRPr="00353BF5" w:rsidRDefault="00270C38" w:rsidP="00353BF5">
            <w:pPr>
              <w:spacing w:after="0" w:line="240" w:lineRule="auto"/>
              <w:rPr>
                <w:b/>
                <w:bCs/>
              </w:rPr>
            </w:pPr>
            <w:r w:rsidRPr="00353BF5">
              <w:rPr>
                <w:b/>
                <w:bCs/>
              </w:rPr>
              <w:t>Applicable Laws</w:t>
            </w:r>
          </w:p>
        </w:tc>
        <w:tc>
          <w:tcPr>
            <w:tcW w:w="4536" w:type="dxa"/>
            <w:shd w:val="clear" w:color="auto" w:fill="D9D9D9"/>
          </w:tcPr>
          <w:p w:rsidR="00270C38" w:rsidRPr="00353BF5" w:rsidRDefault="00270C38" w:rsidP="00353BF5">
            <w:pPr>
              <w:spacing w:after="0" w:line="240" w:lineRule="auto"/>
              <w:rPr>
                <w:b/>
                <w:bCs/>
              </w:rPr>
            </w:pPr>
            <w:r w:rsidRPr="00353BF5">
              <w:rPr>
                <w:b/>
                <w:bCs/>
              </w:rPr>
              <w:t>Producers &amp; Maintainers</w:t>
            </w:r>
          </w:p>
        </w:tc>
        <w:tc>
          <w:tcPr>
            <w:tcW w:w="4961" w:type="dxa"/>
            <w:shd w:val="clear" w:color="auto" w:fill="D9D9D9"/>
          </w:tcPr>
          <w:p w:rsidR="00270C38" w:rsidRPr="00353BF5" w:rsidRDefault="00270C38" w:rsidP="00353BF5">
            <w:pPr>
              <w:spacing w:after="0" w:line="240" w:lineRule="auto"/>
              <w:rPr>
                <w:b/>
                <w:bCs/>
              </w:rPr>
            </w:pPr>
            <w:r w:rsidRPr="00353BF5">
              <w:rPr>
                <w:b/>
                <w:bCs/>
              </w:rPr>
              <w:t>Law Enforcement</w:t>
            </w:r>
          </w:p>
        </w:tc>
      </w:tr>
      <w:tr w:rsidR="00270C38" w:rsidRPr="00353BF5">
        <w:trPr>
          <w:gridBefore w:val="1"/>
          <w:tblHeader/>
        </w:trPr>
        <w:tc>
          <w:tcPr>
            <w:tcW w:w="1951" w:type="dxa"/>
            <w:shd w:val="clear" w:color="auto" w:fill="D9D9D9"/>
          </w:tcPr>
          <w:p w:rsidR="00270C38" w:rsidRPr="00353BF5" w:rsidRDefault="00270C38" w:rsidP="00353BF5">
            <w:pPr>
              <w:spacing w:after="0" w:line="240" w:lineRule="auto"/>
              <w:rPr>
                <w:b/>
                <w:bCs/>
              </w:rPr>
            </w:pPr>
            <w:r w:rsidRPr="00353BF5">
              <w:rPr>
                <w:b/>
                <w:bCs/>
              </w:rPr>
              <w:t>Coalition Against Unsolicited Commercial Email (CAUCE)</w:t>
            </w:r>
          </w:p>
        </w:tc>
        <w:tc>
          <w:tcPr>
            <w:tcW w:w="4111" w:type="dxa"/>
          </w:tcPr>
          <w:p w:rsidR="00270C38" w:rsidRPr="00353BF5" w:rsidRDefault="00270C38" w:rsidP="00B65CC4">
            <w:pPr>
              <w:pStyle w:val="HTMLPreformatted"/>
              <w:rPr>
                <w:rFonts w:ascii="Calibri" w:hAnsi="Calibri" w:cs="Calibri"/>
                <w:lang w:val="en-US" w:eastAsia="en-US"/>
              </w:rPr>
            </w:pPr>
            <w:r w:rsidRPr="00353BF5">
              <w:rPr>
                <w:rFonts w:ascii="Calibri" w:hAnsi="Calibri" w:cs="Calibri"/>
                <w:lang w:val="en-US" w:eastAsia="en-US"/>
              </w:rPr>
              <w:t xml:space="preserve">The definition is relevant if focus is solely on registrant privacy. Since this aspect must be balanced against the need to protect citizens, the definition should be widened to recognize the applicability of all criminal and civil laws on WHOIS policy, including laws against child exploitation and child pornography, against obtaining financial information by deceit/“phishing”, against spreading malicious software, against online sale of controlled drugs, against IPR violations, against various fraudulent schemes and against spamming activities. </w:t>
            </w:r>
          </w:p>
          <w:p w:rsidR="00270C38" w:rsidRPr="00353BF5" w:rsidRDefault="00270C38" w:rsidP="00353BF5">
            <w:pPr>
              <w:spacing w:after="0" w:line="240" w:lineRule="auto"/>
              <w:rPr>
                <w:sz w:val="20"/>
                <w:szCs w:val="20"/>
              </w:rPr>
            </w:pPr>
          </w:p>
        </w:tc>
        <w:tc>
          <w:tcPr>
            <w:tcW w:w="4536" w:type="dxa"/>
          </w:tcPr>
          <w:p w:rsidR="00270C38" w:rsidRPr="00353BF5" w:rsidRDefault="00270C38" w:rsidP="008352EA">
            <w:pPr>
              <w:pStyle w:val="HTMLPreformatted"/>
              <w:rPr>
                <w:rFonts w:ascii="Calibri" w:hAnsi="Calibri" w:cs="Calibri"/>
                <w:lang w:val="en-US" w:eastAsia="en-US"/>
              </w:rPr>
            </w:pPr>
            <w:r w:rsidRPr="00353BF5">
              <w:rPr>
                <w:rFonts w:ascii="Calibri" w:hAnsi="Calibri" w:cs="Calibri"/>
                <w:lang w:val="en-US" w:eastAsia="en-US"/>
              </w:rPr>
              <w:t>The definition of “producers and maintainers” mixes parties and roles with different perspectives and interests. A “producer” may be 1) the registrant; 2) a proxy; 3) a registrar or hosting company; or 4) a registrations service provider acting as a contractor or agent for the registrar. These roles may also change over time. The definition leads to confusion and so does the definition of “data controllers”,</w:t>
            </w:r>
            <w:r w:rsidRPr="00353BF5">
              <w:rPr>
                <w:rFonts w:ascii="Calibri" w:hAnsi="Calibri" w:cs="Calibri"/>
                <w:lang w:val="en-US"/>
              </w:rPr>
              <w:t xml:space="preserve"> </w:t>
            </w:r>
            <w:r w:rsidRPr="00353BF5">
              <w:rPr>
                <w:rFonts w:ascii="Calibri" w:hAnsi="Calibri" w:cs="Calibri"/>
                <w:lang w:val="en-US" w:eastAsia="en-US"/>
              </w:rPr>
              <w:t>especially the final part of the definition.</w:t>
            </w:r>
          </w:p>
          <w:p w:rsidR="00270C38" w:rsidRPr="00353BF5" w:rsidRDefault="00270C38" w:rsidP="00353BF5">
            <w:pPr>
              <w:spacing w:after="0" w:line="240" w:lineRule="auto"/>
              <w:rPr>
                <w:sz w:val="20"/>
                <w:szCs w:val="20"/>
              </w:rPr>
            </w:pPr>
          </w:p>
        </w:tc>
        <w:tc>
          <w:tcPr>
            <w:tcW w:w="4961" w:type="dxa"/>
          </w:tcPr>
          <w:p w:rsidR="00270C38" w:rsidRPr="00353BF5" w:rsidRDefault="00270C38" w:rsidP="00B82E67">
            <w:pPr>
              <w:pStyle w:val="HTMLPreformatted"/>
              <w:rPr>
                <w:rFonts w:ascii="Calibri" w:hAnsi="Calibri" w:cs="Calibri"/>
                <w:lang w:val="en-US" w:eastAsia="en-US"/>
              </w:rPr>
            </w:pPr>
            <w:r w:rsidRPr="00353BF5">
              <w:rPr>
                <w:rFonts w:ascii="Calibri" w:hAnsi="Calibri" w:cs="Calibri"/>
                <w:lang w:val="en-US" w:eastAsia="en-US"/>
              </w:rPr>
              <w:t xml:space="preserve">The definition does not distinguish between sworn law enforcement officials and other entities with the mentioned obligations. Law enforcement officers should be narrowly defined as individuals: </w:t>
            </w:r>
            <w:r w:rsidRPr="00353BF5">
              <w:rPr>
                <w:rFonts w:ascii="Calibri" w:hAnsi="Calibri" w:cs="Calibri"/>
                <w:i/>
                <w:iCs/>
                <w:lang w:val="en-US" w:eastAsia="en-US"/>
              </w:rPr>
              <w:t>1) who have been sworn or commissioned as a law enforcement officer by a government agency of competent authority; 2) who are charged with upholding the general criminal laws of an applicable jurisdiction, including having power to arrest; 3) typically have received specialized peace officer training</w:t>
            </w:r>
            <w:r w:rsidRPr="00353BF5">
              <w:rPr>
                <w:rFonts w:ascii="Calibri" w:hAnsi="Calibri" w:cs="Calibri"/>
                <w:lang w:val="en-US" w:eastAsia="en-US"/>
              </w:rPr>
              <w:t xml:space="preserve"> (see submission for examples); </w:t>
            </w:r>
            <w:r w:rsidRPr="00353BF5">
              <w:rPr>
                <w:rFonts w:ascii="Calibri" w:hAnsi="Calibri" w:cs="Calibri"/>
                <w:i/>
                <w:iCs/>
                <w:lang w:val="en-US" w:eastAsia="en-US"/>
              </w:rPr>
              <w:t>4) who normally receive tangible official signs of their role such as police uniform or official credentials.</w:t>
            </w:r>
            <w:r w:rsidRPr="00353BF5">
              <w:rPr>
                <w:rFonts w:ascii="Calibri" w:hAnsi="Calibri" w:cs="Calibri"/>
                <w:lang w:val="en-US" w:eastAsia="en-US"/>
              </w:rPr>
              <w:t xml:space="preserve"> Adjusting this definition does not mean to exclude non-sworn officials from the scope, they just need another label. It should also be considered whether law enforcement should include national intelligence services and national/multi-national military services.</w:t>
            </w:r>
          </w:p>
          <w:p w:rsidR="00270C38" w:rsidRPr="00353BF5" w:rsidRDefault="00270C38" w:rsidP="00353BF5">
            <w:pPr>
              <w:spacing w:after="0" w:line="240" w:lineRule="auto"/>
              <w:rPr>
                <w:sz w:val="20"/>
                <w:szCs w:val="20"/>
              </w:rPr>
            </w:pPr>
          </w:p>
        </w:tc>
      </w:tr>
      <w:tr w:rsidR="00270C38" w:rsidRPr="00353BF5">
        <w:trPr>
          <w:gridBefore w:val="1"/>
          <w:tblHeader/>
        </w:trPr>
        <w:tc>
          <w:tcPr>
            <w:tcW w:w="1951" w:type="dxa"/>
            <w:shd w:val="clear" w:color="auto" w:fill="D9D9D9"/>
          </w:tcPr>
          <w:p w:rsidR="00270C38" w:rsidRPr="00353BF5" w:rsidRDefault="00270C38" w:rsidP="00353BF5">
            <w:pPr>
              <w:spacing w:after="0" w:line="240" w:lineRule="auto"/>
              <w:rPr>
                <w:b/>
                <w:bCs/>
              </w:rPr>
            </w:pPr>
            <w:r w:rsidRPr="00353BF5">
              <w:rPr>
                <w:b/>
                <w:bCs/>
              </w:rPr>
              <w:t>European Communities Trademark Association &amp; Marques (ECTA+M)</w:t>
            </w:r>
          </w:p>
        </w:tc>
        <w:tc>
          <w:tcPr>
            <w:tcW w:w="4111" w:type="dxa"/>
          </w:tcPr>
          <w:p w:rsidR="00270C38" w:rsidRPr="00353BF5" w:rsidRDefault="00270C38" w:rsidP="00353BF5">
            <w:pPr>
              <w:pStyle w:val="BodyText"/>
              <w:spacing w:before="0" w:beforeAutospacing="0" w:after="0" w:afterAutospacing="0"/>
              <w:rPr>
                <w:rFonts w:ascii="Calibri" w:hAnsi="Calibri" w:cs="Calibri"/>
                <w:lang w:val="en-US"/>
              </w:rPr>
            </w:pPr>
            <w:r w:rsidRPr="00353BF5">
              <w:rPr>
                <w:rFonts w:ascii="Calibri" w:hAnsi="Calibri" w:cs="Calibri"/>
                <w:lang w:val="en-US"/>
              </w:rPr>
              <w:t>The definition is narrowly focused on questions of personal data. The RT must also consider other applicable laws for the broader protection of consumers and the public at large, including laws on child exploitation, regulation of drugs and medicine, infringement of IP rights, fraud prevention and spamming. Given that the scope includes promotion of consumer trust, the RT must look beyond registrants and consider global citizens as users of Internet and buyers of goods and services.</w:t>
            </w:r>
          </w:p>
          <w:p w:rsidR="00270C38" w:rsidRPr="00353BF5" w:rsidRDefault="00270C38" w:rsidP="00353BF5">
            <w:pPr>
              <w:spacing w:after="0" w:line="240" w:lineRule="auto"/>
              <w:rPr>
                <w:sz w:val="20"/>
                <w:szCs w:val="20"/>
              </w:rPr>
            </w:pPr>
          </w:p>
        </w:tc>
        <w:tc>
          <w:tcPr>
            <w:tcW w:w="4536" w:type="dxa"/>
          </w:tcPr>
          <w:p w:rsidR="00270C38" w:rsidRPr="00353BF5" w:rsidRDefault="00270C38" w:rsidP="008352EA">
            <w:pPr>
              <w:pStyle w:val="HTMLPreformatted"/>
              <w:rPr>
                <w:rFonts w:ascii="Calibri" w:hAnsi="Calibri" w:cs="Calibri"/>
                <w:lang w:val="en-US" w:eastAsia="en-US"/>
              </w:rPr>
            </w:pPr>
            <w:r w:rsidRPr="00353BF5">
              <w:rPr>
                <w:rFonts w:ascii="Calibri" w:hAnsi="Calibri" w:cs="Calibri"/>
                <w:lang w:val="en-US" w:eastAsia="en-US"/>
              </w:rPr>
              <w:t xml:space="preserve">The RT needs to remember that EU data protection rules only apply to individuals. Businesses and non-persons do not generally have any legal rights to “privacy” and this is reinforced by requirements in many countries for business to register their details in public registers. Whilst the </w:t>
            </w:r>
            <w:r w:rsidRPr="00353BF5">
              <w:rPr>
                <w:rFonts w:ascii="Calibri" w:hAnsi="Calibri" w:cs="Calibri"/>
                <w:i/>
                <w:iCs/>
                <w:lang w:val="en-US" w:eastAsia="en-US"/>
              </w:rPr>
              <w:t xml:space="preserve">Producers </w:t>
            </w:r>
            <w:r w:rsidRPr="00353BF5">
              <w:rPr>
                <w:rFonts w:ascii="Calibri" w:hAnsi="Calibri" w:cs="Calibri"/>
                <w:lang w:val="en-US" w:eastAsia="en-US"/>
              </w:rPr>
              <w:t xml:space="preserve">definition is broad, ECTA+M believe it is important for the RT to recognize the multiple players that may be involved in the registration of the domain and the scope for the provision of false or inaccurate data. </w:t>
            </w:r>
            <w:r w:rsidRPr="00353BF5">
              <w:rPr>
                <w:rFonts w:ascii="Calibri" w:hAnsi="Calibri" w:cs="Calibri"/>
                <w:i/>
                <w:iCs/>
                <w:lang w:val="en-US" w:eastAsia="en-US"/>
              </w:rPr>
              <w:t>Maintainers</w:t>
            </w:r>
            <w:r w:rsidRPr="00353BF5">
              <w:rPr>
                <w:rFonts w:ascii="Calibri" w:hAnsi="Calibri" w:cs="Calibri"/>
                <w:lang w:val="en-US" w:eastAsia="en-US"/>
              </w:rPr>
              <w:t>: ECTA+M recognize the use of language derived from EU data protection legislation, established in Europe for over 20 years with well-known meaning in the context of data protection. The RT should consider carefully how they intend to use this terminology to avoid unnecessary confusion.</w:t>
            </w:r>
          </w:p>
          <w:p w:rsidR="00270C38" w:rsidRPr="00353BF5" w:rsidRDefault="00270C38" w:rsidP="00353BF5">
            <w:pPr>
              <w:spacing w:after="0" w:line="240" w:lineRule="auto"/>
              <w:rPr>
                <w:sz w:val="20"/>
                <w:szCs w:val="20"/>
              </w:rPr>
            </w:pPr>
          </w:p>
        </w:tc>
        <w:tc>
          <w:tcPr>
            <w:tcW w:w="4961" w:type="dxa"/>
          </w:tcPr>
          <w:p w:rsidR="00270C38" w:rsidRPr="00353BF5" w:rsidRDefault="00270C38" w:rsidP="00B82E67">
            <w:pPr>
              <w:pStyle w:val="HTMLPreformatted"/>
              <w:rPr>
                <w:rFonts w:ascii="Calibri" w:hAnsi="Calibri" w:cs="Calibri"/>
                <w:lang w:val="en-US" w:eastAsia="en-US"/>
              </w:rPr>
            </w:pPr>
            <w:r w:rsidRPr="00353BF5">
              <w:rPr>
                <w:rFonts w:ascii="Calibri" w:hAnsi="Calibri" w:cs="Calibri"/>
                <w:lang w:val="en-US" w:eastAsia="en-US"/>
              </w:rPr>
              <w:t>The definition is very broadly drafted. Should private parties interested in enforcing civil law remedies fall within such a definition? If it is intended to refer to law enforcement in the sense of public agencies, then greater care needs to be taken in the drafting. Consideration needs to be given to the range of legitimate legal proceedings whether criminal, civil or administrative, for which access to WHOIS data or extended WHOIS data, should be available.</w:t>
            </w:r>
          </w:p>
          <w:p w:rsidR="00270C38" w:rsidRPr="00353BF5" w:rsidRDefault="00270C38" w:rsidP="00353BF5">
            <w:pPr>
              <w:spacing w:after="0" w:line="240" w:lineRule="auto"/>
              <w:rPr>
                <w:sz w:val="20"/>
                <w:szCs w:val="20"/>
              </w:rPr>
            </w:pPr>
          </w:p>
        </w:tc>
      </w:tr>
      <w:tr w:rsidR="00270C38" w:rsidRPr="00353BF5">
        <w:trPr>
          <w:gridBefore w:val="1"/>
          <w:tblHeader/>
        </w:trPr>
        <w:tc>
          <w:tcPr>
            <w:tcW w:w="1951" w:type="dxa"/>
            <w:shd w:val="clear" w:color="auto" w:fill="D9D9D9"/>
          </w:tcPr>
          <w:p w:rsidR="00270C38" w:rsidRPr="00353BF5" w:rsidRDefault="00270C38" w:rsidP="00353BF5">
            <w:pPr>
              <w:spacing w:after="0" w:line="240" w:lineRule="auto"/>
              <w:rPr>
                <w:b/>
                <w:bCs/>
              </w:rPr>
            </w:pPr>
            <w:r w:rsidRPr="00353BF5">
              <w:rPr>
                <w:b/>
                <w:bCs/>
              </w:rPr>
              <w:t>Intellectual Property Constituency (IPC)</w:t>
            </w:r>
          </w:p>
        </w:tc>
        <w:tc>
          <w:tcPr>
            <w:tcW w:w="4111" w:type="dxa"/>
          </w:tcPr>
          <w:p w:rsidR="00270C38" w:rsidRPr="00353BF5" w:rsidRDefault="00270C38" w:rsidP="00353BF5">
            <w:pPr>
              <w:widowControl w:val="0"/>
              <w:autoSpaceDE w:val="0"/>
              <w:autoSpaceDN w:val="0"/>
              <w:adjustRightInd w:val="0"/>
              <w:spacing w:after="0" w:line="240" w:lineRule="auto"/>
              <w:rPr>
                <w:color w:val="0000FF"/>
                <w:sz w:val="20"/>
                <w:szCs w:val="20"/>
                <w:u w:val="single"/>
                <w:lang w:val="en-US"/>
              </w:rPr>
            </w:pPr>
            <w:r w:rsidRPr="00353BF5">
              <w:rPr>
                <w:sz w:val="20"/>
                <w:szCs w:val="20"/>
              </w:rPr>
              <w:t xml:space="preserve">This definition lacks the needed precision. The RT must focus on laws applicable to ICANN in carrying out this policy. It seems inconceivable that </w:t>
            </w:r>
            <w:r w:rsidRPr="00353BF5">
              <w:rPr>
                <w:i/>
                <w:iCs/>
                <w:sz w:val="20"/>
                <w:szCs w:val="20"/>
              </w:rPr>
              <w:t xml:space="preserve">any and all local […] information are applicable. </w:t>
            </w:r>
            <w:r w:rsidRPr="00353BF5">
              <w:rPr>
                <w:sz w:val="20"/>
                <w:szCs w:val="20"/>
              </w:rPr>
              <w:t xml:space="preserve">Which law is applicable to a particular registry or registrar in carrying out contractual obligations to ICANN regarding WHOIS? It is not helpful to assert that every law related to personal data applies. The RT should give consideration to the ICANN procedure adopted to implement a supermajority vote of the GNSO and unanimous vote of the ICANN Board for dealing with any situation in which contractual obligations appear to conflict with a law applicable to the operations of the registry or registrar. See </w:t>
            </w:r>
            <w:hyperlink r:id="rId9" w:history="1">
              <w:r w:rsidRPr="00353BF5">
                <w:rPr>
                  <w:rStyle w:val="Hyperlink"/>
                  <w:sz w:val="20"/>
                  <w:szCs w:val="20"/>
                </w:rPr>
                <w:t>http://www.icann.org/en/processes/icann-procedure-17jan08.htm</w:t>
              </w:r>
            </w:hyperlink>
            <w:r w:rsidRPr="00353BF5">
              <w:rPr>
                <w:color w:val="000000"/>
                <w:sz w:val="20"/>
                <w:szCs w:val="20"/>
              </w:rPr>
              <w:t xml:space="preserve">. The policy recognizes that there will frequently be ways for registrars/registries to conform practices with applicable law in order to comply with WHOIS obligations. AoC 9.3.1 should be read in the same way. </w:t>
            </w:r>
            <w:r w:rsidRPr="00353BF5">
              <w:rPr>
                <w:i/>
                <w:iCs/>
                <w:color w:val="000000"/>
                <w:sz w:val="20"/>
                <w:szCs w:val="20"/>
              </w:rPr>
              <w:t xml:space="preserve">Other relevant legal obligations </w:t>
            </w:r>
            <w:r w:rsidRPr="00353BF5">
              <w:rPr>
                <w:color w:val="000000"/>
                <w:sz w:val="20"/>
                <w:szCs w:val="20"/>
              </w:rPr>
              <w:t xml:space="preserve">is also imprecise. ENISA has concluded that the UN guidelines are </w:t>
            </w:r>
            <w:r w:rsidRPr="00353BF5">
              <w:rPr>
                <w:i/>
                <w:iCs/>
                <w:color w:val="000000"/>
                <w:sz w:val="20"/>
                <w:szCs w:val="20"/>
              </w:rPr>
              <w:t>not legally blinding, neither to natural persons, legal or countries</w:t>
            </w:r>
            <w:r w:rsidRPr="00353BF5">
              <w:rPr>
                <w:color w:val="000000"/>
                <w:sz w:val="20"/>
                <w:szCs w:val="20"/>
              </w:rPr>
              <w:t xml:space="preserve">; see </w:t>
            </w:r>
            <w:r w:rsidRPr="00353BF5">
              <w:rPr>
                <w:color w:val="0000FF"/>
                <w:sz w:val="20"/>
                <w:szCs w:val="20"/>
                <w:u w:val="single"/>
              </w:rPr>
              <w:t>http://www.enisa.europa.eu/act/rm/cr/laws-regulation/dataprotection-</w:t>
            </w:r>
          </w:p>
          <w:p w:rsidR="00270C38" w:rsidRPr="00353BF5" w:rsidRDefault="00270C38" w:rsidP="00353BF5">
            <w:pPr>
              <w:widowControl w:val="0"/>
              <w:autoSpaceDE w:val="0"/>
              <w:autoSpaceDN w:val="0"/>
              <w:adjustRightInd w:val="0"/>
              <w:spacing w:after="0" w:line="240" w:lineRule="auto"/>
              <w:rPr>
                <w:sz w:val="20"/>
                <w:szCs w:val="20"/>
              </w:rPr>
            </w:pPr>
            <w:r w:rsidRPr="00353BF5">
              <w:rPr>
                <w:color w:val="0000FF"/>
                <w:sz w:val="20"/>
                <w:szCs w:val="20"/>
                <w:u w:val="single"/>
              </w:rPr>
              <w:t>privacy/un-guidelines</w:t>
            </w:r>
            <w:r w:rsidRPr="00353BF5">
              <w:rPr>
                <w:color w:val="000000"/>
                <w:sz w:val="20"/>
                <w:szCs w:val="20"/>
              </w:rPr>
              <w:t xml:space="preserve"> and </w:t>
            </w:r>
            <w:hyperlink r:id="rId10" w:history="1">
              <w:r w:rsidRPr="00353BF5">
                <w:rPr>
                  <w:rStyle w:val="Hyperlink"/>
                  <w:sz w:val="20"/>
                  <w:szCs w:val="20"/>
                </w:rPr>
                <w:t>http://www.un.org/documents/ga/res/45/a45r095.htm</w:t>
              </w:r>
            </w:hyperlink>
            <w:r w:rsidRPr="00353BF5">
              <w:rPr>
                <w:color w:val="0000FF"/>
                <w:sz w:val="20"/>
                <w:szCs w:val="20"/>
              </w:rPr>
              <w:t xml:space="preserve">. </w:t>
            </w:r>
            <w:r w:rsidRPr="00353BF5">
              <w:rPr>
                <w:sz w:val="20"/>
                <w:szCs w:val="20"/>
              </w:rPr>
              <w:t xml:space="preserve">This falls short of establishing any legal obligation that could conflict with or override contractual obligations regarding WHOIS. The RT’s mandate in this field is narrow; the broad and imprecise definition proposed for “applicable laws” will do little to assist the RT in carrying out its assignment. Unless it identifies a particular law that has impeded or threatened to impede ICANN’s enforcement of existing WHOIS policy, it may not be necessary to reach agreement on a definition of “applicable law”. </w:t>
            </w:r>
          </w:p>
          <w:p w:rsidR="00270C38" w:rsidRPr="00353BF5" w:rsidRDefault="00270C38" w:rsidP="00353BF5">
            <w:pPr>
              <w:spacing w:after="0" w:line="240" w:lineRule="auto"/>
              <w:rPr>
                <w:sz w:val="20"/>
                <w:szCs w:val="20"/>
              </w:rPr>
            </w:pPr>
          </w:p>
        </w:tc>
        <w:tc>
          <w:tcPr>
            <w:tcW w:w="4536" w:type="dxa"/>
          </w:tcPr>
          <w:p w:rsidR="00270C38" w:rsidRPr="00353BF5" w:rsidRDefault="00270C38" w:rsidP="008352EA">
            <w:pPr>
              <w:pStyle w:val="HTMLPreformatted"/>
              <w:rPr>
                <w:rFonts w:ascii="Calibri" w:hAnsi="Calibri" w:cs="Calibri"/>
                <w:lang w:val="en-US" w:eastAsia="en-US"/>
              </w:rPr>
            </w:pPr>
            <w:r w:rsidRPr="00353BF5">
              <w:rPr>
                <w:rFonts w:ascii="Calibri" w:hAnsi="Calibri" w:cs="Calibri"/>
                <w:lang w:val="en-US" w:eastAsia="en-US"/>
              </w:rPr>
              <w:t>This definition does not refer to AoC wording and there is no explanation on why a definition of these terms is needed. IPC recommends that the RT drop this definition.</w:t>
            </w:r>
          </w:p>
          <w:p w:rsidR="00270C38" w:rsidRPr="00353BF5" w:rsidRDefault="00270C38" w:rsidP="00353BF5">
            <w:pPr>
              <w:spacing w:after="0" w:line="240" w:lineRule="auto"/>
              <w:rPr>
                <w:sz w:val="20"/>
                <w:szCs w:val="20"/>
              </w:rPr>
            </w:pPr>
          </w:p>
        </w:tc>
        <w:tc>
          <w:tcPr>
            <w:tcW w:w="4961" w:type="dxa"/>
          </w:tcPr>
          <w:p w:rsidR="00270C38" w:rsidRPr="00353BF5" w:rsidRDefault="00270C38" w:rsidP="00B82E67">
            <w:pPr>
              <w:pStyle w:val="HTMLPreformatted"/>
              <w:rPr>
                <w:rFonts w:ascii="Calibri" w:hAnsi="Calibri" w:cs="Calibri"/>
                <w:lang w:val="en-US" w:eastAsia="en-US"/>
              </w:rPr>
            </w:pPr>
            <w:r w:rsidRPr="00353BF5">
              <w:rPr>
                <w:rFonts w:ascii="Calibri" w:hAnsi="Calibri" w:cs="Calibri"/>
                <w:lang w:val="en-US" w:eastAsia="en-US"/>
              </w:rPr>
              <w:t>The RT reads this phrase as limited to governmental enforcement agencies but there is no evidence that the AoC drafters intended this reading. The RT should focus on whether this implementation meets the legitimate needs for the enforcement of laws, which mainly depend on the efforts of private parties. Reliable access to WHOIS data plays a significant role in advancing the legitimate needs of enforcement.</w:t>
            </w:r>
          </w:p>
          <w:p w:rsidR="00270C38" w:rsidRPr="00353BF5" w:rsidRDefault="00270C38" w:rsidP="00353BF5">
            <w:pPr>
              <w:spacing w:after="0" w:line="240" w:lineRule="auto"/>
              <w:rPr>
                <w:sz w:val="20"/>
                <w:szCs w:val="20"/>
              </w:rPr>
            </w:pPr>
          </w:p>
        </w:tc>
      </w:tr>
      <w:tr w:rsidR="00270C38" w:rsidRPr="00353BF5">
        <w:trPr>
          <w:gridBefore w:val="1"/>
          <w:tblHeader/>
        </w:trPr>
        <w:tc>
          <w:tcPr>
            <w:tcW w:w="1951" w:type="dxa"/>
            <w:shd w:val="clear" w:color="auto" w:fill="D9D9D9"/>
          </w:tcPr>
          <w:p w:rsidR="00270C38" w:rsidRPr="00353BF5" w:rsidRDefault="00270C38" w:rsidP="00353BF5">
            <w:pPr>
              <w:spacing w:after="0" w:line="240" w:lineRule="auto"/>
              <w:rPr>
                <w:b/>
                <w:bCs/>
              </w:rPr>
            </w:pPr>
            <w:r w:rsidRPr="00353BF5">
              <w:rPr>
                <w:b/>
                <w:bCs/>
              </w:rPr>
              <w:t>Business Constituency(BC)</w:t>
            </w:r>
          </w:p>
        </w:tc>
        <w:tc>
          <w:tcPr>
            <w:tcW w:w="4111" w:type="dxa"/>
          </w:tcPr>
          <w:p w:rsidR="00270C38" w:rsidRPr="00353BF5" w:rsidRDefault="00270C38" w:rsidP="00353BF5">
            <w:pPr>
              <w:widowControl w:val="0"/>
              <w:autoSpaceDE w:val="0"/>
              <w:autoSpaceDN w:val="0"/>
              <w:adjustRightInd w:val="0"/>
              <w:spacing w:after="0" w:line="240" w:lineRule="auto"/>
              <w:rPr>
                <w:sz w:val="20"/>
                <w:szCs w:val="20"/>
              </w:rPr>
            </w:pPr>
            <w:r w:rsidRPr="00353BF5">
              <w:rPr>
                <w:sz w:val="20"/>
                <w:szCs w:val="20"/>
              </w:rPr>
              <w:t>The BC accepts the definition.</w:t>
            </w:r>
          </w:p>
          <w:p w:rsidR="00270C38" w:rsidRPr="00353BF5" w:rsidRDefault="00270C38" w:rsidP="00353BF5">
            <w:pPr>
              <w:spacing w:after="0" w:line="240" w:lineRule="auto"/>
              <w:rPr>
                <w:sz w:val="20"/>
                <w:szCs w:val="20"/>
              </w:rPr>
            </w:pPr>
          </w:p>
        </w:tc>
        <w:tc>
          <w:tcPr>
            <w:tcW w:w="4536" w:type="dxa"/>
          </w:tcPr>
          <w:p w:rsidR="00270C38" w:rsidRPr="00353BF5" w:rsidRDefault="00270C38" w:rsidP="00353BF5">
            <w:pPr>
              <w:spacing w:after="0" w:line="240" w:lineRule="auto"/>
              <w:rPr>
                <w:sz w:val="20"/>
                <w:szCs w:val="20"/>
              </w:rPr>
            </w:pPr>
            <w:r w:rsidRPr="00353BF5">
              <w:rPr>
                <w:sz w:val="20"/>
                <w:szCs w:val="20"/>
                <w:lang w:val="en-US"/>
              </w:rPr>
              <w:t>The BC accepts the definition.</w:t>
            </w:r>
          </w:p>
        </w:tc>
        <w:tc>
          <w:tcPr>
            <w:tcW w:w="4961" w:type="dxa"/>
          </w:tcPr>
          <w:p w:rsidR="00270C38" w:rsidRPr="00353BF5" w:rsidRDefault="00270C38" w:rsidP="00353BF5">
            <w:pPr>
              <w:spacing w:after="0" w:line="240" w:lineRule="auto"/>
              <w:rPr>
                <w:sz w:val="20"/>
                <w:szCs w:val="20"/>
              </w:rPr>
            </w:pPr>
            <w:r w:rsidRPr="00353BF5">
              <w:rPr>
                <w:sz w:val="20"/>
                <w:szCs w:val="20"/>
              </w:rPr>
              <w:t>The BC accepts the definition.</w:t>
            </w:r>
          </w:p>
          <w:p w:rsidR="00270C38" w:rsidRPr="00353BF5" w:rsidRDefault="00270C38" w:rsidP="00353BF5">
            <w:pPr>
              <w:spacing w:after="0" w:line="240" w:lineRule="auto"/>
              <w:rPr>
                <w:sz w:val="20"/>
                <w:szCs w:val="20"/>
              </w:rPr>
            </w:pPr>
          </w:p>
        </w:tc>
      </w:tr>
      <w:tr w:rsidR="00270C38" w:rsidRPr="00353BF5">
        <w:trPr>
          <w:gridBefore w:val="1"/>
          <w:tblHeader/>
        </w:trPr>
        <w:tc>
          <w:tcPr>
            <w:tcW w:w="1951" w:type="dxa"/>
            <w:shd w:val="clear" w:color="auto" w:fill="D9D9D9"/>
          </w:tcPr>
          <w:p w:rsidR="00270C38" w:rsidRPr="00353BF5" w:rsidRDefault="00270C38" w:rsidP="00353BF5">
            <w:pPr>
              <w:spacing w:after="0" w:line="240" w:lineRule="auto"/>
              <w:rPr>
                <w:b/>
                <w:bCs/>
              </w:rPr>
            </w:pPr>
            <w:r w:rsidRPr="00353BF5">
              <w:rPr>
                <w:b/>
                <w:bCs/>
              </w:rPr>
              <w:t>Registrar Stakeholder Group (RSG)</w:t>
            </w:r>
          </w:p>
        </w:tc>
        <w:tc>
          <w:tcPr>
            <w:tcW w:w="4111" w:type="dxa"/>
          </w:tcPr>
          <w:p w:rsidR="00270C38" w:rsidRPr="00353BF5" w:rsidRDefault="00270C38" w:rsidP="00353BF5">
            <w:pPr>
              <w:spacing w:after="0" w:line="240" w:lineRule="auto"/>
              <w:rPr>
                <w:sz w:val="20"/>
                <w:szCs w:val="20"/>
              </w:rPr>
            </w:pPr>
            <w:r w:rsidRPr="00353BF5">
              <w:rPr>
                <w:sz w:val="20"/>
                <w:szCs w:val="20"/>
              </w:rPr>
              <w:t>This definition is adequate with the exception that UN declarations and resolutions are often non-binding and as such inappropriate for the RT’s work. Non-binding resolutions do not meet the appropriate threshold for an applicable law and such references should be removed.</w:t>
            </w:r>
          </w:p>
          <w:p w:rsidR="00270C38" w:rsidRPr="00353BF5" w:rsidRDefault="00270C38" w:rsidP="00353BF5">
            <w:pPr>
              <w:spacing w:after="0" w:line="240" w:lineRule="auto"/>
              <w:rPr>
                <w:sz w:val="20"/>
                <w:szCs w:val="20"/>
              </w:rPr>
            </w:pPr>
          </w:p>
        </w:tc>
        <w:tc>
          <w:tcPr>
            <w:tcW w:w="4536" w:type="dxa"/>
          </w:tcPr>
          <w:p w:rsidR="00270C38" w:rsidRPr="00353BF5" w:rsidRDefault="00270C38" w:rsidP="00353BF5">
            <w:pPr>
              <w:spacing w:after="0" w:line="240" w:lineRule="auto"/>
              <w:rPr>
                <w:sz w:val="20"/>
                <w:szCs w:val="20"/>
              </w:rPr>
            </w:pPr>
            <w:r w:rsidRPr="00353BF5">
              <w:rPr>
                <w:sz w:val="20"/>
                <w:szCs w:val="20"/>
              </w:rPr>
              <w:t>Support.</w:t>
            </w:r>
          </w:p>
        </w:tc>
        <w:tc>
          <w:tcPr>
            <w:tcW w:w="4961" w:type="dxa"/>
          </w:tcPr>
          <w:p w:rsidR="00270C38" w:rsidRPr="00353BF5" w:rsidRDefault="00270C38" w:rsidP="00353BF5">
            <w:pPr>
              <w:spacing w:after="0" w:line="240" w:lineRule="auto"/>
              <w:rPr>
                <w:sz w:val="20"/>
                <w:szCs w:val="20"/>
              </w:rPr>
            </w:pPr>
          </w:p>
        </w:tc>
      </w:tr>
      <w:tr w:rsidR="00270C38" w:rsidRPr="00353BF5">
        <w:trPr>
          <w:gridBefore w:val="1"/>
          <w:tblHeader/>
        </w:trPr>
        <w:tc>
          <w:tcPr>
            <w:tcW w:w="1951" w:type="dxa"/>
            <w:shd w:val="clear" w:color="auto" w:fill="D9D9D9"/>
          </w:tcPr>
          <w:p w:rsidR="00270C38" w:rsidRPr="00353BF5" w:rsidRDefault="00270C38" w:rsidP="00353BF5">
            <w:pPr>
              <w:spacing w:after="0" w:line="240" w:lineRule="auto"/>
              <w:rPr>
                <w:b/>
                <w:bCs/>
              </w:rPr>
            </w:pPr>
            <w:r w:rsidRPr="00353BF5">
              <w:rPr>
                <w:b/>
                <w:bCs/>
              </w:rPr>
              <w:t>Volodya</w:t>
            </w:r>
          </w:p>
        </w:tc>
        <w:tc>
          <w:tcPr>
            <w:tcW w:w="4111" w:type="dxa"/>
          </w:tcPr>
          <w:p w:rsidR="00270C38" w:rsidRPr="00353BF5" w:rsidRDefault="00270C38" w:rsidP="00353BF5">
            <w:pPr>
              <w:pStyle w:val="BodyText"/>
              <w:spacing w:before="0" w:beforeAutospacing="0" w:after="0" w:afterAutospacing="0"/>
              <w:rPr>
                <w:rFonts w:ascii="Calibri" w:hAnsi="Calibri" w:cs="Calibri"/>
                <w:lang w:val="en-US"/>
              </w:rPr>
            </w:pPr>
            <w:r w:rsidRPr="00353BF5">
              <w:rPr>
                <w:rFonts w:ascii="Calibri" w:hAnsi="Calibri" w:cs="Calibri"/>
                <w:lang w:val="en-US"/>
              </w:rPr>
              <w:t>Exclusion process should be defined: when local laws and a UN declaration conflict, which is applicable?</w:t>
            </w:r>
          </w:p>
          <w:p w:rsidR="00270C38" w:rsidRPr="00353BF5" w:rsidRDefault="00270C38" w:rsidP="00353BF5">
            <w:pPr>
              <w:spacing w:after="0" w:line="240" w:lineRule="auto"/>
              <w:rPr>
                <w:sz w:val="20"/>
                <w:szCs w:val="20"/>
              </w:rPr>
            </w:pPr>
          </w:p>
        </w:tc>
        <w:tc>
          <w:tcPr>
            <w:tcW w:w="4536" w:type="dxa"/>
          </w:tcPr>
          <w:p w:rsidR="00270C38" w:rsidRPr="00353BF5" w:rsidRDefault="00270C38" w:rsidP="00353BF5">
            <w:pPr>
              <w:spacing w:after="0" w:line="240" w:lineRule="auto"/>
              <w:rPr>
                <w:sz w:val="20"/>
                <w:szCs w:val="20"/>
              </w:rPr>
            </w:pPr>
          </w:p>
        </w:tc>
        <w:tc>
          <w:tcPr>
            <w:tcW w:w="4961" w:type="dxa"/>
          </w:tcPr>
          <w:p w:rsidR="00270C38" w:rsidRPr="00353BF5" w:rsidRDefault="00270C38" w:rsidP="00353BF5">
            <w:pPr>
              <w:spacing w:after="0" w:line="240" w:lineRule="auto"/>
              <w:rPr>
                <w:sz w:val="20"/>
                <w:szCs w:val="20"/>
              </w:rPr>
            </w:pPr>
            <w:r w:rsidRPr="00353BF5">
              <w:rPr>
                <w:sz w:val="20"/>
                <w:szCs w:val="20"/>
              </w:rPr>
              <w:t>The term “law enforcement” is defined without making the scope clear: traffic wardens or NSA? The term “government” also needs to be defined.</w:t>
            </w:r>
          </w:p>
        </w:tc>
      </w:tr>
      <w:tr w:rsidR="00270C38" w:rsidRPr="00353BF5">
        <w:trPr>
          <w:gridBefore w:val="1"/>
          <w:tblHeader/>
        </w:trPr>
        <w:tc>
          <w:tcPr>
            <w:tcW w:w="1951" w:type="dxa"/>
            <w:shd w:val="clear" w:color="auto" w:fill="D9D9D9"/>
          </w:tcPr>
          <w:p w:rsidR="00270C38" w:rsidRPr="00353BF5" w:rsidRDefault="00270C38" w:rsidP="00353BF5">
            <w:pPr>
              <w:spacing w:after="0" w:line="240" w:lineRule="auto"/>
            </w:pPr>
          </w:p>
        </w:tc>
        <w:tc>
          <w:tcPr>
            <w:tcW w:w="4111" w:type="dxa"/>
          </w:tcPr>
          <w:p w:rsidR="00270C38" w:rsidRPr="00353BF5" w:rsidRDefault="00270C38" w:rsidP="00353BF5">
            <w:pPr>
              <w:spacing w:after="0" w:line="240" w:lineRule="auto"/>
              <w:rPr>
                <w:sz w:val="20"/>
                <w:szCs w:val="20"/>
              </w:rPr>
            </w:pPr>
            <w:r w:rsidRPr="00353BF5">
              <w:rPr>
                <w:b/>
                <w:bCs/>
                <w:sz w:val="20"/>
                <w:szCs w:val="20"/>
                <w:highlight w:val="lightGray"/>
              </w:rPr>
              <w:t>Lexinta</w:t>
            </w:r>
            <w:r w:rsidRPr="00353BF5">
              <w:rPr>
                <w:sz w:val="20"/>
                <w:szCs w:val="20"/>
                <w:lang w:val="en-US"/>
              </w:rPr>
              <w:t xml:space="preserve"> - Refine the definition as follows: </w:t>
            </w:r>
            <w:r w:rsidRPr="00353BF5">
              <w:rPr>
                <w:i/>
                <w:iCs/>
                <w:sz w:val="20"/>
                <w:szCs w:val="20"/>
                <w:lang w:val="en-US"/>
              </w:rPr>
              <w:t xml:space="preserve">Includes any and all locally applicable laws and legislation in force that regulate and/or control use, access, and disclosure of personally identifiable information. It may also include other relevant legal requirements, including but not limited to U.N. Universal Declaration of Human Rights etc. </w:t>
            </w:r>
            <w:r w:rsidRPr="00353BF5">
              <w:rPr>
                <w:sz w:val="20"/>
                <w:szCs w:val="20"/>
                <w:lang w:val="en-US"/>
              </w:rPr>
              <w:t xml:space="preserve">National is too narrow: the regulatory system may imply transnational prescriptions (e.g. treaty of law provisions that locally apply). </w:t>
            </w:r>
            <w:r w:rsidRPr="00353BF5">
              <w:rPr>
                <w:i/>
                <w:iCs/>
                <w:sz w:val="20"/>
                <w:szCs w:val="20"/>
                <w:lang w:val="en-US"/>
              </w:rPr>
              <w:t>Legislation in force</w:t>
            </w:r>
            <w:r w:rsidRPr="00353BF5">
              <w:rPr>
                <w:sz w:val="20"/>
                <w:szCs w:val="20"/>
                <w:lang w:val="en-US"/>
              </w:rPr>
              <w:t xml:space="preserve"> reflects more accurately the intended reach of regulation. </w:t>
            </w:r>
            <w:r w:rsidRPr="00353BF5">
              <w:rPr>
                <w:i/>
                <w:iCs/>
                <w:sz w:val="20"/>
                <w:szCs w:val="20"/>
                <w:lang w:val="en-US"/>
              </w:rPr>
              <w:t>Legal obligations</w:t>
            </w:r>
            <w:r w:rsidRPr="00353BF5">
              <w:rPr>
                <w:sz w:val="20"/>
                <w:szCs w:val="20"/>
                <w:lang w:val="en-US"/>
              </w:rPr>
              <w:t xml:space="preserve"> relate to engagement, </w:t>
            </w:r>
            <w:r w:rsidRPr="00353BF5">
              <w:rPr>
                <w:i/>
                <w:iCs/>
                <w:sz w:val="20"/>
                <w:szCs w:val="20"/>
                <w:lang w:val="en-US"/>
              </w:rPr>
              <w:t>legal requirements</w:t>
            </w:r>
            <w:r w:rsidRPr="00353BF5">
              <w:rPr>
                <w:sz w:val="20"/>
                <w:szCs w:val="20"/>
                <w:lang w:val="en-US"/>
              </w:rPr>
              <w:t xml:space="preserve"> or</w:t>
            </w:r>
            <w:r w:rsidRPr="00353BF5">
              <w:rPr>
                <w:i/>
                <w:iCs/>
                <w:sz w:val="20"/>
                <w:szCs w:val="20"/>
                <w:lang w:val="en-US"/>
              </w:rPr>
              <w:t xml:space="preserve"> legal requirements and obligations </w:t>
            </w:r>
            <w:r w:rsidRPr="00353BF5">
              <w:rPr>
                <w:sz w:val="20"/>
                <w:szCs w:val="20"/>
                <w:lang w:val="en-US"/>
              </w:rPr>
              <w:t xml:space="preserve">might be appropriate formulations. </w:t>
            </w:r>
            <w:r w:rsidRPr="00353BF5">
              <w:rPr>
                <w:i/>
                <w:iCs/>
                <w:sz w:val="20"/>
                <w:szCs w:val="20"/>
                <w:lang w:val="en-US"/>
              </w:rPr>
              <w:t>Included but not limited to</w:t>
            </w:r>
            <w:r w:rsidRPr="00353BF5">
              <w:rPr>
                <w:sz w:val="20"/>
                <w:szCs w:val="20"/>
                <w:lang w:val="en-US"/>
              </w:rPr>
              <w:t>: avoid any possibility of an excessively restricted interpretation.</w:t>
            </w:r>
          </w:p>
        </w:tc>
        <w:tc>
          <w:tcPr>
            <w:tcW w:w="4536" w:type="dxa"/>
          </w:tcPr>
          <w:p w:rsidR="00270C38" w:rsidRPr="00353BF5" w:rsidRDefault="00270C38" w:rsidP="00353BF5">
            <w:pPr>
              <w:spacing w:after="0" w:line="240" w:lineRule="auto"/>
              <w:rPr>
                <w:sz w:val="20"/>
                <w:szCs w:val="20"/>
              </w:rPr>
            </w:pPr>
          </w:p>
        </w:tc>
        <w:tc>
          <w:tcPr>
            <w:tcW w:w="4961" w:type="dxa"/>
          </w:tcPr>
          <w:p w:rsidR="00270C38" w:rsidRPr="00353BF5" w:rsidRDefault="00270C38" w:rsidP="00B82E67">
            <w:pPr>
              <w:pStyle w:val="HTMLPreformatted"/>
              <w:rPr>
                <w:rFonts w:ascii="Calibri" w:hAnsi="Calibri" w:cs="Calibri"/>
                <w:lang w:val="en-US" w:eastAsia="en-US"/>
              </w:rPr>
            </w:pPr>
            <w:r w:rsidRPr="00353BF5">
              <w:rPr>
                <w:rFonts w:ascii="Calibri" w:hAnsi="Calibri" w:cs="Calibri"/>
                <w:b/>
                <w:bCs/>
                <w:highlight w:val="lightGray"/>
              </w:rPr>
              <w:t>Ronald Guilmette</w:t>
            </w:r>
            <w:r w:rsidRPr="00353BF5">
              <w:rPr>
                <w:rFonts w:ascii="Calibri" w:hAnsi="Calibri" w:cs="Calibri"/>
                <w:lang w:val="en-US" w:eastAsia="en-US"/>
              </w:rPr>
              <w:t xml:space="preserve"> - Such a definition will only be useful if it has been decided that the WHOIS service will have (or does have) some special and particular intended uses unique to </w:t>
            </w:r>
            <w:r w:rsidRPr="00353BF5">
              <w:rPr>
                <w:rFonts w:ascii="Calibri" w:hAnsi="Calibri" w:cs="Calibri"/>
                <w:i/>
                <w:iCs/>
                <w:lang w:val="en-US" w:eastAsia="en-US"/>
              </w:rPr>
              <w:t>Law Enforcement</w:t>
            </w:r>
            <w:r w:rsidRPr="00353BF5">
              <w:rPr>
                <w:rFonts w:ascii="Calibri" w:hAnsi="Calibri" w:cs="Calibri"/>
                <w:lang w:val="en-US" w:eastAsia="en-US"/>
              </w:rPr>
              <w:t>. No opinion can be given until a document has been presented into which the definition fits. Should this definition grant LEA access to certain types of WHOIS then it should be drafted broadly.</w:t>
            </w:r>
          </w:p>
          <w:p w:rsidR="00270C38" w:rsidRPr="00353BF5" w:rsidRDefault="00270C38" w:rsidP="00353BF5">
            <w:pPr>
              <w:spacing w:after="0" w:line="240" w:lineRule="auto"/>
              <w:rPr>
                <w:sz w:val="20"/>
                <w:szCs w:val="20"/>
              </w:rPr>
            </w:pPr>
          </w:p>
        </w:tc>
      </w:tr>
    </w:tbl>
    <w:p w:rsidR="00270C38" w:rsidRDefault="00270C38" w:rsidP="00DE0C09"/>
    <w:p w:rsidR="00270C38" w:rsidRDefault="00270C38" w:rsidP="008A2CFB">
      <w:pPr>
        <w:rPr>
          <w:rFonts w:ascii="Times New Roman" w:hAnsi="Times New Roman" w:cs="Times New Roman"/>
          <w:sz w:val="24"/>
          <w:szCs w:val="24"/>
          <w:lang w:eastAsia="en-GB"/>
        </w:rPr>
      </w:pPr>
      <w:bookmarkStart w:id="6" w:name="_PictureBullets"/>
    </w:p>
    <w:p w:rsidR="00270C38" w:rsidRDefault="00270C38" w:rsidP="008A2CFB">
      <w:pPr>
        <w:rPr>
          <w:rFonts w:ascii="Times New Roman" w:hAnsi="Times New Roman" w:cs="Times New Roman"/>
          <w:sz w:val="24"/>
          <w:szCs w:val="24"/>
          <w:lang w:eastAsia="en-GB"/>
        </w:rPr>
      </w:pPr>
    </w:p>
    <w:p w:rsidR="00270C38" w:rsidRDefault="00270C38" w:rsidP="008A2CFB">
      <w:pPr>
        <w:rPr>
          <w:rFonts w:ascii="Times New Roman" w:hAnsi="Times New Roman" w:cs="Times New Roman"/>
          <w:sz w:val="24"/>
          <w:szCs w:val="24"/>
          <w:lang w:eastAsia="en-GB"/>
        </w:rPr>
      </w:pPr>
    </w:p>
    <w:p w:rsidR="00270C38" w:rsidRDefault="00270C38" w:rsidP="008A2CFB">
      <w:pPr>
        <w:rPr>
          <w:rFonts w:ascii="Times New Roman" w:hAnsi="Times New Roman" w:cs="Times New Roman"/>
          <w:sz w:val="24"/>
          <w:szCs w:val="24"/>
          <w:lang w:eastAsia="en-GB"/>
        </w:rPr>
      </w:pPr>
    </w:p>
    <w:p w:rsidR="00270C38" w:rsidRDefault="00270C38" w:rsidP="008A2CFB">
      <w:pPr>
        <w:rPr>
          <w:rFonts w:ascii="Times New Roman" w:hAnsi="Times New Roman" w:cs="Times New Roman"/>
          <w:sz w:val="24"/>
          <w:szCs w:val="24"/>
          <w:lang w:eastAsia="en-GB"/>
        </w:rPr>
      </w:pPr>
    </w:p>
    <w:p w:rsidR="00270C38" w:rsidRDefault="00270C38" w:rsidP="00601037">
      <w:pPr>
        <w:rPr>
          <w:b/>
          <w:bCs/>
          <w:sz w:val="32"/>
          <w:szCs w:val="32"/>
        </w:rPr>
        <w:sectPr w:rsidR="00270C38" w:rsidSect="00AA6F79">
          <w:pgSz w:w="16838" w:h="11906" w:orient="landscape"/>
          <w:pgMar w:top="720" w:right="720" w:bottom="720" w:left="720" w:header="709" w:footer="709" w:gutter="0"/>
          <w:cols w:space="708"/>
          <w:docGrid w:linePitch="360"/>
        </w:sectPr>
      </w:pPr>
    </w:p>
    <w:p w:rsidR="00270C38" w:rsidRDefault="00270C38" w:rsidP="008A2CFB">
      <w:pPr>
        <w:rPr>
          <w:b/>
          <w:bCs/>
          <w:sz w:val="32"/>
          <w:szCs w:val="32"/>
        </w:rPr>
      </w:pPr>
      <w:r w:rsidRPr="00FC37D3">
        <w:rPr>
          <w:b/>
          <w:bCs/>
          <w:sz w:val="32"/>
          <w:szCs w:val="32"/>
        </w:rPr>
        <w:t xml:space="preserve">Annex </w:t>
      </w:r>
      <w:r>
        <w:rPr>
          <w:b/>
          <w:bCs/>
          <w:sz w:val="32"/>
          <w:szCs w:val="32"/>
        </w:rPr>
        <w:t>B</w:t>
      </w:r>
    </w:p>
    <w:tbl>
      <w:tblPr>
        <w:tblW w:w="10460" w:type="dxa"/>
        <w:tblInd w:w="2" w:type="dxa"/>
        <w:tblLook w:val="0000"/>
      </w:tblPr>
      <w:tblGrid>
        <w:gridCol w:w="10460"/>
      </w:tblGrid>
      <w:tr w:rsidR="00270C38" w:rsidRPr="00534987">
        <w:trPr>
          <w:trHeight w:val="255"/>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1. Do you feel this definition is suitable in the context of this Review?</w:t>
            </w:r>
          </w:p>
        </w:tc>
      </w:tr>
      <w:tr w:rsidR="00270C38" w:rsidRPr="00534987">
        <w:trPr>
          <w:trHeight w:val="255"/>
        </w:trPr>
        <w:tc>
          <w:tcPr>
            <w:tcW w:w="10460" w:type="dxa"/>
            <w:tcBorders>
              <w:top w:val="nil"/>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Yes, but...</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Yes this definition is suitable. </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Yes</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YES</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No</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No</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Yes</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YES</w:t>
            </w:r>
          </w:p>
          <w:p w:rsidR="00270C38" w:rsidRPr="00534987" w:rsidRDefault="00270C38" w:rsidP="00867944">
            <w:pPr>
              <w:rPr>
                <w:rFonts w:ascii="Arial" w:hAnsi="Arial" w:cs="Arial"/>
              </w:rPr>
            </w:pPr>
          </w:p>
        </w:tc>
      </w:tr>
      <w:tr w:rsidR="00270C38" w:rsidRPr="00534987">
        <w:trPr>
          <w:trHeight w:val="255"/>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2. If not, do you have any suggestions/changes or additions?</w:t>
            </w:r>
          </w:p>
        </w:tc>
      </w:tr>
      <w:tr w:rsidR="00270C38" w:rsidRPr="00534987">
        <w:trPr>
          <w:trHeight w:val="615"/>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...keep in mind that there are many private initiatives by private entities that are doing a lot of great work in countering abusive behaviour on the internet. These organisations also make use of public WHOIS data.</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It should include references to the competence in criminal investigation activities, otherwise even CERT´s could be considered as LEA, and I don´t think ICANN will agree.</w:t>
            </w:r>
          </w:p>
        </w:tc>
      </w:tr>
      <w:tr w:rsidR="00270C38" w:rsidRPr="00534987">
        <w:trPr>
          <w:trHeight w:val="765"/>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 xml:space="preserve">If anything I thing this is overwide and would cover just about everyone involved with Government or working in the public sector.  I think this could be restricted to those bodies with Law Enforcement powers or regulatory functions. If it is as wide as this how will ICANN possibly be able to check the credentials of all government bodies. </w:t>
            </w:r>
          </w:p>
          <w:p w:rsidR="00270C38" w:rsidRPr="00534987" w:rsidRDefault="00270C38" w:rsidP="00867944">
            <w:pPr>
              <w:rPr>
                <w:rFonts w:ascii="Arial" w:hAnsi="Arial" w:cs="Arial"/>
              </w:rPr>
            </w:pPr>
          </w:p>
        </w:tc>
      </w:tr>
      <w:tr w:rsidR="00270C38" w:rsidRPr="00534987">
        <w:trPr>
          <w:trHeight w:val="255"/>
        </w:trPr>
        <w:tc>
          <w:tcPr>
            <w:tcW w:w="10460" w:type="dxa"/>
            <w:tcBorders>
              <w:top w:val="nil"/>
              <w:left w:val="nil"/>
              <w:bottom w:val="nil"/>
              <w:right w:val="nil"/>
            </w:tcBorders>
            <w:shd w:val="clear" w:color="auto" w:fill="C0C0C0"/>
            <w:noWrap/>
            <w:vAlign w:val="bottom"/>
          </w:tcPr>
          <w:p w:rsidR="00270C38" w:rsidRPr="00534987" w:rsidRDefault="00270C38" w:rsidP="00867944">
            <w:pPr>
              <w:rPr>
                <w:rFonts w:ascii="Arial" w:hAnsi="Arial" w:cs="Arial"/>
                <w:b/>
                <w:bCs/>
              </w:rPr>
            </w:pPr>
            <w:r w:rsidRPr="00534987">
              <w:rPr>
                <w:rFonts w:ascii="Arial" w:hAnsi="Arial" w:cs="Arial"/>
                <w:b/>
                <w:bCs/>
              </w:rPr>
              <w:t>3. Does WHOIS policy and its implementation meet your needs?</w:t>
            </w:r>
          </w:p>
        </w:tc>
      </w:tr>
      <w:tr w:rsidR="00270C38" w:rsidRPr="00534987">
        <w:trPr>
          <w:trHeight w:val="255"/>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a. If so, are any aspects of the WHOIS service more important than others?</w:t>
            </w:r>
          </w:p>
        </w:tc>
      </w:tr>
      <w:tr w:rsidR="00270C38" w:rsidRPr="00534987">
        <w:trPr>
          <w:trHeight w:val="765"/>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The registration date in the domain WHOIS is a very useful information: “Fresh” domains are more suspicious than long established ones. Network WHOIS provides leads to physical infrastructure and is therefore, from a technical point of view, more important than domain-WHOIS.</w:t>
            </w:r>
          </w:p>
        </w:tc>
      </w:tr>
      <w:tr w:rsidR="00270C38" w:rsidRPr="00534987">
        <w:trPr>
          <w:trHeight w:val="491"/>
        </w:trPr>
        <w:tc>
          <w:tcPr>
            <w:tcW w:w="10460" w:type="dxa"/>
            <w:vMerge w:val="restart"/>
            <w:tcBorders>
              <w:top w:val="nil"/>
              <w:left w:val="single" w:sz="4" w:space="0" w:color="auto"/>
              <w:bottom w:val="single" w:sz="4" w:space="0" w:color="000000"/>
              <w:right w:val="single" w:sz="4" w:space="0" w:color="auto"/>
            </w:tcBorders>
            <w:vAlign w:val="center"/>
          </w:tcPr>
          <w:p w:rsidR="00270C38" w:rsidRPr="00534987" w:rsidRDefault="00270C38" w:rsidP="00867944">
            <w:pPr>
              <w:rPr>
                <w:rFonts w:ascii="Arial" w:hAnsi="Arial" w:cs="Arial"/>
              </w:rPr>
            </w:pPr>
            <w:r w:rsidRPr="00534987">
              <w:rPr>
                <w:rFonts w:ascii="Arial" w:hAnsi="Arial" w:cs="Arial"/>
              </w:rPr>
              <w:t>In some parts yes. Serbian MoI and We think MoIs in many countries around the world have a problem with accuracy of data, some of register data are incomplete, many of them give an opportunity for anonymous registrations,  some of them are not updated/data are old as example if some srevice is sold to other person etc</w:t>
            </w:r>
          </w:p>
        </w:tc>
      </w:tr>
      <w:tr w:rsidR="00270C38" w:rsidRPr="00534987">
        <w:trPr>
          <w:trHeight w:val="491"/>
        </w:trPr>
        <w:tc>
          <w:tcPr>
            <w:tcW w:w="10460" w:type="dxa"/>
            <w:vMerge/>
            <w:tcBorders>
              <w:top w:val="nil"/>
              <w:left w:val="single" w:sz="4" w:space="0" w:color="auto"/>
              <w:bottom w:val="single" w:sz="4" w:space="0" w:color="000000"/>
              <w:right w:val="single" w:sz="4" w:space="0" w:color="auto"/>
            </w:tcBorders>
            <w:vAlign w:val="center"/>
          </w:tcPr>
          <w:p w:rsidR="00270C38" w:rsidRPr="00534987" w:rsidRDefault="00270C38" w:rsidP="00867944">
            <w:pPr>
              <w:rPr>
                <w:rFonts w:ascii="Arial" w:hAnsi="Arial" w:cs="Arial"/>
              </w:rPr>
            </w:pP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Yes it does, email accounts and registrar details are quite useful because they lead to payment details and connection logs.</w:t>
            </w:r>
          </w:p>
          <w:p w:rsidR="00270C38" w:rsidRPr="00534987" w:rsidRDefault="00270C38" w:rsidP="00867944">
            <w:pPr>
              <w:rPr>
                <w:rFonts w:ascii="Arial" w:hAnsi="Arial" w:cs="Arial"/>
              </w:rPr>
            </w:pPr>
          </w:p>
        </w:tc>
      </w:tr>
      <w:tr w:rsidR="00270C38" w:rsidRPr="00534987">
        <w:trPr>
          <w:trHeight w:val="255"/>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b. If not, what issues or problems have you encountered with WHOIS?</w:t>
            </w:r>
          </w:p>
        </w:tc>
      </w:tr>
      <w:tr w:rsidR="00270C38" w:rsidRPr="00534987">
        <w:trPr>
          <w:trHeight w:val="510"/>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Criminals use fake-WHOIS or proxy/privacy-registration (with STILL fake data behind) which makes determination of the competent jurisdiction difficult.</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Whois does not provide the exact physical location of a computer nor does it guarantee that the information provided on entities/persons is correct.</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It doesn’t fully meet our needs. The main problems are whois privacy (when there are no results in whois) and fake data (when details of the owner of resourse/IP range/AS appear to be fake). </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Some remarks: sometimes there is an information in registering data not about an end user but about a company by means of which the domain name was registered; and publication of fictitious data.</w:t>
            </w:r>
          </w:p>
        </w:tc>
      </w:tr>
      <w:tr w:rsidR="00270C38" w:rsidRPr="00534987">
        <w:trPr>
          <w:trHeight w:val="1020"/>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 xml:space="preserve">Lower level &amp; free domain name and website access creates the opportunity for anonymous creation of websites with fictitious email and address details. Advertising revenue has created a situation where anyone can host anything for a given amount of time before checks are made and very often no checks are done until LEA intervention. </w:t>
            </w:r>
          </w:p>
          <w:p w:rsidR="00270C38" w:rsidRPr="00534987" w:rsidRDefault="00270C38" w:rsidP="00867944">
            <w:pPr>
              <w:rPr>
                <w:rFonts w:ascii="Arial" w:hAnsi="Arial" w:cs="Arial"/>
              </w:rPr>
            </w:pPr>
          </w:p>
        </w:tc>
      </w:tr>
      <w:tr w:rsidR="00270C38" w:rsidRPr="00534987">
        <w:trPr>
          <w:trHeight w:val="510"/>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4. How important is WHOIS for law enforcement activities? Are there alternative data sources that you could use?</w:t>
            </w:r>
          </w:p>
        </w:tc>
      </w:tr>
      <w:tr w:rsidR="00270C38" w:rsidRPr="00534987">
        <w:trPr>
          <w:trHeight w:val="510"/>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WHOIS is very important. It provides first leads. If accurate, jurisdiction can be determined and criminals may be found – if inaccurate, Domain can be revoked (violation of T&amp;C).</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WHOIS is very important because We think that the most valuable information’s could be found there. Alternative data sources could be forums and other services that have some kind of registers like national services etc. </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Important for finding location of devices, identifying subjects. Others sources can be used, but the don’t fully offer the same results if we had a proper functioning WHOIS</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Whois is, of course, of a great importance. Sometimes we can use additional sources but also based on whois info.</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It is considered vital in cybercrime investigation due to the fact that there is no other way to obtain data about the legitimate owner of a domain or IP range.</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WHOIS is very often used in our work. There is an alternative data source – www.centralops.net</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 xml:space="preserve">"WHOIS" is an important first step in the enquiry chain but cannot be relied on, often the contact details are dated and non-responsive on a 24/7 basis. </w:t>
            </w:r>
          </w:p>
          <w:p w:rsidR="00270C38" w:rsidRPr="00534987" w:rsidRDefault="00270C38" w:rsidP="00867944">
            <w:pPr>
              <w:rPr>
                <w:rFonts w:ascii="Arial" w:hAnsi="Arial" w:cs="Arial"/>
              </w:rPr>
            </w:pPr>
          </w:p>
        </w:tc>
      </w:tr>
      <w:tr w:rsidR="00270C38" w:rsidRPr="00534987">
        <w:trPr>
          <w:trHeight w:val="510"/>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 xml:space="preserve">5. What changes to WHOIS would you recommend to better meet the needs of law enforcement? Please provide reasons. </w:t>
            </w:r>
          </w:p>
        </w:tc>
      </w:tr>
      <w:tr w:rsidR="00270C38" w:rsidRPr="00534987">
        <w:trPr>
          <w:trHeight w:val="510"/>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Verification of registrant or at least “plausibility-check” of entered WHOIS-data can lead to better quality of data and might prevent fraudulent domain registrations.</w:t>
            </w:r>
          </w:p>
        </w:tc>
      </w:tr>
      <w:tr w:rsidR="00270C38" w:rsidRPr="00534987">
        <w:trPr>
          <w:trHeight w:val="153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We think that accuracy of data is important, some of register data are incomplete, many of them give an opportunity for anonymous registrations,  some of them are not updated/data are old as example if some srevice is sold to other person etc. We need exact data of registrants, more informations about administrative contact witch are updated and correct (as example checking of those contacts to see are they real or fictive). The real reason is that We losing a lot of time to establish who is behind some services on the Internet. That would help to prevent anonimity of cyber criminals etc. </w:t>
            </w:r>
          </w:p>
        </w:tc>
      </w:tr>
      <w:tr w:rsidR="00270C38" w:rsidRPr="00534987">
        <w:trPr>
          <w:trHeight w:val="127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Guarantee that a full ID or company (Chamber of Commerce) check had taken place before WHOIS info is entered into database. That the above information will be checked on accuracy regularly. That the exact physical location of server(s) (IP-based, AS-number) is stored in the relevant WHOIS (or RIPE/ARIN….etc) database, possibly including GPS-coordinates. That if incorrect information is provided, that IP/Domain/AS will be revoked. This only to enforce the entry of correct data. </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The main change it should be introduced is an effective check policy, in order to guaranty that the information provided is real and updated. If not user can still use any data to fill in the registration forms.</w:t>
            </w:r>
          </w:p>
        </w:tc>
      </w:tr>
      <w:tr w:rsidR="00270C38" w:rsidRPr="00534987">
        <w:trPr>
          <w:trHeight w:val="765"/>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 xml:space="preserve">a) By legislation down level responsibility. b) by-monthly record updates from it and administrators. c) Immediate upward facing suspension for creating or permitting anonymous or false information for site ownership and responsibility. </w:t>
            </w:r>
          </w:p>
          <w:p w:rsidR="00270C38" w:rsidRPr="00534987" w:rsidRDefault="00270C38" w:rsidP="00867944">
            <w:pPr>
              <w:rPr>
                <w:rFonts w:ascii="Arial" w:hAnsi="Arial" w:cs="Arial"/>
              </w:rPr>
            </w:pPr>
          </w:p>
        </w:tc>
      </w:tr>
      <w:tr w:rsidR="00270C38" w:rsidRPr="00534987">
        <w:trPr>
          <w:trHeight w:val="255"/>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6. In your view, how well is ICANN performing against these requirements? Please provide reasons.</w:t>
            </w:r>
          </w:p>
        </w:tc>
      </w:tr>
      <w:tr w:rsidR="00270C38" w:rsidRPr="00534987">
        <w:trPr>
          <w:trHeight w:val="510"/>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ICANN just recently started to “de-accredit” registrars for non-compliance (before, there have only been cases of de-accreditation for non-payment of charges)</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 am not very familiar with this topic</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They appear not to be aware of LEA’s (and thus legitimate internet users) needs.</w:t>
            </w:r>
          </w:p>
          <w:p w:rsidR="00270C38" w:rsidRPr="00534987" w:rsidRDefault="00270C38" w:rsidP="00867944">
            <w:pPr>
              <w:rPr>
                <w:rFonts w:ascii="Arial" w:hAnsi="Arial" w:cs="Arial"/>
              </w:rPr>
            </w:pPr>
          </w:p>
        </w:tc>
      </w:tr>
      <w:tr w:rsidR="00270C38" w:rsidRPr="00534987">
        <w:trPr>
          <w:trHeight w:val="510"/>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7. Do you have specific examples of effective ICANN policies or implementation activities, or suggestions of how ICANN could improve its performance?</w:t>
            </w:r>
          </w:p>
        </w:tc>
      </w:tr>
      <w:tr w:rsidR="00270C38" w:rsidRPr="00534987">
        <w:trPr>
          <w:trHeight w:val="510"/>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ICANN should be able and willing to enforce its policies. WHOIS policy seemed long to be just a recommendation whose non-compliance didn’t have consequences for registrars.</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If it is possible, it should be a good idea to start digital certificates as a requirement when someone tries to register a domain or IP range.</w:t>
            </w:r>
          </w:p>
          <w:p w:rsidR="00270C38" w:rsidRPr="00534987" w:rsidRDefault="00270C38" w:rsidP="00867944">
            <w:pPr>
              <w:rPr>
                <w:rFonts w:ascii="Arial" w:hAnsi="Arial" w:cs="Arial"/>
              </w:rPr>
            </w:pPr>
          </w:p>
        </w:tc>
      </w:tr>
      <w:tr w:rsidR="00270C38" w:rsidRPr="00534987">
        <w:trPr>
          <w:trHeight w:val="510"/>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8. How can ICANN balance privacy concerns with its commitment to having accurate and complete WHOIS data publicly accessible without restriction?</w:t>
            </w:r>
          </w:p>
        </w:tc>
      </w:tr>
      <w:tr w:rsidR="00270C38" w:rsidRPr="00534987">
        <w:trPr>
          <w:trHeight w:val="1275"/>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Forbid private-registrations for commercial websites (commercial by content or by TLD – “.com” should be commercial by definition?!) or just allow private registration for private homepages. Define policy about usage of privacy/proxy-services – where it should be allowed (eg freedom of speech) and where not (commercial use). If someone wants/needs to remain anonymous, does he/she really need to register internet-resources or can they also publish content in other ways?</w:t>
            </w:r>
          </w:p>
        </w:tc>
      </w:tr>
      <w:tr w:rsidR="00270C38" w:rsidRPr="00534987">
        <w:trPr>
          <w:trHeight w:val="178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Some data could be given in a form that is available to wider public but it must have solution that involve some kind of protected database available only to restricted number of people who are authorised to have more details that are not available to regular users (data could be given as some protected link witch could be seen able only to people with authorization and maybe they could establish database with protected access with user name and passwords).  Access should be given upon requests. It is important for the users to be aware of the scams that could be committed when clone Internet sites appears on the Internet as example in cases of phishing etc. If they are aware of this differences between real sites they use and falsh once they could give that information to police. </w:t>
            </w:r>
          </w:p>
        </w:tc>
      </w:tr>
      <w:tr w:rsidR="00270C38" w:rsidRPr="00534987">
        <w:trPr>
          <w:trHeight w:val="76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Publicly accessible could data could show less info as LEA accessible data. This would help to keep up with local privacy issues. The problem will pop-up that foreign LEA’s won’t be able to see all data without permission of the “hosting” LEA.</w:t>
            </w:r>
          </w:p>
        </w:tc>
      </w:tr>
      <w:tr w:rsidR="00270C38" w:rsidRPr="00534987">
        <w:trPr>
          <w:trHeight w:val="127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Being stricter when somebody tries to register a domain or an IP Range. They should check that the data provided is real and corresponds to the legitimate user. Developing an effective inspection system. Obviously these inspection mechanisms should be accompanied by penalties, fines, or punishments in order to be effective. In Spain the Ministry of Industry has developed a very strict regulation about this aspects and it is working very good with .es domains.</w:t>
            </w:r>
          </w:p>
        </w:tc>
      </w:tr>
      <w:tr w:rsidR="00270C38" w:rsidRPr="00534987">
        <w:trPr>
          <w:trHeight w:val="229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I think this is difficult if not impossible to achieve, especially in relation to the EU and the EU privacy regulations and laws. We need to draw a distinction between privacy and anonymity which is why LE are not against proxy registration per se but that the accurate details of registrants needs to be obtainable by Law Enforcement swiftly and globally without the need to return to the International letter of Request route which is too cumbersome and slow to be effective. ICANN needs to implement a policy which, while respecting individuals rights to privacy allows authorised Law Enforcement (as per definition above) access to the data for the investigation and prevention of crime. Special attention needs to be paid to the “accurate and complete” part of the statement ensuring registrants details are correct. This relies upon ICANN and the TLDs (both cc and gtlds) to implement know your customer policies. A swift removal of infrastructure from any shown to have not supplied correct data is crucial to the effectiveness of the system. If there are no consequences to registering with false data, people will continue to do so. </w:t>
            </w:r>
          </w:p>
        </w:tc>
      </w:tr>
      <w:tr w:rsidR="00270C38" w:rsidRPr="00534987">
        <w:trPr>
          <w:trHeight w:val="76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We think that it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tc>
      </w:tr>
      <w:tr w:rsidR="00270C38" w:rsidRPr="00534987">
        <w:trPr>
          <w:trHeight w:val="102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a) Information given to all registrants that administration information must be available to the public when a site is for unrestricted public access. b) Third party registered data controllers could be used for private or vulnerable sites (i.e. Schools, Financial Institutions etc.) c) Set levels of information similar to Companies House so that more detailed information requires at least a reason and some level of identification, email, incoming IP etc. </w:t>
            </w:r>
          </w:p>
        </w:tc>
      </w:tr>
      <w:tr w:rsidR="00270C38" w:rsidRPr="00534987">
        <w:trPr>
          <w:trHeight w:val="765"/>
        </w:trPr>
        <w:tc>
          <w:tcPr>
            <w:tcW w:w="10460" w:type="dxa"/>
            <w:tcBorders>
              <w:top w:val="nil"/>
              <w:left w:val="nil"/>
              <w:bottom w:val="nil"/>
              <w:right w:val="nil"/>
            </w:tcBorders>
            <w:shd w:val="clear" w:color="auto" w:fill="C0C0C0"/>
            <w:vAlign w:val="bottom"/>
          </w:tcPr>
          <w:p w:rsidR="00270C38" w:rsidRDefault="00270C38" w:rsidP="00867944">
            <w:pPr>
              <w:rPr>
                <w:rFonts w:ascii="Arial" w:hAnsi="Arial" w:cs="Arial"/>
                <w:b/>
                <w:bCs/>
              </w:rPr>
            </w:pPr>
            <w:r w:rsidRPr="00534987">
              <w:rPr>
                <w:rFonts w:ascii="Arial" w:hAnsi="Arial" w:cs="Arial"/>
                <w:b/>
                <w:bCs/>
              </w:rPr>
              <w:t xml:space="preserve">9. Are you aware of any efforts by country code Top Level Domain operators within your jurisdiction to find a balance with regards to WHOIS between potentially conflicting legal requirements for data protection, privacy and data disclosure? </w:t>
            </w:r>
          </w:p>
          <w:p w:rsidR="00270C38" w:rsidRPr="00534987" w:rsidRDefault="00270C38" w:rsidP="00867944">
            <w:pPr>
              <w:rPr>
                <w:rFonts w:ascii="Arial" w:hAnsi="Arial" w:cs="Arial"/>
                <w:b/>
                <w:bCs/>
              </w:rPr>
            </w:pPr>
          </w:p>
        </w:tc>
      </w:tr>
      <w:tr w:rsidR="00270C38" w:rsidRPr="00534987">
        <w:trPr>
          <w:trHeight w:val="510"/>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In our jurisdiction, all data that has to be published needs to be defined by laws/bylaws. Email-addresses have been removed from the public WHOIS to counter spamming.</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No, I am not. </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NL WHOIS is mainly closed for public now, only LEA is allowed access to full data. Works, but with the concern mentioned under 8.</w:t>
            </w:r>
          </w:p>
        </w:tc>
      </w:tr>
      <w:tr w:rsidR="00270C38" w:rsidRPr="00534987">
        <w:trPr>
          <w:trHeight w:val="76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.ES domains from Spain have an excellent system that has been approved by the Data Protection Agency. The information provided includes Name, address, and 4 different ways to contact the owner. It is regularly checked by the Ministry and if data is not updated a fine is issued.</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Not within the UK to my knowledge. </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NO</w:t>
            </w:r>
          </w:p>
          <w:p w:rsidR="00270C38" w:rsidRPr="00534987" w:rsidRDefault="00270C38" w:rsidP="00867944">
            <w:pPr>
              <w:rPr>
                <w:rFonts w:ascii="Arial" w:hAnsi="Arial" w:cs="Arial"/>
              </w:rPr>
            </w:pPr>
          </w:p>
        </w:tc>
      </w:tr>
      <w:tr w:rsidR="00270C38" w:rsidRPr="00534987">
        <w:trPr>
          <w:trHeight w:val="255"/>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10. What is the importance of WHOIS data being publicly available without restriction?</w:t>
            </w:r>
          </w:p>
        </w:tc>
      </w:tr>
      <w:tr w:rsidR="00270C38" w:rsidRPr="00534987">
        <w:trPr>
          <w:trHeight w:val="765"/>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Providing contact address for issues with the relevant internet-resource. Indicating possible jurisdiction.</w:t>
            </w:r>
            <w:r w:rsidRPr="00534987">
              <w:rPr>
                <w:rFonts w:ascii="Arial" w:hAnsi="Arial" w:cs="Arial"/>
              </w:rPr>
              <w:br/>
              <w:t>“Know your businesspartner”: Possibility to check on registrant of domainname.</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ICANN should rise awareness of governments in countries that are main sources of proxy services. Round checking should be one of solutions as well. </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Legitimate companies could use this data to improved their services to the public.</w:t>
            </w:r>
          </w:p>
        </w:tc>
      </w:tr>
      <w:tr w:rsidR="00270C38" w:rsidRPr="00534987">
        <w:trPr>
          <w:trHeight w:val="102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It is the single database in the world that can provide information about IP&amp;domains owners. Those details are very useful because lead you to corporation that is in possession of the information that is relevant to the different cases. If WHOIS data was not public, it would be impossible to identify these corporations, so the investigation could not be carried out. </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It’s in direct proportion to the importance of Internet in modern world.  </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 xml:space="preserve">To the general public, knowledge that it is available is sufficient but knowing that LEAs can access detailed accurate information readily and immediately is more important. </w:t>
            </w:r>
          </w:p>
          <w:p w:rsidR="00270C38" w:rsidRPr="00534987" w:rsidRDefault="00270C38" w:rsidP="00867944">
            <w:pPr>
              <w:rPr>
                <w:rFonts w:ascii="Arial" w:hAnsi="Arial" w:cs="Arial"/>
              </w:rPr>
            </w:pPr>
          </w:p>
        </w:tc>
      </w:tr>
      <w:tr w:rsidR="00270C38" w:rsidRPr="00534987">
        <w:trPr>
          <w:trHeight w:val="510"/>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11. How should ICANN address concerns about the use of privacy/proxy services and their impact on the accuracy of the WHOIS data?</w:t>
            </w:r>
          </w:p>
        </w:tc>
      </w:tr>
      <w:tr w:rsidR="00270C38" w:rsidRPr="00534987">
        <w:trPr>
          <w:trHeight w:val="255"/>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Provide accreditation for privacy/proxy-services similar to registrar accreditation.</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We think that this is a great problem because it could conceal traces and give an opportunity for anonymity  and abuse of this services by criminals</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See 5.</w:t>
            </w:r>
          </w:p>
        </w:tc>
      </w:tr>
      <w:tr w:rsidR="00270C38" w:rsidRPr="00534987">
        <w:trPr>
          <w:trHeight w:val="510"/>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They should developed a strict regulation about the privacy services these companies can provide with, and when they are forced to disclosure that information</w:t>
            </w:r>
          </w:p>
        </w:tc>
      </w:tr>
      <w:tr w:rsidR="00270C38" w:rsidRPr="00534987">
        <w:trPr>
          <w:trHeight w:val="765"/>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 xml:space="preserve">If a person goes onto the street wearing a face mask that person is likely to be detained for some purpose. Access to some buildings will be restricted for example banks. Then equally restrictions on access to and distributing information for or pertaining to the public or individuals are justified to protect the public interest. </w:t>
            </w:r>
          </w:p>
          <w:p w:rsidR="00270C38" w:rsidRPr="00534987" w:rsidRDefault="00270C38" w:rsidP="00867944">
            <w:pPr>
              <w:rPr>
                <w:rFonts w:ascii="Arial" w:hAnsi="Arial" w:cs="Arial"/>
              </w:rPr>
            </w:pPr>
          </w:p>
        </w:tc>
      </w:tr>
      <w:tr w:rsidR="00270C38" w:rsidRPr="00534987">
        <w:trPr>
          <w:trHeight w:val="255"/>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12. What is your view on the use of privacy and proxy services by registrants?</w:t>
            </w:r>
          </w:p>
        </w:tc>
      </w:tr>
      <w:tr w:rsidR="00270C38" w:rsidRPr="00534987">
        <w:trPr>
          <w:trHeight w:val="510"/>
        </w:trPr>
        <w:tc>
          <w:tcPr>
            <w:tcW w:w="10460" w:type="dxa"/>
            <w:tcBorders>
              <w:top w:val="single" w:sz="4" w:space="0" w:color="auto"/>
              <w:left w:val="nil"/>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It’s a tool to remain anonymous which may be useful and justified in certain limited cases. Nowadays it’s mostly used by people who run illicit or “immoral” business and fear repression by law enforcement or private “cruisaders”.</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No</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See 3.</w:t>
            </w:r>
          </w:p>
        </w:tc>
      </w:tr>
      <w:tr w:rsidR="00270C38" w:rsidRPr="00534987">
        <w:trPr>
          <w:trHeight w:val="76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It turns the LEA job extremely difficult because most of these privacy companies are based in foreign countries, so it becomes quite hard to gather information about the real owners of the domains. Even somebody manages to contact them they rarely provide details about their customers. So, in fact, is like deleting the WHOIS databases</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See previous. </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From the point of view of LEA the use of proxy services embarrasses the investigation.</w:t>
            </w:r>
          </w:p>
        </w:tc>
      </w:tr>
      <w:tr w:rsidR="00270C38" w:rsidRPr="00534987">
        <w:trPr>
          <w:trHeight w:val="765"/>
        </w:trPr>
        <w:tc>
          <w:tcPr>
            <w:tcW w:w="10460" w:type="dxa"/>
            <w:tcBorders>
              <w:top w:val="nil"/>
              <w:left w:val="single" w:sz="4" w:space="0" w:color="auto"/>
              <w:bottom w:val="single" w:sz="4" w:space="0" w:color="auto"/>
              <w:right w:val="single" w:sz="4" w:space="0" w:color="auto"/>
            </w:tcBorders>
            <w:vAlign w:val="bottom"/>
          </w:tcPr>
          <w:p w:rsidR="00270C38" w:rsidRDefault="00270C38" w:rsidP="00867944">
            <w:pPr>
              <w:rPr>
                <w:rFonts w:ascii="Arial" w:hAnsi="Arial" w:cs="Arial"/>
              </w:rPr>
            </w:pPr>
            <w:r w:rsidRPr="00534987">
              <w:rPr>
                <w:rFonts w:ascii="Arial" w:hAnsi="Arial" w:cs="Arial"/>
              </w:rPr>
              <w:t xml:space="preserve">a) Generally suspicious however they can serve to protect from some intrusive protocols. b) Reasons for use of proxy servers should be recorded when registering and later use without updating the Whois profile should result in punative reaction. </w:t>
            </w:r>
          </w:p>
          <w:p w:rsidR="00270C38" w:rsidRPr="00534987" w:rsidRDefault="00270C38" w:rsidP="00867944">
            <w:pPr>
              <w:rPr>
                <w:rFonts w:ascii="Arial" w:hAnsi="Arial" w:cs="Arial"/>
              </w:rPr>
            </w:pPr>
          </w:p>
        </w:tc>
      </w:tr>
      <w:tr w:rsidR="00270C38" w:rsidRPr="00534987">
        <w:trPr>
          <w:trHeight w:val="255"/>
        </w:trPr>
        <w:tc>
          <w:tcPr>
            <w:tcW w:w="10460" w:type="dxa"/>
            <w:tcBorders>
              <w:top w:val="nil"/>
              <w:left w:val="nil"/>
              <w:bottom w:val="nil"/>
              <w:right w:val="nil"/>
            </w:tcBorders>
            <w:shd w:val="clear" w:color="auto" w:fill="C0C0C0"/>
            <w:vAlign w:val="bottom"/>
          </w:tcPr>
          <w:p w:rsidR="00270C38" w:rsidRPr="00534987" w:rsidRDefault="00270C38" w:rsidP="00867944">
            <w:pPr>
              <w:rPr>
                <w:rFonts w:ascii="Arial" w:hAnsi="Arial" w:cs="Arial"/>
                <w:b/>
                <w:bCs/>
              </w:rPr>
            </w:pPr>
            <w:r w:rsidRPr="00534987">
              <w:rPr>
                <w:rFonts w:ascii="Arial" w:hAnsi="Arial" w:cs="Arial"/>
                <w:b/>
                <w:bCs/>
              </w:rPr>
              <w:t xml:space="preserve"> 13. Are there any other relevant issues that the review team should be aware of? Please provide details.</w:t>
            </w:r>
          </w:p>
        </w:tc>
      </w:tr>
      <w:tr w:rsidR="00270C38" w:rsidRPr="00534987">
        <w:trPr>
          <w:trHeight w:val="1785"/>
        </w:trPr>
        <w:tc>
          <w:tcPr>
            <w:tcW w:w="10460" w:type="dxa"/>
            <w:tcBorders>
              <w:top w:val="single" w:sz="4" w:space="0" w:color="auto"/>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This cannot be just more rhetoric and another talking shop but demands some action from the Internet community to protect their own space. Law Enforcement have been lobbying for change to the governance procedures for several years now and to my view absolutely nothing has so far changed. ISPs, Registrars appear to take the short term, fiscally rewarding routes at all times whilst ignoring the long term threat to the stability and international nature of the Internet posed by growing criminality affecting economies and business.  Even small changes and steps towards a more transparent and creditable WHOIS system would be welcome. I welcome ICANN’s dialogue with Law Enforcement but t really does need to lead to something tangible, and soon. </w:t>
            </w:r>
          </w:p>
        </w:tc>
      </w:tr>
      <w:tr w:rsidR="00270C38" w:rsidRPr="00534987">
        <w:trPr>
          <w:trHeight w:val="255"/>
        </w:trPr>
        <w:tc>
          <w:tcPr>
            <w:tcW w:w="10460" w:type="dxa"/>
            <w:tcBorders>
              <w:top w:val="nil"/>
              <w:left w:val="single" w:sz="4" w:space="0" w:color="auto"/>
              <w:bottom w:val="single" w:sz="4" w:space="0" w:color="auto"/>
              <w:right w:val="single" w:sz="4" w:space="0" w:color="auto"/>
            </w:tcBorders>
            <w:vAlign w:val="bottom"/>
          </w:tcPr>
          <w:p w:rsidR="00270C38" w:rsidRPr="00534987" w:rsidRDefault="00270C38" w:rsidP="00867944">
            <w:pPr>
              <w:rPr>
                <w:rFonts w:ascii="Arial" w:hAnsi="Arial" w:cs="Arial"/>
              </w:rPr>
            </w:pPr>
            <w:r w:rsidRPr="00534987">
              <w:rPr>
                <w:rFonts w:ascii="Arial" w:hAnsi="Arial" w:cs="Arial"/>
              </w:rPr>
              <w:t xml:space="preserve">Not relevant to this questionnaire. </w:t>
            </w:r>
          </w:p>
        </w:tc>
      </w:tr>
    </w:tbl>
    <w:p w:rsidR="00270C38" w:rsidRDefault="00270C38" w:rsidP="008A2CFB">
      <w:r w:rsidRPr="00A62BDA">
        <w:rPr>
          <w:rFonts w:ascii="Times New Roman" w:hAnsi="Times New Roman" w:cs="Times New Roman"/>
          <w:noProof/>
          <w:vanish/>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in;height:3in;visibility:visible">
            <v:imagedata r:id="rId11" o:title=""/>
          </v:shape>
        </w:pict>
      </w:r>
      <w:r w:rsidRPr="00A62BDA">
        <w:rPr>
          <w:rFonts w:ascii="Times New Roman" w:hAnsi="Times New Roman" w:cs="Times New Roman"/>
          <w:noProof/>
          <w:vanish/>
          <w:sz w:val="24"/>
          <w:szCs w:val="24"/>
          <w:lang w:eastAsia="en-GB"/>
        </w:rPr>
        <w:pict>
          <v:shape id="Picture 2" o:spid="_x0000_i1026" type="#_x0000_t75" style="width:3in;height:3in;visibility:visible">
            <v:imagedata r:id="rId11" o:title=""/>
          </v:shape>
        </w:pict>
      </w:r>
      <w:r w:rsidRPr="00A62BDA">
        <w:rPr>
          <w:rFonts w:ascii="Times New Roman" w:hAnsi="Times New Roman" w:cs="Times New Roman"/>
          <w:noProof/>
          <w:vanish/>
          <w:sz w:val="24"/>
          <w:szCs w:val="24"/>
          <w:lang w:eastAsia="en-GB"/>
        </w:rPr>
        <w:pict>
          <v:shape id="Picture 3" o:spid="_x0000_i1027" type="#_x0000_t75" style="width:3in;height:3in;visibility:visible">
            <v:imagedata r:id="rId11" o:title=""/>
          </v:shape>
        </w:pict>
      </w:r>
      <w:bookmarkEnd w:id="6"/>
    </w:p>
    <w:sectPr w:rsidR="00270C38" w:rsidSect="00AA6F79">
      <w:pgSz w:w="11906" w:h="16838"/>
      <w:pgMar w:top="720" w:right="720" w:bottom="720" w:left="72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mily Taylor" w:date="2011-08-02T08:37:00Z" w:initials="ET">
    <w:p w:rsidR="00270C38" w:rsidRDefault="00270C38" w:rsidP="003C7FA2">
      <w:pPr>
        <w:pStyle w:val="CommentText"/>
      </w:pPr>
      <w:r>
        <w:rPr>
          <w:rStyle w:val="CommentReference"/>
        </w:rPr>
        <w:annotationRef/>
      </w:r>
    </w:p>
    <w:p w:rsidR="00270C38" w:rsidRDefault="00270C38">
      <w:pPr>
        <w:pStyle w:val="CommentText"/>
      </w:pPr>
      <w:r>
        <w:t>My take on the comments is that this (of all the definitions) was felt to miss the mark the most.  It’s too narrowly focused on privacy, and guidance refered to confused people.</w:t>
      </w:r>
    </w:p>
    <w:p w:rsidR="00270C38" w:rsidRDefault="00270C38">
      <w:pPr>
        <w:pStyle w:val="CommentText"/>
      </w:pPr>
    </w:p>
    <w:p w:rsidR="00270C38" w:rsidRDefault="00270C38">
      <w:pPr>
        <w:pStyle w:val="CommentText"/>
      </w:pPr>
      <w:r>
        <w:t>The definition subteam considered the point raised by RSG and IPC about UN declarations not being legally binding, and formed the view that the concepts contained in them inform privacy laws globally.  Therefore, this was an appropriate shorthand to use.</w:t>
      </w:r>
    </w:p>
    <w:p w:rsidR="00270C38" w:rsidRDefault="00270C38">
      <w:pPr>
        <w:pStyle w:val="CommentText"/>
      </w:pPr>
    </w:p>
    <w:p w:rsidR="00270C38" w:rsidRDefault="00270C38">
      <w:pPr>
        <w:pStyle w:val="CommentText"/>
      </w:pPr>
      <w:r>
        <w:t xml:space="preserve">So, I think the subteam should re-craft the definition to include other relevant laws.  The text of this section should explain why we refer to the UN guidelines (if indeed we still want to). </w:t>
      </w:r>
    </w:p>
  </w:comment>
  <w:comment w:id="2" w:author="Emily Taylor" w:date="2011-08-02T08:27:00Z" w:initials="ET">
    <w:p w:rsidR="00270C38" w:rsidRDefault="00270C38">
      <w:pPr>
        <w:pStyle w:val="CommentText"/>
      </w:pPr>
      <w:r>
        <w:rPr>
          <w:rStyle w:val="CommentReference"/>
        </w:rPr>
        <w:annotationRef/>
      </w:r>
      <w:r>
        <w:t>Suggest this follows section on consumers – because these definitions follow from the definition we’ve drafted.</w:t>
      </w:r>
    </w:p>
  </w:comment>
  <w:comment w:id="3" w:author="Emily Taylor" w:date="2011-08-02T08:31:00Z" w:initials="ET">
    <w:p w:rsidR="00270C38" w:rsidRDefault="00270C38">
      <w:pPr>
        <w:pStyle w:val="CommentText"/>
      </w:pPr>
      <w:r>
        <w:rPr>
          <w:rStyle w:val="CommentReference"/>
        </w:rPr>
        <w:annotationRef/>
      </w:r>
      <w:r>
        <w:t>I think they were saying …fill this role “over time”, ie during the life of the record, different parties edit it, etc.</w:t>
      </w:r>
    </w:p>
  </w:comment>
  <w:comment w:id="4" w:author="Emily Taylor" w:date="2011-08-02T08:33:00Z" w:initials="ET">
    <w:p w:rsidR="00270C38" w:rsidRDefault="00270C38">
      <w:pPr>
        <w:pStyle w:val="CommentText"/>
      </w:pPr>
      <w:r>
        <w:rPr>
          <w:rStyle w:val="CommentReference"/>
        </w:rPr>
        <w:annotationRef/>
      </w:r>
      <w:r>
        <w:t xml:space="preserve">My take on the comments is that people who thought about the definition (with the exception of the registrars probably) were confused about why we included it.  So, we need to explain our reasoning, and the relevance of these concepts in our work. </w:t>
      </w:r>
    </w:p>
    <w:p w:rsidR="00270C38" w:rsidRDefault="00270C38">
      <w:pPr>
        <w:pStyle w:val="CommentText"/>
      </w:pPr>
    </w:p>
    <w:p w:rsidR="00270C38" w:rsidRDefault="00270C38">
      <w:pPr>
        <w:pStyle w:val="CommentText"/>
      </w:pPr>
      <w:r>
        <w:t>I must admit, this is something I’ve struggled with – I believe it’s part and parcel of our work on “consumers”, but I’m not sure, and I think it needs more thinking.</w:t>
      </w:r>
    </w:p>
  </w:comment>
  <w:comment w:id="5" w:author="Emily Taylor" w:date="2011-08-02T08:36:00Z" w:initials="ET">
    <w:p w:rsidR="00270C38" w:rsidRDefault="00270C38" w:rsidP="003C7FA2">
      <w:pPr>
        <w:pStyle w:val="CommentText"/>
      </w:pPr>
      <w:r>
        <w:rPr>
          <w:rStyle w:val="CommentReference"/>
        </w:rPr>
        <w:annotationRef/>
      </w:r>
      <w:r>
        <w:t>I would also include the suggestions provided in Q2 of the law enforcement survey.</w:t>
      </w:r>
    </w:p>
    <w:p w:rsidR="00270C38" w:rsidRDefault="00270C38" w:rsidP="003C7FA2">
      <w:pPr>
        <w:pStyle w:val="CommentText"/>
      </w:pPr>
    </w:p>
    <w:p w:rsidR="00270C38" w:rsidRDefault="00270C38" w:rsidP="003C7FA2">
      <w:pPr>
        <w:pStyle w:val="CommentText"/>
      </w:pPr>
      <w:r>
        <w:t>Some general themes emerging (for me), are:</w:t>
      </w:r>
    </w:p>
    <w:p w:rsidR="00270C38" w:rsidRDefault="00270C38" w:rsidP="003C7FA2">
      <w:pPr>
        <w:pStyle w:val="CommentText"/>
      </w:pPr>
    </w:p>
    <w:p w:rsidR="00270C38" w:rsidRDefault="00270C38" w:rsidP="003C7FA2">
      <w:pPr>
        <w:pStyle w:val="CommentText"/>
      </w:pPr>
      <w:r>
        <w:t xml:space="preserve">The current definition is too wide, and includes just about anyone – I thought there were good suggestions about including concepts of “competence” and “law enforcement powers”.  </w:t>
      </w:r>
    </w:p>
    <w:p w:rsidR="00270C38" w:rsidRDefault="00270C38" w:rsidP="003C7FA2">
      <w:pPr>
        <w:pStyle w:val="CommentText"/>
      </w:pPr>
    </w:p>
    <w:p w:rsidR="00270C38" w:rsidRDefault="00270C38" w:rsidP="003C7FA2">
      <w:pPr>
        <w:pStyle w:val="CommentText"/>
      </w:pPr>
      <w:r>
        <w:t>The current definition is very privacy orientated, and I think CAUCE and ECTA+M raise a reasonable point.</w:t>
      </w:r>
    </w:p>
    <w:p w:rsidR="00270C38" w:rsidRDefault="00270C38" w:rsidP="003C7FA2">
      <w:pPr>
        <w:pStyle w:val="CommentText"/>
      </w:pPr>
    </w:p>
    <w:p w:rsidR="00270C38" w:rsidRDefault="00270C38" w:rsidP="003C7FA2">
      <w:pPr>
        <w:pStyle w:val="CommentText"/>
      </w:pPr>
      <w:r>
        <w:t>The problem raised by some of the LE respondents is that there is some good work being done by private sector people, and members of our RT have raised similar issues.  To my mind, the appropriate way forward is to note this, but not to strain the definition of law enforcement by including anyone who is doing any enforcement (even of private law rights).  The appropriate way to acknowledge this large and legitimate user base is (1) here, by way of comment and (2) in our stakeholder analysis.</w:t>
      </w:r>
    </w:p>
    <w:p w:rsidR="00270C38" w:rsidRDefault="00270C38" w:rsidP="003C7FA2">
      <w:pPr>
        <w:pStyle w:val="CommentText"/>
      </w:pPr>
    </w:p>
    <w:p w:rsidR="00270C38" w:rsidRDefault="00270C38" w:rsidP="003C7FA2">
      <w:pPr>
        <w:pStyle w:val="CommentText"/>
      </w:pPr>
      <w:r>
        <w:t xml:space="preserve">So, I think the subteam should re-craft the law enf. Definition to include the concepts of competence, law enforcement powers and how we’re going to acknowledge and respect private sector entities who rely on whois. </w:t>
      </w:r>
    </w:p>
    <w:p w:rsidR="00270C38" w:rsidRDefault="00270C38" w:rsidP="003C7FA2">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38" w:rsidRDefault="00270C38" w:rsidP="00DE0C09">
      <w:pPr>
        <w:spacing w:after="0" w:line="240" w:lineRule="auto"/>
      </w:pPr>
      <w:r>
        <w:separator/>
      </w:r>
    </w:p>
  </w:endnote>
  <w:endnote w:type="continuationSeparator" w:id="0">
    <w:p w:rsidR="00270C38" w:rsidRDefault="00270C38" w:rsidP="00DE0C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38" w:rsidRDefault="00270C38" w:rsidP="00DE0C09">
      <w:pPr>
        <w:spacing w:after="0" w:line="240" w:lineRule="auto"/>
      </w:pPr>
      <w:r>
        <w:separator/>
      </w:r>
    </w:p>
  </w:footnote>
  <w:footnote w:type="continuationSeparator" w:id="0">
    <w:p w:rsidR="00270C38" w:rsidRDefault="00270C38" w:rsidP="00DE0C09">
      <w:pPr>
        <w:spacing w:after="0" w:line="240" w:lineRule="auto"/>
      </w:pPr>
      <w:r>
        <w:continuationSeparator/>
      </w:r>
    </w:p>
  </w:footnote>
  <w:footnote w:id="1">
    <w:p w:rsidR="00270C38" w:rsidRDefault="00270C38">
      <w:pPr>
        <w:pStyle w:val="FootnoteText"/>
      </w:pPr>
      <w:r>
        <w:rPr>
          <w:rStyle w:val="FootnoteReference"/>
        </w:rPr>
        <w:footnoteRef/>
      </w:r>
      <w:r>
        <w:t xml:space="preserve"> For full comments, please see Annex A</w:t>
      </w:r>
    </w:p>
  </w:footnote>
  <w:footnote w:id="2">
    <w:p w:rsidR="00270C38" w:rsidRDefault="00270C38">
      <w:pPr>
        <w:pStyle w:val="FootnoteText"/>
      </w:pPr>
      <w:r>
        <w:rPr>
          <w:rStyle w:val="FootnoteReference"/>
        </w:rPr>
        <w:footnoteRef/>
      </w:r>
      <w:r>
        <w:t xml:space="preserve"> For full comments, please see Annex A</w:t>
      </w:r>
    </w:p>
  </w:footnote>
  <w:footnote w:id="3">
    <w:p w:rsidR="00270C38" w:rsidRDefault="00270C38" w:rsidP="001D3016">
      <w:pPr>
        <w:pStyle w:val="FootnoteText"/>
      </w:pPr>
      <w:r>
        <w:rPr>
          <w:rStyle w:val="FootnoteReference"/>
        </w:rPr>
        <w:footnoteRef/>
      </w:r>
      <w:r>
        <w:t xml:space="preserve"> For full comments, please see Annex 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C77CE"/>
    <w:multiLevelType w:val="multilevel"/>
    <w:tmpl w:val="F9F4A5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2E326CAC"/>
    <w:multiLevelType w:val="multilevel"/>
    <w:tmpl w:val="B2804D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30572D76"/>
    <w:multiLevelType w:val="multilevel"/>
    <w:tmpl w:val="6A78E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8D341E6"/>
    <w:multiLevelType w:val="multilevel"/>
    <w:tmpl w:val="BEA8C9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4B77514E"/>
    <w:multiLevelType w:val="hybridMultilevel"/>
    <w:tmpl w:val="B7DAA27A"/>
    <w:lvl w:ilvl="0" w:tplc="F948EA14">
      <w:start w:val="9"/>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614B4D06"/>
    <w:multiLevelType w:val="multilevel"/>
    <w:tmpl w:val="6BD67D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7D77D67"/>
    <w:multiLevelType w:val="hybridMultilevel"/>
    <w:tmpl w:val="343E8A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359622E"/>
    <w:multiLevelType w:val="hybridMultilevel"/>
    <w:tmpl w:val="0BFABD10"/>
    <w:lvl w:ilvl="0" w:tplc="5648746E">
      <w:start w:val="1"/>
      <w:numFmt w:val="decimal"/>
      <w:lvlText w:val="%1."/>
      <w:lvlJc w:val="left"/>
      <w:pPr>
        <w:ind w:left="720" w:hanging="360"/>
      </w:pPr>
      <w:rPr>
        <w:rFonts w:hint="default"/>
        <w:sz w:val="24"/>
        <w:szCs w:val="24"/>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76766F84"/>
    <w:multiLevelType w:val="multilevel"/>
    <w:tmpl w:val="E9BC5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0"/>
  </w:num>
  <w:num w:numId="4">
    <w:abstractNumId w:val="4"/>
  </w:num>
  <w:num w:numId="5">
    <w:abstractNumId w:val="7"/>
  </w:num>
  <w:num w:numId="6">
    <w:abstractNumId w:val="6"/>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159"/>
    <w:rsid w:val="00004C0F"/>
    <w:rsid w:val="00012159"/>
    <w:rsid w:val="00016827"/>
    <w:rsid w:val="000207D8"/>
    <w:rsid w:val="0002413F"/>
    <w:rsid w:val="00024CB5"/>
    <w:rsid w:val="000445F7"/>
    <w:rsid w:val="00062CE0"/>
    <w:rsid w:val="00092800"/>
    <w:rsid w:val="000C3FCA"/>
    <w:rsid w:val="000C557E"/>
    <w:rsid w:val="00145568"/>
    <w:rsid w:val="001578BF"/>
    <w:rsid w:val="001B2900"/>
    <w:rsid w:val="001D3016"/>
    <w:rsid w:val="002064BC"/>
    <w:rsid w:val="00210C02"/>
    <w:rsid w:val="00223256"/>
    <w:rsid w:val="0023326D"/>
    <w:rsid w:val="00243BD1"/>
    <w:rsid w:val="00270C38"/>
    <w:rsid w:val="0027118A"/>
    <w:rsid w:val="00295D8A"/>
    <w:rsid w:val="002A559D"/>
    <w:rsid w:val="002B0775"/>
    <w:rsid w:val="002C4F85"/>
    <w:rsid w:val="002D193D"/>
    <w:rsid w:val="00333374"/>
    <w:rsid w:val="00353BF5"/>
    <w:rsid w:val="003720AD"/>
    <w:rsid w:val="00392C3D"/>
    <w:rsid w:val="003A1235"/>
    <w:rsid w:val="003A4D1C"/>
    <w:rsid w:val="003C7FA2"/>
    <w:rsid w:val="003D5128"/>
    <w:rsid w:val="003E5A23"/>
    <w:rsid w:val="00412AB7"/>
    <w:rsid w:val="00434064"/>
    <w:rsid w:val="00476622"/>
    <w:rsid w:val="004B6543"/>
    <w:rsid w:val="004C4D30"/>
    <w:rsid w:val="004F767E"/>
    <w:rsid w:val="00521FB0"/>
    <w:rsid w:val="0052478A"/>
    <w:rsid w:val="00534987"/>
    <w:rsid w:val="00554CB2"/>
    <w:rsid w:val="00563A52"/>
    <w:rsid w:val="00596C1B"/>
    <w:rsid w:val="00601037"/>
    <w:rsid w:val="00635A78"/>
    <w:rsid w:val="00677F07"/>
    <w:rsid w:val="006C19B8"/>
    <w:rsid w:val="006C2AD7"/>
    <w:rsid w:val="006C4239"/>
    <w:rsid w:val="006D1A21"/>
    <w:rsid w:val="006E63C3"/>
    <w:rsid w:val="006E7D80"/>
    <w:rsid w:val="00720FFB"/>
    <w:rsid w:val="00725E1F"/>
    <w:rsid w:val="00744ACB"/>
    <w:rsid w:val="00766D77"/>
    <w:rsid w:val="007C5992"/>
    <w:rsid w:val="007E28A4"/>
    <w:rsid w:val="007E6EC5"/>
    <w:rsid w:val="007E7846"/>
    <w:rsid w:val="007F1A2D"/>
    <w:rsid w:val="00814298"/>
    <w:rsid w:val="008352EA"/>
    <w:rsid w:val="00845893"/>
    <w:rsid w:val="00856238"/>
    <w:rsid w:val="00867944"/>
    <w:rsid w:val="008A2CFB"/>
    <w:rsid w:val="008B2727"/>
    <w:rsid w:val="009100A1"/>
    <w:rsid w:val="009226D9"/>
    <w:rsid w:val="00944A37"/>
    <w:rsid w:val="009A3FF0"/>
    <w:rsid w:val="009B1430"/>
    <w:rsid w:val="00A006F8"/>
    <w:rsid w:val="00A24B0D"/>
    <w:rsid w:val="00A35BE2"/>
    <w:rsid w:val="00A62BDA"/>
    <w:rsid w:val="00A706E3"/>
    <w:rsid w:val="00AA6F79"/>
    <w:rsid w:val="00AD7715"/>
    <w:rsid w:val="00B02FF0"/>
    <w:rsid w:val="00B04546"/>
    <w:rsid w:val="00B65CC4"/>
    <w:rsid w:val="00B6727C"/>
    <w:rsid w:val="00B772ED"/>
    <w:rsid w:val="00B82E67"/>
    <w:rsid w:val="00BD529C"/>
    <w:rsid w:val="00BF1645"/>
    <w:rsid w:val="00BF597A"/>
    <w:rsid w:val="00BF7C5F"/>
    <w:rsid w:val="00C10EA0"/>
    <w:rsid w:val="00C30ECC"/>
    <w:rsid w:val="00C51CA2"/>
    <w:rsid w:val="00C827CD"/>
    <w:rsid w:val="00CE0DD0"/>
    <w:rsid w:val="00CE1BFF"/>
    <w:rsid w:val="00D77AE4"/>
    <w:rsid w:val="00D82EB8"/>
    <w:rsid w:val="00DB4074"/>
    <w:rsid w:val="00DC6336"/>
    <w:rsid w:val="00DE0C09"/>
    <w:rsid w:val="00E31E35"/>
    <w:rsid w:val="00E32FE2"/>
    <w:rsid w:val="00E53AAE"/>
    <w:rsid w:val="00E543E7"/>
    <w:rsid w:val="00F00689"/>
    <w:rsid w:val="00F827FB"/>
    <w:rsid w:val="00F9022A"/>
    <w:rsid w:val="00F96A02"/>
    <w:rsid w:val="00FA4353"/>
    <w:rsid w:val="00FC37D3"/>
    <w:rsid w:val="00FC7A5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C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0121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012159"/>
    <w:rPr>
      <w:color w:val="0000FF"/>
      <w:u w:val="single"/>
    </w:rPr>
  </w:style>
  <w:style w:type="paragraph" w:styleId="NormalWeb">
    <w:name w:val="Normal (Web)"/>
    <w:basedOn w:val="Normal"/>
    <w:uiPriority w:val="99"/>
    <w:semiHidden/>
    <w:rsid w:val="000121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rsid w:val="003A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A4D1C"/>
    <w:rPr>
      <w:rFonts w:ascii="Courier New" w:hAnsi="Courier New" w:cs="Courier New"/>
      <w:sz w:val="20"/>
      <w:szCs w:val="20"/>
    </w:rPr>
  </w:style>
  <w:style w:type="character" w:customStyle="1" w:styleId="BodyTextChar">
    <w:name w:val="Body Text Char"/>
    <w:aliases w:val="Style 1 Char"/>
    <w:uiPriority w:val="99"/>
    <w:semiHidden/>
    <w:rsid w:val="003A4D1C"/>
    <w:rPr>
      <w:rFonts w:ascii="Times New Roman" w:eastAsia="SimSun" w:hAnsi="Times New Roman" w:cs="Times New Roman"/>
      <w:lang w:eastAsia="zh-CN"/>
    </w:rPr>
  </w:style>
  <w:style w:type="paragraph" w:styleId="BodyText">
    <w:name w:val="Body Text"/>
    <w:aliases w:val="Style 1"/>
    <w:basedOn w:val="Normal"/>
    <w:link w:val="BodyTextChar1"/>
    <w:uiPriority w:val="99"/>
    <w:semiHidden/>
    <w:rsid w:val="003A4D1C"/>
    <w:pPr>
      <w:spacing w:before="100" w:beforeAutospacing="1" w:after="100" w:afterAutospacing="1" w:line="240" w:lineRule="auto"/>
    </w:pPr>
    <w:rPr>
      <w:rFonts w:ascii="Times New Roman" w:eastAsia="SimSun" w:hAnsi="Times New Roman" w:cs="Times New Roman"/>
      <w:sz w:val="20"/>
      <w:szCs w:val="20"/>
      <w:lang w:eastAsia="zh-CN"/>
    </w:rPr>
  </w:style>
  <w:style w:type="character" w:customStyle="1" w:styleId="BodyTextChar1">
    <w:name w:val="Body Text Char1"/>
    <w:aliases w:val="Style 1 Char1"/>
    <w:basedOn w:val="DefaultParagraphFont"/>
    <w:link w:val="BodyText"/>
    <w:uiPriority w:val="99"/>
    <w:semiHidden/>
    <w:rsid w:val="003A4D1C"/>
  </w:style>
  <w:style w:type="character" w:styleId="FollowedHyperlink">
    <w:name w:val="FollowedHyperlink"/>
    <w:basedOn w:val="DefaultParagraphFont"/>
    <w:uiPriority w:val="99"/>
    <w:semiHidden/>
    <w:rsid w:val="00814298"/>
    <w:rPr>
      <w:color w:val="800080"/>
      <w:u w:val="single"/>
    </w:rPr>
  </w:style>
  <w:style w:type="paragraph" w:styleId="FootnoteText">
    <w:name w:val="footnote text"/>
    <w:basedOn w:val="Normal"/>
    <w:link w:val="FootnoteTextChar"/>
    <w:uiPriority w:val="99"/>
    <w:semiHidden/>
    <w:rsid w:val="00DE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C09"/>
    <w:rPr>
      <w:sz w:val="20"/>
      <w:szCs w:val="20"/>
    </w:rPr>
  </w:style>
  <w:style w:type="character" w:styleId="FootnoteReference">
    <w:name w:val="footnote reference"/>
    <w:basedOn w:val="DefaultParagraphFont"/>
    <w:uiPriority w:val="99"/>
    <w:semiHidden/>
    <w:rsid w:val="00DE0C09"/>
    <w:rPr>
      <w:vertAlign w:val="superscript"/>
    </w:rPr>
  </w:style>
  <w:style w:type="table" w:styleId="TableGrid">
    <w:name w:val="Table Grid"/>
    <w:basedOn w:val="TableNormal"/>
    <w:uiPriority w:val="99"/>
    <w:rsid w:val="001578B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B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430"/>
    <w:rPr>
      <w:rFonts w:ascii="Tahoma" w:hAnsi="Tahoma" w:cs="Tahoma"/>
      <w:sz w:val="16"/>
      <w:szCs w:val="16"/>
    </w:rPr>
  </w:style>
  <w:style w:type="paragraph" w:styleId="ListParagraph">
    <w:name w:val="List Paragraph"/>
    <w:basedOn w:val="Normal"/>
    <w:uiPriority w:val="99"/>
    <w:qFormat/>
    <w:rsid w:val="001D3016"/>
    <w:pPr>
      <w:ind w:left="720"/>
    </w:pPr>
  </w:style>
  <w:style w:type="paragraph" w:customStyle="1" w:styleId="title">
    <w:name w:val="title"/>
    <w:basedOn w:val="Normal"/>
    <w:uiPriority w:val="99"/>
    <w:rsid w:val="006010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
    <w:name w:val="subtitle"/>
    <w:basedOn w:val="Normal"/>
    <w:uiPriority w:val="99"/>
    <w:rsid w:val="00601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601037"/>
    <w:rPr>
      <w:b/>
      <w:bCs/>
    </w:rPr>
  </w:style>
  <w:style w:type="character" w:styleId="CommentReference">
    <w:name w:val="annotation reference"/>
    <w:basedOn w:val="DefaultParagraphFont"/>
    <w:uiPriority w:val="99"/>
    <w:semiHidden/>
    <w:rsid w:val="00725E1F"/>
    <w:rPr>
      <w:sz w:val="18"/>
      <w:szCs w:val="18"/>
    </w:rPr>
  </w:style>
  <w:style w:type="paragraph" w:styleId="CommentText">
    <w:name w:val="annotation text"/>
    <w:basedOn w:val="Normal"/>
    <w:link w:val="CommentTextChar"/>
    <w:uiPriority w:val="99"/>
    <w:semiHidden/>
    <w:rsid w:val="00725E1F"/>
    <w:rPr>
      <w:sz w:val="24"/>
      <w:szCs w:val="24"/>
    </w:rPr>
  </w:style>
  <w:style w:type="character" w:customStyle="1" w:styleId="CommentTextChar">
    <w:name w:val="Comment Text Char"/>
    <w:basedOn w:val="DefaultParagraphFont"/>
    <w:link w:val="CommentText"/>
    <w:uiPriority w:val="99"/>
    <w:rsid w:val="00725E1F"/>
    <w:rPr>
      <w:sz w:val="24"/>
      <w:szCs w:val="24"/>
      <w:lang w:eastAsia="en-US"/>
    </w:rPr>
  </w:style>
  <w:style w:type="paragraph" w:styleId="CommentSubject">
    <w:name w:val="annotation subject"/>
    <w:basedOn w:val="CommentText"/>
    <w:next w:val="CommentText"/>
    <w:link w:val="CommentSubjectChar"/>
    <w:uiPriority w:val="99"/>
    <w:semiHidden/>
    <w:rsid w:val="00725E1F"/>
    <w:rPr>
      <w:b/>
      <w:bCs/>
      <w:sz w:val="20"/>
      <w:szCs w:val="20"/>
    </w:rPr>
  </w:style>
  <w:style w:type="character" w:customStyle="1" w:styleId="CommentSubjectChar">
    <w:name w:val="Comment Subject Char"/>
    <w:basedOn w:val="CommentTextChar"/>
    <w:link w:val="CommentSubject"/>
    <w:uiPriority w:val="99"/>
    <w:semiHidden/>
    <w:rsid w:val="00725E1F"/>
    <w:rPr>
      <w:b/>
      <w:bCs/>
      <w:sz w:val="20"/>
      <w:szCs w:val="20"/>
    </w:rPr>
  </w:style>
</w:styles>
</file>

<file path=word/webSettings.xml><?xml version="1.0" encoding="utf-8"?>
<w:webSettings xmlns:r="http://schemas.openxmlformats.org/officeDocument/2006/relationships" xmlns:w="http://schemas.openxmlformats.org/wordprocessingml/2006/main">
  <w:divs>
    <w:div w:id="1565679816">
      <w:marLeft w:val="0"/>
      <w:marRight w:val="0"/>
      <w:marTop w:val="0"/>
      <w:marBottom w:val="0"/>
      <w:divBdr>
        <w:top w:val="none" w:sz="0" w:space="0" w:color="auto"/>
        <w:left w:val="none" w:sz="0" w:space="0" w:color="auto"/>
        <w:bottom w:val="none" w:sz="0" w:space="0" w:color="auto"/>
        <w:right w:val="none" w:sz="0" w:space="0" w:color="auto"/>
      </w:divBdr>
      <w:divsChild>
        <w:div w:id="1565679865">
          <w:marLeft w:val="0"/>
          <w:marRight w:val="0"/>
          <w:marTop w:val="0"/>
          <w:marBottom w:val="0"/>
          <w:divBdr>
            <w:top w:val="none" w:sz="0" w:space="0" w:color="auto"/>
            <w:left w:val="none" w:sz="0" w:space="0" w:color="auto"/>
            <w:bottom w:val="none" w:sz="0" w:space="0" w:color="auto"/>
            <w:right w:val="none" w:sz="0" w:space="0" w:color="auto"/>
          </w:divBdr>
          <w:divsChild>
            <w:div w:id="1565679813">
              <w:marLeft w:val="0"/>
              <w:marRight w:val="0"/>
              <w:marTop w:val="0"/>
              <w:marBottom w:val="0"/>
              <w:divBdr>
                <w:top w:val="none" w:sz="0" w:space="0" w:color="auto"/>
                <w:left w:val="none" w:sz="0" w:space="0" w:color="auto"/>
                <w:bottom w:val="none" w:sz="0" w:space="0" w:color="auto"/>
                <w:right w:val="none" w:sz="0" w:space="0" w:color="auto"/>
              </w:divBdr>
              <w:divsChild>
                <w:div w:id="1565679838">
                  <w:marLeft w:val="0"/>
                  <w:marRight w:val="0"/>
                  <w:marTop w:val="0"/>
                  <w:marBottom w:val="0"/>
                  <w:divBdr>
                    <w:top w:val="none" w:sz="0" w:space="0" w:color="auto"/>
                    <w:left w:val="none" w:sz="0" w:space="0" w:color="auto"/>
                    <w:bottom w:val="none" w:sz="0" w:space="0" w:color="auto"/>
                    <w:right w:val="none" w:sz="0" w:space="0" w:color="auto"/>
                  </w:divBdr>
                  <w:divsChild>
                    <w:div w:id="1565679825">
                      <w:marLeft w:val="0"/>
                      <w:marRight w:val="0"/>
                      <w:marTop w:val="0"/>
                      <w:marBottom w:val="0"/>
                      <w:divBdr>
                        <w:top w:val="none" w:sz="0" w:space="0" w:color="auto"/>
                        <w:left w:val="none" w:sz="0" w:space="0" w:color="auto"/>
                        <w:bottom w:val="none" w:sz="0" w:space="0" w:color="auto"/>
                        <w:right w:val="none" w:sz="0" w:space="0" w:color="auto"/>
                      </w:divBdr>
                      <w:divsChild>
                        <w:div w:id="1565679817">
                          <w:marLeft w:val="0"/>
                          <w:marRight w:val="0"/>
                          <w:marTop w:val="0"/>
                          <w:marBottom w:val="0"/>
                          <w:divBdr>
                            <w:top w:val="none" w:sz="0" w:space="0" w:color="auto"/>
                            <w:left w:val="none" w:sz="0" w:space="0" w:color="auto"/>
                            <w:bottom w:val="none" w:sz="0" w:space="0" w:color="auto"/>
                            <w:right w:val="none" w:sz="0" w:space="0" w:color="auto"/>
                          </w:divBdr>
                          <w:divsChild>
                            <w:div w:id="1565679849">
                              <w:marLeft w:val="0"/>
                              <w:marRight w:val="0"/>
                              <w:marTop w:val="0"/>
                              <w:marBottom w:val="0"/>
                              <w:divBdr>
                                <w:top w:val="none" w:sz="0" w:space="0" w:color="auto"/>
                                <w:left w:val="none" w:sz="0" w:space="0" w:color="auto"/>
                                <w:bottom w:val="none" w:sz="0" w:space="0" w:color="auto"/>
                                <w:right w:val="none" w:sz="0" w:space="0" w:color="auto"/>
                              </w:divBdr>
                              <w:divsChild>
                                <w:div w:id="1565679869">
                                  <w:marLeft w:val="0"/>
                                  <w:marRight w:val="0"/>
                                  <w:marTop w:val="0"/>
                                  <w:marBottom w:val="0"/>
                                  <w:divBdr>
                                    <w:top w:val="none" w:sz="0" w:space="0" w:color="auto"/>
                                    <w:left w:val="none" w:sz="0" w:space="0" w:color="auto"/>
                                    <w:bottom w:val="none" w:sz="0" w:space="0" w:color="auto"/>
                                    <w:right w:val="none" w:sz="0" w:space="0" w:color="auto"/>
                                  </w:divBdr>
                                  <w:divsChild>
                                    <w:div w:id="1565679827">
                                      <w:marLeft w:val="0"/>
                                      <w:marRight w:val="0"/>
                                      <w:marTop w:val="0"/>
                                      <w:marBottom w:val="0"/>
                                      <w:divBdr>
                                        <w:top w:val="none" w:sz="0" w:space="0" w:color="auto"/>
                                        <w:left w:val="none" w:sz="0" w:space="0" w:color="auto"/>
                                        <w:bottom w:val="none" w:sz="0" w:space="0" w:color="auto"/>
                                        <w:right w:val="none" w:sz="0" w:space="0" w:color="auto"/>
                                      </w:divBdr>
                                      <w:divsChild>
                                        <w:div w:id="1565679815">
                                          <w:marLeft w:val="0"/>
                                          <w:marRight w:val="0"/>
                                          <w:marTop w:val="0"/>
                                          <w:marBottom w:val="0"/>
                                          <w:divBdr>
                                            <w:top w:val="none" w:sz="0" w:space="0" w:color="auto"/>
                                            <w:left w:val="none" w:sz="0" w:space="0" w:color="auto"/>
                                            <w:bottom w:val="none" w:sz="0" w:space="0" w:color="auto"/>
                                            <w:right w:val="none" w:sz="0" w:space="0" w:color="auto"/>
                                          </w:divBdr>
                                          <w:divsChild>
                                            <w:div w:id="1565679856">
                                              <w:marLeft w:val="0"/>
                                              <w:marRight w:val="0"/>
                                              <w:marTop w:val="0"/>
                                              <w:marBottom w:val="0"/>
                                              <w:divBdr>
                                                <w:top w:val="none" w:sz="0" w:space="0" w:color="auto"/>
                                                <w:left w:val="none" w:sz="0" w:space="0" w:color="auto"/>
                                                <w:bottom w:val="none" w:sz="0" w:space="0" w:color="auto"/>
                                                <w:right w:val="none" w:sz="0" w:space="0" w:color="auto"/>
                                              </w:divBdr>
                                              <w:divsChild>
                                                <w:div w:id="15656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679819">
      <w:marLeft w:val="0"/>
      <w:marRight w:val="0"/>
      <w:marTop w:val="0"/>
      <w:marBottom w:val="0"/>
      <w:divBdr>
        <w:top w:val="none" w:sz="0" w:space="0" w:color="auto"/>
        <w:left w:val="none" w:sz="0" w:space="0" w:color="auto"/>
        <w:bottom w:val="none" w:sz="0" w:space="0" w:color="auto"/>
        <w:right w:val="none" w:sz="0" w:space="0" w:color="auto"/>
      </w:divBdr>
    </w:div>
    <w:div w:id="1565679833">
      <w:marLeft w:val="0"/>
      <w:marRight w:val="0"/>
      <w:marTop w:val="0"/>
      <w:marBottom w:val="0"/>
      <w:divBdr>
        <w:top w:val="none" w:sz="0" w:space="0" w:color="auto"/>
        <w:left w:val="none" w:sz="0" w:space="0" w:color="auto"/>
        <w:bottom w:val="none" w:sz="0" w:space="0" w:color="auto"/>
        <w:right w:val="none" w:sz="0" w:space="0" w:color="auto"/>
      </w:divBdr>
    </w:div>
    <w:div w:id="1565679839">
      <w:marLeft w:val="0"/>
      <w:marRight w:val="0"/>
      <w:marTop w:val="0"/>
      <w:marBottom w:val="0"/>
      <w:divBdr>
        <w:top w:val="none" w:sz="0" w:space="0" w:color="auto"/>
        <w:left w:val="none" w:sz="0" w:space="0" w:color="auto"/>
        <w:bottom w:val="none" w:sz="0" w:space="0" w:color="auto"/>
        <w:right w:val="none" w:sz="0" w:space="0" w:color="auto"/>
      </w:divBdr>
      <w:divsChild>
        <w:div w:id="1565679841">
          <w:marLeft w:val="0"/>
          <w:marRight w:val="0"/>
          <w:marTop w:val="0"/>
          <w:marBottom w:val="0"/>
          <w:divBdr>
            <w:top w:val="none" w:sz="0" w:space="0" w:color="auto"/>
            <w:left w:val="none" w:sz="0" w:space="0" w:color="auto"/>
            <w:bottom w:val="none" w:sz="0" w:space="0" w:color="auto"/>
            <w:right w:val="none" w:sz="0" w:space="0" w:color="auto"/>
          </w:divBdr>
          <w:divsChild>
            <w:div w:id="1565679829">
              <w:marLeft w:val="0"/>
              <w:marRight w:val="0"/>
              <w:marTop w:val="0"/>
              <w:marBottom w:val="0"/>
              <w:divBdr>
                <w:top w:val="none" w:sz="0" w:space="0" w:color="auto"/>
                <w:left w:val="none" w:sz="0" w:space="0" w:color="auto"/>
                <w:bottom w:val="none" w:sz="0" w:space="0" w:color="auto"/>
                <w:right w:val="none" w:sz="0" w:space="0" w:color="auto"/>
              </w:divBdr>
              <w:divsChild>
                <w:div w:id="1565679835">
                  <w:marLeft w:val="0"/>
                  <w:marRight w:val="0"/>
                  <w:marTop w:val="0"/>
                  <w:marBottom w:val="0"/>
                  <w:divBdr>
                    <w:top w:val="none" w:sz="0" w:space="0" w:color="auto"/>
                    <w:left w:val="none" w:sz="0" w:space="0" w:color="auto"/>
                    <w:bottom w:val="none" w:sz="0" w:space="0" w:color="auto"/>
                    <w:right w:val="none" w:sz="0" w:space="0" w:color="auto"/>
                  </w:divBdr>
                  <w:divsChild>
                    <w:div w:id="1565679837">
                      <w:marLeft w:val="0"/>
                      <w:marRight w:val="0"/>
                      <w:marTop w:val="0"/>
                      <w:marBottom w:val="0"/>
                      <w:divBdr>
                        <w:top w:val="none" w:sz="0" w:space="0" w:color="auto"/>
                        <w:left w:val="none" w:sz="0" w:space="0" w:color="auto"/>
                        <w:bottom w:val="none" w:sz="0" w:space="0" w:color="auto"/>
                        <w:right w:val="none" w:sz="0" w:space="0" w:color="auto"/>
                      </w:divBdr>
                      <w:divsChild>
                        <w:div w:id="1565679811">
                          <w:marLeft w:val="0"/>
                          <w:marRight w:val="0"/>
                          <w:marTop w:val="0"/>
                          <w:marBottom w:val="0"/>
                          <w:divBdr>
                            <w:top w:val="none" w:sz="0" w:space="0" w:color="auto"/>
                            <w:left w:val="none" w:sz="0" w:space="0" w:color="auto"/>
                            <w:bottom w:val="none" w:sz="0" w:space="0" w:color="auto"/>
                            <w:right w:val="none" w:sz="0" w:space="0" w:color="auto"/>
                          </w:divBdr>
                          <w:divsChild>
                            <w:div w:id="1565679843">
                              <w:marLeft w:val="0"/>
                              <w:marRight w:val="0"/>
                              <w:marTop w:val="0"/>
                              <w:marBottom w:val="0"/>
                              <w:divBdr>
                                <w:top w:val="none" w:sz="0" w:space="0" w:color="auto"/>
                                <w:left w:val="none" w:sz="0" w:space="0" w:color="auto"/>
                                <w:bottom w:val="none" w:sz="0" w:space="0" w:color="auto"/>
                                <w:right w:val="none" w:sz="0" w:space="0" w:color="auto"/>
                              </w:divBdr>
                              <w:divsChild>
                                <w:div w:id="1565679854">
                                  <w:marLeft w:val="0"/>
                                  <w:marRight w:val="0"/>
                                  <w:marTop w:val="0"/>
                                  <w:marBottom w:val="0"/>
                                  <w:divBdr>
                                    <w:top w:val="none" w:sz="0" w:space="0" w:color="auto"/>
                                    <w:left w:val="none" w:sz="0" w:space="0" w:color="auto"/>
                                    <w:bottom w:val="none" w:sz="0" w:space="0" w:color="auto"/>
                                    <w:right w:val="none" w:sz="0" w:space="0" w:color="auto"/>
                                  </w:divBdr>
                                  <w:divsChild>
                                    <w:div w:id="1565679831">
                                      <w:marLeft w:val="0"/>
                                      <w:marRight w:val="0"/>
                                      <w:marTop w:val="0"/>
                                      <w:marBottom w:val="0"/>
                                      <w:divBdr>
                                        <w:top w:val="none" w:sz="0" w:space="0" w:color="auto"/>
                                        <w:left w:val="none" w:sz="0" w:space="0" w:color="auto"/>
                                        <w:bottom w:val="none" w:sz="0" w:space="0" w:color="auto"/>
                                        <w:right w:val="none" w:sz="0" w:space="0" w:color="auto"/>
                                      </w:divBdr>
                                      <w:divsChild>
                                        <w:div w:id="1565679840">
                                          <w:marLeft w:val="0"/>
                                          <w:marRight w:val="0"/>
                                          <w:marTop w:val="0"/>
                                          <w:marBottom w:val="0"/>
                                          <w:divBdr>
                                            <w:top w:val="none" w:sz="0" w:space="0" w:color="auto"/>
                                            <w:left w:val="none" w:sz="0" w:space="0" w:color="auto"/>
                                            <w:bottom w:val="none" w:sz="0" w:space="0" w:color="auto"/>
                                            <w:right w:val="none" w:sz="0" w:space="0" w:color="auto"/>
                                          </w:divBdr>
                                          <w:divsChild>
                                            <w:div w:id="1565679844">
                                              <w:marLeft w:val="0"/>
                                              <w:marRight w:val="0"/>
                                              <w:marTop w:val="0"/>
                                              <w:marBottom w:val="0"/>
                                              <w:divBdr>
                                                <w:top w:val="none" w:sz="0" w:space="0" w:color="auto"/>
                                                <w:left w:val="none" w:sz="0" w:space="0" w:color="auto"/>
                                                <w:bottom w:val="none" w:sz="0" w:space="0" w:color="auto"/>
                                                <w:right w:val="none" w:sz="0" w:space="0" w:color="auto"/>
                                              </w:divBdr>
                                              <w:divsChild>
                                                <w:div w:id="1565679820">
                                                  <w:marLeft w:val="0"/>
                                                  <w:marRight w:val="0"/>
                                                  <w:marTop w:val="0"/>
                                                  <w:marBottom w:val="0"/>
                                                  <w:divBdr>
                                                    <w:top w:val="none" w:sz="0" w:space="0" w:color="auto"/>
                                                    <w:left w:val="none" w:sz="0" w:space="0" w:color="auto"/>
                                                    <w:bottom w:val="none" w:sz="0" w:space="0" w:color="auto"/>
                                                    <w:right w:val="none" w:sz="0" w:space="0" w:color="auto"/>
                                                  </w:divBdr>
                                                  <w:divsChild>
                                                    <w:div w:id="15656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679846">
      <w:marLeft w:val="0"/>
      <w:marRight w:val="0"/>
      <w:marTop w:val="0"/>
      <w:marBottom w:val="0"/>
      <w:divBdr>
        <w:top w:val="none" w:sz="0" w:space="0" w:color="auto"/>
        <w:left w:val="none" w:sz="0" w:space="0" w:color="auto"/>
        <w:bottom w:val="none" w:sz="0" w:space="0" w:color="auto"/>
        <w:right w:val="none" w:sz="0" w:space="0" w:color="auto"/>
      </w:divBdr>
      <w:divsChild>
        <w:div w:id="1565679850">
          <w:marLeft w:val="0"/>
          <w:marRight w:val="0"/>
          <w:marTop w:val="0"/>
          <w:marBottom w:val="0"/>
          <w:divBdr>
            <w:top w:val="none" w:sz="0" w:space="0" w:color="auto"/>
            <w:left w:val="none" w:sz="0" w:space="0" w:color="auto"/>
            <w:bottom w:val="none" w:sz="0" w:space="0" w:color="auto"/>
            <w:right w:val="none" w:sz="0" w:space="0" w:color="auto"/>
          </w:divBdr>
          <w:divsChild>
            <w:div w:id="1565679853">
              <w:marLeft w:val="0"/>
              <w:marRight w:val="0"/>
              <w:marTop w:val="0"/>
              <w:marBottom w:val="0"/>
              <w:divBdr>
                <w:top w:val="none" w:sz="0" w:space="0" w:color="auto"/>
                <w:left w:val="none" w:sz="0" w:space="0" w:color="auto"/>
                <w:bottom w:val="none" w:sz="0" w:space="0" w:color="auto"/>
                <w:right w:val="none" w:sz="0" w:space="0" w:color="auto"/>
              </w:divBdr>
              <w:divsChild>
                <w:div w:id="1565679824">
                  <w:marLeft w:val="0"/>
                  <w:marRight w:val="0"/>
                  <w:marTop w:val="0"/>
                  <w:marBottom w:val="0"/>
                  <w:divBdr>
                    <w:top w:val="none" w:sz="0" w:space="0" w:color="auto"/>
                    <w:left w:val="none" w:sz="0" w:space="0" w:color="auto"/>
                    <w:bottom w:val="none" w:sz="0" w:space="0" w:color="auto"/>
                    <w:right w:val="none" w:sz="0" w:space="0" w:color="auto"/>
                  </w:divBdr>
                  <w:divsChild>
                    <w:div w:id="1565679848">
                      <w:marLeft w:val="0"/>
                      <w:marRight w:val="0"/>
                      <w:marTop w:val="0"/>
                      <w:marBottom w:val="0"/>
                      <w:divBdr>
                        <w:top w:val="none" w:sz="0" w:space="0" w:color="auto"/>
                        <w:left w:val="none" w:sz="0" w:space="0" w:color="auto"/>
                        <w:bottom w:val="none" w:sz="0" w:space="0" w:color="auto"/>
                        <w:right w:val="none" w:sz="0" w:space="0" w:color="auto"/>
                      </w:divBdr>
                      <w:divsChild>
                        <w:div w:id="1565679871">
                          <w:marLeft w:val="0"/>
                          <w:marRight w:val="0"/>
                          <w:marTop w:val="0"/>
                          <w:marBottom w:val="0"/>
                          <w:divBdr>
                            <w:top w:val="none" w:sz="0" w:space="0" w:color="auto"/>
                            <w:left w:val="none" w:sz="0" w:space="0" w:color="auto"/>
                            <w:bottom w:val="none" w:sz="0" w:space="0" w:color="auto"/>
                            <w:right w:val="none" w:sz="0" w:space="0" w:color="auto"/>
                          </w:divBdr>
                          <w:divsChild>
                            <w:div w:id="1565679834">
                              <w:marLeft w:val="0"/>
                              <w:marRight w:val="0"/>
                              <w:marTop w:val="0"/>
                              <w:marBottom w:val="0"/>
                              <w:divBdr>
                                <w:top w:val="none" w:sz="0" w:space="0" w:color="auto"/>
                                <w:left w:val="none" w:sz="0" w:space="0" w:color="auto"/>
                                <w:bottom w:val="none" w:sz="0" w:space="0" w:color="auto"/>
                                <w:right w:val="none" w:sz="0" w:space="0" w:color="auto"/>
                              </w:divBdr>
                              <w:divsChild>
                                <w:div w:id="1565679836">
                                  <w:marLeft w:val="0"/>
                                  <w:marRight w:val="0"/>
                                  <w:marTop w:val="0"/>
                                  <w:marBottom w:val="0"/>
                                  <w:divBdr>
                                    <w:top w:val="none" w:sz="0" w:space="0" w:color="auto"/>
                                    <w:left w:val="none" w:sz="0" w:space="0" w:color="auto"/>
                                    <w:bottom w:val="none" w:sz="0" w:space="0" w:color="auto"/>
                                    <w:right w:val="none" w:sz="0" w:space="0" w:color="auto"/>
                                  </w:divBdr>
                                  <w:divsChild>
                                    <w:div w:id="1565679870">
                                      <w:marLeft w:val="0"/>
                                      <w:marRight w:val="0"/>
                                      <w:marTop w:val="0"/>
                                      <w:marBottom w:val="0"/>
                                      <w:divBdr>
                                        <w:top w:val="none" w:sz="0" w:space="0" w:color="auto"/>
                                        <w:left w:val="none" w:sz="0" w:space="0" w:color="auto"/>
                                        <w:bottom w:val="none" w:sz="0" w:space="0" w:color="auto"/>
                                        <w:right w:val="none" w:sz="0" w:space="0" w:color="auto"/>
                                      </w:divBdr>
                                      <w:divsChild>
                                        <w:div w:id="1565679821">
                                          <w:marLeft w:val="0"/>
                                          <w:marRight w:val="0"/>
                                          <w:marTop w:val="0"/>
                                          <w:marBottom w:val="0"/>
                                          <w:divBdr>
                                            <w:top w:val="none" w:sz="0" w:space="0" w:color="auto"/>
                                            <w:left w:val="none" w:sz="0" w:space="0" w:color="auto"/>
                                            <w:bottom w:val="none" w:sz="0" w:space="0" w:color="auto"/>
                                            <w:right w:val="none" w:sz="0" w:space="0" w:color="auto"/>
                                          </w:divBdr>
                                          <w:divsChild>
                                            <w:div w:id="1565679828">
                                              <w:marLeft w:val="0"/>
                                              <w:marRight w:val="0"/>
                                              <w:marTop w:val="0"/>
                                              <w:marBottom w:val="0"/>
                                              <w:divBdr>
                                                <w:top w:val="none" w:sz="0" w:space="0" w:color="auto"/>
                                                <w:left w:val="none" w:sz="0" w:space="0" w:color="auto"/>
                                                <w:bottom w:val="none" w:sz="0" w:space="0" w:color="auto"/>
                                                <w:right w:val="none" w:sz="0" w:space="0" w:color="auto"/>
                                              </w:divBdr>
                                              <w:divsChild>
                                                <w:div w:id="15656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679851">
      <w:marLeft w:val="0"/>
      <w:marRight w:val="0"/>
      <w:marTop w:val="0"/>
      <w:marBottom w:val="0"/>
      <w:divBdr>
        <w:top w:val="none" w:sz="0" w:space="0" w:color="auto"/>
        <w:left w:val="none" w:sz="0" w:space="0" w:color="auto"/>
        <w:bottom w:val="none" w:sz="0" w:space="0" w:color="auto"/>
        <w:right w:val="none" w:sz="0" w:space="0" w:color="auto"/>
      </w:divBdr>
      <w:divsChild>
        <w:div w:id="1565679832">
          <w:marLeft w:val="0"/>
          <w:marRight w:val="0"/>
          <w:marTop w:val="0"/>
          <w:marBottom w:val="0"/>
          <w:divBdr>
            <w:top w:val="none" w:sz="0" w:space="0" w:color="auto"/>
            <w:left w:val="none" w:sz="0" w:space="0" w:color="auto"/>
            <w:bottom w:val="none" w:sz="0" w:space="0" w:color="auto"/>
            <w:right w:val="none" w:sz="0" w:space="0" w:color="auto"/>
          </w:divBdr>
          <w:divsChild>
            <w:div w:id="1565679809">
              <w:marLeft w:val="0"/>
              <w:marRight w:val="0"/>
              <w:marTop w:val="0"/>
              <w:marBottom w:val="0"/>
              <w:divBdr>
                <w:top w:val="none" w:sz="0" w:space="0" w:color="auto"/>
                <w:left w:val="none" w:sz="0" w:space="0" w:color="auto"/>
                <w:bottom w:val="none" w:sz="0" w:space="0" w:color="auto"/>
                <w:right w:val="none" w:sz="0" w:space="0" w:color="auto"/>
              </w:divBdr>
              <w:divsChild>
                <w:div w:id="1565679823">
                  <w:marLeft w:val="0"/>
                  <w:marRight w:val="0"/>
                  <w:marTop w:val="0"/>
                  <w:marBottom w:val="0"/>
                  <w:divBdr>
                    <w:top w:val="none" w:sz="0" w:space="0" w:color="auto"/>
                    <w:left w:val="none" w:sz="0" w:space="0" w:color="auto"/>
                    <w:bottom w:val="none" w:sz="0" w:space="0" w:color="auto"/>
                    <w:right w:val="none" w:sz="0" w:space="0" w:color="auto"/>
                  </w:divBdr>
                  <w:divsChild>
                    <w:div w:id="1565679822">
                      <w:marLeft w:val="0"/>
                      <w:marRight w:val="0"/>
                      <w:marTop w:val="0"/>
                      <w:marBottom w:val="0"/>
                      <w:divBdr>
                        <w:top w:val="none" w:sz="0" w:space="0" w:color="auto"/>
                        <w:left w:val="none" w:sz="0" w:space="0" w:color="auto"/>
                        <w:bottom w:val="none" w:sz="0" w:space="0" w:color="auto"/>
                        <w:right w:val="none" w:sz="0" w:space="0" w:color="auto"/>
                      </w:divBdr>
                    </w:div>
                    <w:div w:id="1565679830">
                      <w:marLeft w:val="0"/>
                      <w:marRight w:val="0"/>
                      <w:marTop w:val="0"/>
                      <w:marBottom w:val="0"/>
                      <w:divBdr>
                        <w:top w:val="none" w:sz="0" w:space="0" w:color="auto"/>
                        <w:left w:val="none" w:sz="0" w:space="0" w:color="auto"/>
                        <w:bottom w:val="none" w:sz="0" w:space="0" w:color="auto"/>
                        <w:right w:val="none" w:sz="0" w:space="0" w:color="auto"/>
                      </w:divBdr>
                    </w:div>
                    <w:div w:id="1565679845">
                      <w:marLeft w:val="720"/>
                      <w:marRight w:val="720"/>
                      <w:marTop w:val="100"/>
                      <w:marBottom w:val="100"/>
                      <w:divBdr>
                        <w:top w:val="none" w:sz="0" w:space="0" w:color="auto"/>
                        <w:left w:val="none" w:sz="0" w:space="0" w:color="auto"/>
                        <w:bottom w:val="none" w:sz="0" w:space="0" w:color="auto"/>
                        <w:right w:val="none" w:sz="0" w:space="0" w:color="auto"/>
                      </w:divBdr>
                    </w:div>
                    <w:div w:id="15656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9857">
      <w:marLeft w:val="0"/>
      <w:marRight w:val="0"/>
      <w:marTop w:val="0"/>
      <w:marBottom w:val="0"/>
      <w:divBdr>
        <w:top w:val="none" w:sz="0" w:space="0" w:color="auto"/>
        <w:left w:val="none" w:sz="0" w:space="0" w:color="auto"/>
        <w:bottom w:val="none" w:sz="0" w:space="0" w:color="auto"/>
        <w:right w:val="none" w:sz="0" w:space="0" w:color="auto"/>
      </w:divBdr>
      <w:divsChild>
        <w:div w:id="1565679814">
          <w:marLeft w:val="0"/>
          <w:marRight w:val="0"/>
          <w:marTop w:val="0"/>
          <w:marBottom w:val="0"/>
          <w:divBdr>
            <w:top w:val="none" w:sz="0" w:space="0" w:color="auto"/>
            <w:left w:val="none" w:sz="0" w:space="0" w:color="auto"/>
            <w:bottom w:val="none" w:sz="0" w:space="0" w:color="auto"/>
            <w:right w:val="none" w:sz="0" w:space="0" w:color="auto"/>
          </w:divBdr>
          <w:divsChild>
            <w:div w:id="1565679867">
              <w:marLeft w:val="0"/>
              <w:marRight w:val="0"/>
              <w:marTop w:val="0"/>
              <w:marBottom w:val="0"/>
              <w:divBdr>
                <w:top w:val="none" w:sz="0" w:space="0" w:color="auto"/>
                <w:left w:val="none" w:sz="0" w:space="0" w:color="auto"/>
                <w:bottom w:val="none" w:sz="0" w:space="0" w:color="auto"/>
                <w:right w:val="none" w:sz="0" w:space="0" w:color="auto"/>
              </w:divBdr>
              <w:divsChild>
                <w:div w:id="1565679842">
                  <w:marLeft w:val="0"/>
                  <w:marRight w:val="0"/>
                  <w:marTop w:val="0"/>
                  <w:marBottom w:val="0"/>
                  <w:divBdr>
                    <w:top w:val="none" w:sz="0" w:space="0" w:color="auto"/>
                    <w:left w:val="none" w:sz="0" w:space="0" w:color="auto"/>
                    <w:bottom w:val="none" w:sz="0" w:space="0" w:color="auto"/>
                    <w:right w:val="none" w:sz="0" w:space="0" w:color="auto"/>
                  </w:divBdr>
                  <w:divsChild>
                    <w:div w:id="1565679862">
                      <w:marLeft w:val="0"/>
                      <w:marRight w:val="0"/>
                      <w:marTop w:val="0"/>
                      <w:marBottom w:val="0"/>
                      <w:divBdr>
                        <w:top w:val="none" w:sz="0" w:space="0" w:color="auto"/>
                        <w:left w:val="none" w:sz="0" w:space="0" w:color="auto"/>
                        <w:bottom w:val="none" w:sz="0" w:space="0" w:color="auto"/>
                        <w:right w:val="none" w:sz="0" w:space="0" w:color="auto"/>
                      </w:divBdr>
                      <w:divsChild>
                        <w:div w:id="1565679847">
                          <w:marLeft w:val="0"/>
                          <w:marRight w:val="0"/>
                          <w:marTop w:val="0"/>
                          <w:marBottom w:val="0"/>
                          <w:divBdr>
                            <w:top w:val="none" w:sz="0" w:space="0" w:color="auto"/>
                            <w:left w:val="none" w:sz="0" w:space="0" w:color="auto"/>
                            <w:bottom w:val="none" w:sz="0" w:space="0" w:color="auto"/>
                            <w:right w:val="none" w:sz="0" w:space="0" w:color="auto"/>
                          </w:divBdr>
                          <w:divsChild>
                            <w:div w:id="1565679855">
                              <w:marLeft w:val="0"/>
                              <w:marRight w:val="0"/>
                              <w:marTop w:val="0"/>
                              <w:marBottom w:val="0"/>
                              <w:divBdr>
                                <w:top w:val="none" w:sz="0" w:space="0" w:color="auto"/>
                                <w:left w:val="none" w:sz="0" w:space="0" w:color="auto"/>
                                <w:bottom w:val="none" w:sz="0" w:space="0" w:color="auto"/>
                                <w:right w:val="none" w:sz="0" w:space="0" w:color="auto"/>
                              </w:divBdr>
                              <w:divsChild>
                                <w:div w:id="1565679812">
                                  <w:marLeft w:val="0"/>
                                  <w:marRight w:val="0"/>
                                  <w:marTop w:val="0"/>
                                  <w:marBottom w:val="0"/>
                                  <w:divBdr>
                                    <w:top w:val="none" w:sz="0" w:space="0" w:color="auto"/>
                                    <w:left w:val="none" w:sz="0" w:space="0" w:color="auto"/>
                                    <w:bottom w:val="none" w:sz="0" w:space="0" w:color="auto"/>
                                    <w:right w:val="none" w:sz="0" w:space="0" w:color="auto"/>
                                  </w:divBdr>
                                  <w:divsChild>
                                    <w:div w:id="1565679852">
                                      <w:marLeft w:val="0"/>
                                      <w:marRight w:val="0"/>
                                      <w:marTop w:val="0"/>
                                      <w:marBottom w:val="0"/>
                                      <w:divBdr>
                                        <w:top w:val="none" w:sz="0" w:space="0" w:color="auto"/>
                                        <w:left w:val="none" w:sz="0" w:space="0" w:color="auto"/>
                                        <w:bottom w:val="none" w:sz="0" w:space="0" w:color="auto"/>
                                        <w:right w:val="none" w:sz="0" w:space="0" w:color="auto"/>
                                      </w:divBdr>
                                      <w:divsChild>
                                        <w:div w:id="1565679861">
                                          <w:marLeft w:val="0"/>
                                          <w:marRight w:val="0"/>
                                          <w:marTop w:val="0"/>
                                          <w:marBottom w:val="0"/>
                                          <w:divBdr>
                                            <w:top w:val="none" w:sz="0" w:space="0" w:color="auto"/>
                                            <w:left w:val="none" w:sz="0" w:space="0" w:color="auto"/>
                                            <w:bottom w:val="none" w:sz="0" w:space="0" w:color="auto"/>
                                            <w:right w:val="none" w:sz="0" w:space="0" w:color="auto"/>
                                          </w:divBdr>
                                          <w:divsChild>
                                            <w:div w:id="1565679818">
                                              <w:marLeft w:val="0"/>
                                              <w:marRight w:val="0"/>
                                              <w:marTop w:val="0"/>
                                              <w:marBottom w:val="0"/>
                                              <w:divBdr>
                                                <w:top w:val="none" w:sz="0" w:space="0" w:color="auto"/>
                                                <w:left w:val="none" w:sz="0" w:space="0" w:color="auto"/>
                                                <w:bottom w:val="none" w:sz="0" w:space="0" w:color="auto"/>
                                                <w:right w:val="none" w:sz="0" w:space="0" w:color="auto"/>
                                              </w:divBdr>
                                              <w:divsChild>
                                                <w:div w:id="15656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679858">
      <w:marLeft w:val="0"/>
      <w:marRight w:val="0"/>
      <w:marTop w:val="0"/>
      <w:marBottom w:val="0"/>
      <w:divBdr>
        <w:top w:val="none" w:sz="0" w:space="0" w:color="auto"/>
        <w:left w:val="none" w:sz="0" w:space="0" w:color="auto"/>
        <w:bottom w:val="none" w:sz="0" w:space="0" w:color="auto"/>
        <w:right w:val="none" w:sz="0" w:space="0" w:color="auto"/>
      </w:divBdr>
    </w:div>
    <w:div w:id="1565679859">
      <w:marLeft w:val="0"/>
      <w:marRight w:val="0"/>
      <w:marTop w:val="0"/>
      <w:marBottom w:val="0"/>
      <w:divBdr>
        <w:top w:val="none" w:sz="0" w:space="0" w:color="auto"/>
        <w:left w:val="none" w:sz="0" w:space="0" w:color="auto"/>
        <w:bottom w:val="none" w:sz="0" w:space="0" w:color="auto"/>
        <w:right w:val="none" w:sz="0" w:space="0" w:color="auto"/>
      </w:divBdr>
    </w:div>
    <w:div w:id="1565679860">
      <w:marLeft w:val="0"/>
      <w:marRight w:val="0"/>
      <w:marTop w:val="0"/>
      <w:marBottom w:val="0"/>
      <w:divBdr>
        <w:top w:val="none" w:sz="0" w:space="0" w:color="auto"/>
        <w:left w:val="none" w:sz="0" w:space="0" w:color="auto"/>
        <w:bottom w:val="none" w:sz="0" w:space="0" w:color="auto"/>
        <w:right w:val="none" w:sz="0" w:space="0" w:color="auto"/>
      </w:divBdr>
    </w:div>
    <w:div w:id="1565679868">
      <w:marLeft w:val="0"/>
      <w:marRight w:val="0"/>
      <w:marTop w:val="0"/>
      <w:marBottom w:val="0"/>
      <w:divBdr>
        <w:top w:val="none" w:sz="0" w:space="0" w:color="auto"/>
        <w:left w:val="none" w:sz="0" w:space="0" w:color="auto"/>
        <w:bottom w:val="none" w:sz="0" w:space="0" w:color="auto"/>
        <w:right w:val="none" w:sz="0" w:space="0" w:color="auto"/>
      </w:divBdr>
    </w:div>
    <w:div w:id="1565679872">
      <w:marLeft w:val="0"/>
      <w:marRight w:val="0"/>
      <w:marTop w:val="0"/>
      <w:marBottom w:val="0"/>
      <w:divBdr>
        <w:top w:val="none" w:sz="0" w:space="0" w:color="auto"/>
        <w:left w:val="none" w:sz="0" w:space="0" w:color="auto"/>
        <w:bottom w:val="none" w:sz="0" w:space="0" w:color="auto"/>
        <w:right w:val="none" w:sz="0" w:space="0" w:color="auto"/>
      </w:divBdr>
    </w:div>
    <w:div w:id="1565679873">
      <w:marLeft w:val="0"/>
      <w:marRight w:val="0"/>
      <w:marTop w:val="0"/>
      <w:marBottom w:val="0"/>
      <w:divBdr>
        <w:top w:val="none" w:sz="0" w:space="0" w:color="auto"/>
        <w:left w:val="none" w:sz="0" w:space="0" w:color="auto"/>
        <w:bottom w:val="none" w:sz="0" w:space="0" w:color="auto"/>
        <w:right w:val="none" w:sz="0" w:space="0" w:color="auto"/>
      </w:divBdr>
      <w:divsChild>
        <w:div w:id="1565679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ann.org/en/processes/icann-procedure-17jan08.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un.org/documents/ga/res/45/a45r095.htm" TargetMode="External"/><Relationship Id="rId4" Type="http://schemas.openxmlformats.org/officeDocument/2006/relationships/webSettings" Target="webSettings.xml"/><Relationship Id="rId9" Type="http://schemas.openxmlformats.org/officeDocument/2006/relationships/hyperlink" Target="http://www.icann.org/en/processes/icann-procedure-17jan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16</Pages>
  <Words>5739</Words>
  <Characters>-32766</Characters>
  <Application>Microsoft Office Outlook</Application>
  <DocSecurity>0</DocSecurity>
  <Lines>0</Lines>
  <Paragraphs>0</Paragraphs>
  <ScaleCrop>false</ScaleCrop>
  <Company>Any Authorised 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dc:title>
  <dc:subject/>
  <dc:creator>Shona Mcintosh</dc:creator>
  <cp:keywords/>
  <dc:description/>
  <cp:lastModifiedBy>srsa</cp:lastModifiedBy>
  <cp:revision>6</cp:revision>
  <cp:lastPrinted>2011-07-12T09:48:00Z</cp:lastPrinted>
  <dcterms:created xsi:type="dcterms:W3CDTF">2011-09-07T13:55:00Z</dcterms:created>
  <dcterms:modified xsi:type="dcterms:W3CDTF">2011-09-12T09:10:00Z</dcterms:modified>
</cp:coreProperties>
</file>