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A1B" w:rsidRPr="00182A1B" w:rsidRDefault="00182A1B" w:rsidP="00182A1B">
      <w:pPr>
        <w:rPr>
          <w:b/>
          <w:bCs/>
          <w:lang w:val="en-US"/>
        </w:rPr>
      </w:pPr>
      <w:r w:rsidRPr="00182A1B">
        <w:rPr>
          <w:b/>
          <w:bCs/>
          <w:lang w:val="en-US"/>
        </w:rPr>
        <w:t>Root Zone Label Generation Rules Study Group Meeting</w:t>
      </w:r>
    </w:p>
    <w:p w:rsidR="00182A1B" w:rsidRPr="00182A1B" w:rsidRDefault="00182A1B" w:rsidP="00182A1B">
      <w:pPr>
        <w:rPr>
          <w:b/>
          <w:bCs/>
          <w:lang w:val="en-US"/>
        </w:rPr>
      </w:pPr>
      <w:r w:rsidRPr="00182A1B">
        <w:rPr>
          <w:b/>
          <w:bCs/>
          <w:lang w:val="en-US"/>
        </w:rPr>
        <w:t>5 April 2018</w:t>
      </w:r>
    </w:p>
    <w:p w:rsidR="00182A1B" w:rsidRPr="00182A1B" w:rsidRDefault="00182A1B" w:rsidP="00182A1B">
      <w:pPr>
        <w:rPr>
          <w:b/>
          <w:bCs/>
          <w:lang w:val="en-US"/>
        </w:rPr>
      </w:pPr>
      <w:r w:rsidRPr="00182A1B">
        <w:rPr>
          <w:b/>
          <w:bCs/>
          <w:lang w:val="en-US"/>
        </w:rPr>
        <w:t>Attendees:</w:t>
      </w:r>
    </w:p>
    <w:p w:rsidR="00182A1B" w:rsidRPr="00182A1B" w:rsidRDefault="00182A1B" w:rsidP="00182A1B">
      <w:pPr>
        <w:pStyle w:val="ListParagraph"/>
        <w:numPr>
          <w:ilvl w:val="0"/>
          <w:numId w:val="1"/>
        </w:numPr>
        <w:rPr>
          <w:lang w:val="en-US"/>
        </w:rPr>
      </w:pPr>
      <w:r w:rsidRPr="00182A1B">
        <w:rPr>
          <w:lang w:val="en-US"/>
        </w:rPr>
        <w:t>Dennis Tan Tanaka</w:t>
      </w:r>
    </w:p>
    <w:p w:rsidR="00182A1B" w:rsidRPr="00182A1B" w:rsidRDefault="00182A1B" w:rsidP="00182A1B">
      <w:pPr>
        <w:pStyle w:val="ListParagraph"/>
        <w:numPr>
          <w:ilvl w:val="0"/>
          <w:numId w:val="1"/>
        </w:numPr>
        <w:rPr>
          <w:lang w:val="en-US"/>
        </w:rPr>
      </w:pPr>
      <w:r w:rsidRPr="00182A1B">
        <w:rPr>
          <w:lang w:val="en-US"/>
        </w:rPr>
        <w:t>Edmon Chung</w:t>
      </w:r>
    </w:p>
    <w:p w:rsidR="00182A1B" w:rsidRPr="00182A1B" w:rsidRDefault="00182A1B" w:rsidP="00182A1B">
      <w:pPr>
        <w:pStyle w:val="ListParagraph"/>
        <w:numPr>
          <w:ilvl w:val="0"/>
          <w:numId w:val="1"/>
        </w:numPr>
        <w:rPr>
          <w:lang w:val="en-US"/>
        </w:rPr>
      </w:pPr>
      <w:r w:rsidRPr="00182A1B">
        <w:rPr>
          <w:lang w:val="en-US"/>
        </w:rPr>
        <w:t xml:space="preserve">Gaurav </w:t>
      </w:r>
      <w:proofErr w:type="spellStart"/>
      <w:r w:rsidR="00171073">
        <w:rPr>
          <w:lang w:val="en-US"/>
        </w:rPr>
        <w:t>Vedi</w:t>
      </w:r>
      <w:proofErr w:type="spellEnd"/>
    </w:p>
    <w:p w:rsidR="00182A1B" w:rsidRPr="00182A1B" w:rsidRDefault="00182A1B" w:rsidP="00182A1B">
      <w:pPr>
        <w:pStyle w:val="ListParagraph"/>
        <w:numPr>
          <w:ilvl w:val="0"/>
          <w:numId w:val="1"/>
        </w:numPr>
        <w:rPr>
          <w:lang w:val="en-US"/>
        </w:rPr>
      </w:pPr>
      <w:r w:rsidRPr="00182A1B">
        <w:rPr>
          <w:lang w:val="en-US"/>
        </w:rPr>
        <w:t>Mirjana Tasic</w:t>
      </w:r>
    </w:p>
    <w:p w:rsidR="00182A1B" w:rsidRPr="00182A1B" w:rsidRDefault="00182A1B" w:rsidP="00182A1B">
      <w:pPr>
        <w:pStyle w:val="ListParagraph"/>
        <w:numPr>
          <w:ilvl w:val="0"/>
          <w:numId w:val="1"/>
        </w:numPr>
        <w:rPr>
          <w:lang w:val="en-US"/>
        </w:rPr>
      </w:pPr>
      <w:r w:rsidRPr="00182A1B">
        <w:rPr>
          <w:lang w:val="en-US"/>
        </w:rPr>
        <w:t>Wang Wei</w:t>
      </w:r>
    </w:p>
    <w:p w:rsidR="00182A1B" w:rsidRPr="00182A1B" w:rsidRDefault="00182A1B" w:rsidP="00182A1B">
      <w:pPr>
        <w:rPr>
          <w:b/>
          <w:bCs/>
          <w:lang w:val="en-US"/>
        </w:rPr>
      </w:pPr>
      <w:r>
        <w:rPr>
          <w:b/>
          <w:bCs/>
          <w:lang w:val="en-US"/>
        </w:rPr>
        <w:t>ICANN org s</w:t>
      </w:r>
      <w:r w:rsidRPr="00182A1B">
        <w:rPr>
          <w:b/>
          <w:bCs/>
          <w:lang w:val="en-US"/>
        </w:rPr>
        <w:t>taff:</w:t>
      </w:r>
    </w:p>
    <w:p w:rsidR="00182A1B" w:rsidRPr="00182A1B" w:rsidRDefault="00182A1B" w:rsidP="00182A1B">
      <w:pPr>
        <w:pStyle w:val="ListParagraph"/>
        <w:numPr>
          <w:ilvl w:val="0"/>
          <w:numId w:val="2"/>
        </w:numPr>
        <w:rPr>
          <w:lang w:val="en-US"/>
        </w:rPr>
      </w:pPr>
      <w:r w:rsidRPr="00182A1B">
        <w:rPr>
          <w:lang w:val="en-US"/>
        </w:rPr>
        <w:t>Pitinan</w:t>
      </w:r>
    </w:p>
    <w:p w:rsidR="00182A1B" w:rsidRPr="00182A1B" w:rsidRDefault="00182A1B" w:rsidP="00182A1B">
      <w:pPr>
        <w:pStyle w:val="ListParagraph"/>
        <w:numPr>
          <w:ilvl w:val="0"/>
          <w:numId w:val="2"/>
        </w:numPr>
        <w:rPr>
          <w:lang w:val="en-US"/>
        </w:rPr>
      </w:pPr>
      <w:r w:rsidRPr="00182A1B">
        <w:rPr>
          <w:lang w:val="en-US"/>
        </w:rPr>
        <w:t>Sarmad Hussain</w:t>
      </w:r>
    </w:p>
    <w:p w:rsidR="00182A1B" w:rsidRPr="00182A1B" w:rsidRDefault="00182A1B" w:rsidP="00182A1B">
      <w:pPr>
        <w:rPr>
          <w:b/>
          <w:bCs/>
          <w:lang w:val="en-US"/>
        </w:rPr>
      </w:pPr>
      <w:r w:rsidRPr="00182A1B">
        <w:rPr>
          <w:b/>
          <w:bCs/>
          <w:lang w:val="en-US"/>
        </w:rPr>
        <w:t>Regrets:</w:t>
      </w:r>
    </w:p>
    <w:p w:rsidR="000D24D4" w:rsidRPr="000D24D4" w:rsidRDefault="000D24D4" w:rsidP="000D24D4">
      <w:pPr>
        <w:rPr>
          <w:b/>
          <w:bCs/>
          <w:lang w:val="en-US"/>
        </w:rPr>
      </w:pPr>
      <w:r>
        <w:rPr>
          <w:b/>
          <w:bCs/>
          <w:lang w:val="en-US"/>
        </w:rPr>
        <w:t>Summarized Notes</w:t>
      </w:r>
    </w:p>
    <w:p w:rsidR="000D24D4" w:rsidRDefault="000D24D4" w:rsidP="00182A1B">
      <w:pPr>
        <w:rPr>
          <w:lang w:val="en-US"/>
        </w:rPr>
      </w:pPr>
      <w:r w:rsidRPr="000D24D4">
        <w:rPr>
          <w:b/>
          <w:bCs/>
          <w:lang w:val="en-US"/>
        </w:rPr>
        <w:t>Introduction.</w:t>
      </w:r>
      <w:r>
        <w:rPr>
          <w:lang w:val="en-US"/>
        </w:rPr>
        <w:t xml:space="preserve"> </w:t>
      </w:r>
      <w:r w:rsidR="002F55E6">
        <w:rPr>
          <w:lang w:val="en-US"/>
        </w:rPr>
        <w:t>This was the f</w:t>
      </w:r>
      <w:r>
        <w:rPr>
          <w:lang w:val="en-US"/>
        </w:rPr>
        <w:t>irst meeting of the study group</w:t>
      </w:r>
      <w:r w:rsidR="00380BB0">
        <w:rPr>
          <w:lang w:val="en-US"/>
        </w:rPr>
        <w:t xml:space="preserve"> (SG)</w:t>
      </w:r>
      <w:r>
        <w:rPr>
          <w:lang w:val="en-US"/>
        </w:rPr>
        <w:t xml:space="preserve">.  The members were welcomed and thanked for volunteering for the group.  They were informed that the group will </w:t>
      </w:r>
      <w:proofErr w:type="gramStart"/>
      <w:r>
        <w:rPr>
          <w:lang w:val="en-US"/>
        </w:rPr>
        <w:t>look into</w:t>
      </w:r>
      <w:proofErr w:type="gramEnd"/>
      <w:r>
        <w:rPr>
          <w:lang w:val="en-US"/>
        </w:rPr>
        <w:t xml:space="preserve"> technical aspects of applying RZ-LGR as a pre-cursor to the policy development</w:t>
      </w:r>
      <w:r w:rsidR="00496C3F">
        <w:rPr>
          <w:lang w:val="en-US"/>
        </w:rPr>
        <w:t xml:space="preserve"> work by ccNSO and GNSO eventually</w:t>
      </w:r>
      <w:r>
        <w:rPr>
          <w:lang w:val="en-US"/>
        </w:rPr>
        <w:t>.  The recommendations developed by the group will be sent to the ICANN Board for further consideration.</w:t>
      </w:r>
    </w:p>
    <w:p w:rsidR="00182A1B" w:rsidRDefault="000D24D4" w:rsidP="00182A1B">
      <w:pPr>
        <w:rPr>
          <w:lang w:val="en-US"/>
        </w:rPr>
      </w:pPr>
      <w:r w:rsidRPr="000D24D4">
        <w:rPr>
          <w:b/>
          <w:bCs/>
          <w:lang w:val="en-US"/>
        </w:rPr>
        <w:t>Selection of the chair.</w:t>
      </w:r>
      <w:r>
        <w:rPr>
          <w:lang w:val="en-US"/>
        </w:rPr>
        <w:t xml:space="preserve">  The SG discussed</w:t>
      </w:r>
      <w:r w:rsidR="002F55E6">
        <w:rPr>
          <w:lang w:val="en-US"/>
        </w:rPr>
        <w:t xml:space="preserve"> on how </w:t>
      </w:r>
      <w:r>
        <w:rPr>
          <w:lang w:val="en-US"/>
        </w:rPr>
        <w:t>to</w:t>
      </w:r>
      <w:r w:rsidR="002F55E6">
        <w:rPr>
          <w:lang w:val="en-US"/>
        </w:rPr>
        <w:t xml:space="preserve"> organize itself.  The group members selected Dennis as the chair of the group.  </w:t>
      </w:r>
    </w:p>
    <w:p w:rsidR="00DF674F" w:rsidRDefault="000D24D4" w:rsidP="000D24D4">
      <w:pPr>
        <w:rPr>
          <w:lang w:val="en-US"/>
        </w:rPr>
      </w:pPr>
      <w:r w:rsidRPr="000D24D4">
        <w:rPr>
          <w:b/>
          <w:bCs/>
          <w:lang w:val="en-US"/>
        </w:rPr>
        <w:t>Scope of work.</w:t>
      </w:r>
      <w:r>
        <w:rPr>
          <w:lang w:val="en-US"/>
        </w:rPr>
        <w:t xml:space="preserve"> The group started discussing the initial set of issues identified for the scope of the SG.  The members were informed that there are string review processes </w:t>
      </w:r>
      <w:r w:rsidR="00DF674F">
        <w:rPr>
          <w:lang w:val="en-US"/>
        </w:rPr>
        <w:t>for IDN gTLD applications and ccTLD applications</w:t>
      </w:r>
      <w:r w:rsidR="008425DD">
        <w:rPr>
          <w:lang w:val="en-US"/>
        </w:rPr>
        <w:t xml:space="preserve"> (latter through Fast Track process)</w:t>
      </w:r>
      <w:r w:rsidR="00DF674F">
        <w:rPr>
          <w:lang w:val="en-US"/>
        </w:rPr>
        <w:t xml:space="preserve">.  </w:t>
      </w:r>
      <w:r w:rsidR="008425DD">
        <w:rPr>
          <w:lang w:val="en-US"/>
        </w:rPr>
        <w:t xml:space="preserve">Both have </w:t>
      </w:r>
      <w:r w:rsidR="00DF674F">
        <w:rPr>
          <w:lang w:val="en-US"/>
        </w:rPr>
        <w:t>DNS stability review and string similarity review steps</w:t>
      </w:r>
      <w:r w:rsidR="008425DD">
        <w:rPr>
          <w:lang w:val="en-US"/>
        </w:rPr>
        <w:t>, though latter differ in detail</w:t>
      </w:r>
      <w:r w:rsidR="00DF674F">
        <w:rPr>
          <w:lang w:val="en-US"/>
        </w:rPr>
        <w:t xml:space="preserve">.  For the initial step, RZ-LGR may be added as an initial check for the validity of the string being applied.  </w:t>
      </w:r>
    </w:p>
    <w:p w:rsidR="00DF674F" w:rsidRDefault="00DF674F" w:rsidP="00AB7E85">
      <w:pPr>
        <w:rPr>
          <w:lang w:val="en-US"/>
        </w:rPr>
      </w:pPr>
      <w:r>
        <w:rPr>
          <w:lang w:val="en-US"/>
        </w:rPr>
        <w:t xml:space="preserve">The members asked to share the relevant materials related to RZ-LGR </w:t>
      </w:r>
      <w:proofErr w:type="gramStart"/>
      <w:r>
        <w:rPr>
          <w:lang w:val="en-US"/>
        </w:rPr>
        <w:t>and also</w:t>
      </w:r>
      <w:proofErr w:type="gramEnd"/>
      <w:r>
        <w:rPr>
          <w:lang w:val="en-US"/>
        </w:rPr>
        <w:t xml:space="preserve"> identify the issues related to the points identified on the wiki page. </w:t>
      </w:r>
      <w:r w:rsidR="00AB7E85">
        <w:rPr>
          <w:lang w:val="en-US"/>
        </w:rPr>
        <w:t xml:space="preserve">The group discussed whether RZ-LGR has any implications on the string meaningfulness for IDN ccTLDs.  </w:t>
      </w:r>
    </w:p>
    <w:p w:rsidR="000D24D4" w:rsidRDefault="00DF674F" w:rsidP="000D24D4">
      <w:pPr>
        <w:rPr>
          <w:lang w:val="en-US"/>
        </w:rPr>
      </w:pPr>
      <w:r>
        <w:rPr>
          <w:lang w:val="en-US"/>
        </w:rPr>
        <w:t xml:space="preserve">For the second item, </w:t>
      </w:r>
      <w:r w:rsidR="00AB7E85">
        <w:rPr>
          <w:lang w:val="en-US"/>
        </w:rPr>
        <w:t xml:space="preserve">SG was informed that </w:t>
      </w:r>
      <w:r w:rsidR="008425DD">
        <w:rPr>
          <w:lang w:val="en-US"/>
        </w:rPr>
        <w:t xml:space="preserve">to-date </w:t>
      </w:r>
      <w:r>
        <w:rPr>
          <w:lang w:val="en-US"/>
        </w:rPr>
        <w:t xml:space="preserve">applicants </w:t>
      </w:r>
      <w:r w:rsidR="00AB7E85">
        <w:rPr>
          <w:lang w:val="en-US"/>
        </w:rPr>
        <w:t>could identify</w:t>
      </w:r>
      <w:r>
        <w:rPr>
          <w:lang w:val="en-US"/>
        </w:rPr>
        <w:t xml:space="preserve"> variant labels for the strings applied for IDN gTLD and ccTLDs</w:t>
      </w:r>
      <w:r w:rsidR="008425DD">
        <w:rPr>
          <w:lang w:val="en-US"/>
        </w:rPr>
        <w:t xml:space="preserve"> during application process</w:t>
      </w:r>
      <w:r w:rsidR="00AB7E85">
        <w:rPr>
          <w:lang w:val="en-US"/>
        </w:rPr>
        <w:t xml:space="preserve">, for information purposes, but </w:t>
      </w:r>
      <w:r w:rsidR="008425DD">
        <w:rPr>
          <w:lang w:val="en-US"/>
        </w:rPr>
        <w:t xml:space="preserve">these variant labels </w:t>
      </w:r>
      <w:r w:rsidR="00AB7E85">
        <w:rPr>
          <w:lang w:val="en-US"/>
        </w:rPr>
        <w:t>were not processed</w:t>
      </w:r>
      <w:r>
        <w:rPr>
          <w:lang w:val="en-US"/>
        </w:rPr>
        <w:t xml:space="preserve">.  However, RZ-LGR replaces this mechanism by a central mechanism of determining variant labels based on the community-based proposals for the various scripts.  </w:t>
      </w:r>
      <w:r w:rsidR="00AB7E85">
        <w:rPr>
          <w:lang w:val="en-US"/>
        </w:rPr>
        <w:t>The RZ-LGR also identifies the disposition of the variant labels generated.</w:t>
      </w:r>
    </w:p>
    <w:p w:rsidR="00AB7E85" w:rsidRDefault="00AB7E85" w:rsidP="000D24D4">
      <w:pPr>
        <w:rPr>
          <w:lang w:val="en-US"/>
        </w:rPr>
      </w:pPr>
      <w:r>
        <w:rPr>
          <w:lang w:val="en-US"/>
        </w:rPr>
        <w:t>It was further explained that for some corner-cases, a string may generate</w:t>
      </w:r>
      <w:r w:rsidR="002A57E2">
        <w:rPr>
          <w:lang w:val="en-US"/>
        </w:rPr>
        <w:t xml:space="preserve"> too many allocatable variant</w:t>
      </w:r>
      <w:r w:rsidR="008425DD">
        <w:rPr>
          <w:lang w:val="en-US"/>
        </w:rPr>
        <w:t xml:space="preserve"> label</w:t>
      </w:r>
      <w:r w:rsidR="002A57E2">
        <w:rPr>
          <w:lang w:val="en-US"/>
        </w:rPr>
        <w:t>s which can create management issues as identified by SSAC</w:t>
      </w:r>
      <w:r w:rsidR="008425DD">
        <w:rPr>
          <w:lang w:val="en-US"/>
        </w:rPr>
        <w:t xml:space="preserve"> in SAC 60</w:t>
      </w:r>
      <w:r w:rsidR="002A57E2">
        <w:rPr>
          <w:lang w:val="en-US"/>
        </w:rPr>
        <w:t>.  A question to ask is if these</w:t>
      </w:r>
      <w:r w:rsidR="008425DD">
        <w:rPr>
          <w:lang w:val="en-US"/>
        </w:rPr>
        <w:t xml:space="preserve"> variant labels</w:t>
      </w:r>
      <w:r w:rsidR="002A57E2">
        <w:rPr>
          <w:lang w:val="en-US"/>
        </w:rPr>
        <w:t xml:space="preserve"> can be further reduced</w:t>
      </w:r>
      <w:r w:rsidR="008425DD">
        <w:rPr>
          <w:lang w:val="en-US"/>
        </w:rPr>
        <w:t xml:space="preserve"> by policy and how?</w:t>
      </w:r>
      <w:r w:rsidR="002A57E2">
        <w:rPr>
          <w:lang w:val="en-US"/>
        </w:rPr>
        <w:t xml:space="preserve">  Based on a query, it was shared with SG the Integration Pa</w:t>
      </w:r>
      <w:r w:rsidR="008425DD">
        <w:rPr>
          <w:lang w:val="en-US"/>
        </w:rPr>
        <w:t xml:space="preserve">nel has also shown this concern, </w:t>
      </w:r>
      <w:r w:rsidR="002A57E2">
        <w:rPr>
          <w:lang w:val="en-US"/>
        </w:rPr>
        <w:t xml:space="preserve">and these details will be shared with the SG over email.  </w:t>
      </w:r>
    </w:p>
    <w:p w:rsidR="000268CF" w:rsidRDefault="000268CF" w:rsidP="000D24D4">
      <w:pPr>
        <w:rPr>
          <w:lang w:val="en-US"/>
        </w:rPr>
      </w:pPr>
      <w:r>
        <w:rPr>
          <w:lang w:val="en-US"/>
        </w:rPr>
        <w:t xml:space="preserve">The SG discussed that this group may </w:t>
      </w:r>
      <w:r w:rsidR="008425DD">
        <w:rPr>
          <w:lang w:val="en-US"/>
        </w:rPr>
        <w:t>determine</w:t>
      </w:r>
      <w:r>
        <w:rPr>
          <w:lang w:val="en-US"/>
        </w:rPr>
        <w:t xml:space="preserve"> the criteria for managing the limits for the subsequent policy process.</w:t>
      </w:r>
    </w:p>
    <w:p w:rsidR="00D916FE" w:rsidRDefault="00D916FE" w:rsidP="00D916FE">
      <w:pPr>
        <w:rPr>
          <w:lang w:val="en-US"/>
        </w:rPr>
      </w:pPr>
      <w:r w:rsidRPr="000D24D4">
        <w:rPr>
          <w:b/>
          <w:bCs/>
          <w:lang w:val="en-US"/>
        </w:rPr>
        <w:lastRenderedPageBreak/>
        <w:t>Additional members.</w:t>
      </w:r>
      <w:r>
        <w:rPr>
          <w:lang w:val="en-US"/>
        </w:rPr>
        <w:t xml:space="preserve">  The SG was informed that there were two community members who had shown interest in joining the group but did not have nominations from SOs or ACs. The SG</w:t>
      </w:r>
      <w:r w:rsidR="0097293E">
        <w:rPr>
          <w:lang w:val="en-US"/>
        </w:rPr>
        <w:t xml:space="preserve"> members were generally open to the participation and</w:t>
      </w:r>
      <w:r>
        <w:rPr>
          <w:lang w:val="en-US"/>
        </w:rPr>
        <w:t xml:space="preserve"> suggested to share the details of the community members over email to further discuss on how to proceed. </w:t>
      </w:r>
    </w:p>
    <w:p w:rsidR="00E95C51" w:rsidRDefault="0031597A" w:rsidP="00D916FE">
      <w:pPr>
        <w:rPr>
          <w:lang w:val="en-US"/>
        </w:rPr>
      </w:pPr>
      <w:r>
        <w:rPr>
          <w:b/>
          <w:bCs/>
          <w:lang w:val="en-US"/>
        </w:rPr>
        <w:t>Rescheduling</w:t>
      </w:r>
      <w:r w:rsidR="00E95C51" w:rsidRPr="008425DD">
        <w:rPr>
          <w:b/>
          <w:bCs/>
          <w:lang w:val="en-US"/>
        </w:rPr>
        <w:t xml:space="preserve"> </w:t>
      </w:r>
      <w:r w:rsidR="0087451F" w:rsidRPr="008425DD">
        <w:rPr>
          <w:b/>
          <w:bCs/>
          <w:lang w:val="en-US"/>
        </w:rPr>
        <w:t>the meeting time.</w:t>
      </w:r>
      <w:r w:rsidR="0087451F">
        <w:rPr>
          <w:lang w:val="en-US"/>
        </w:rPr>
        <w:t xml:space="preserve">  The SG suggested to do another doodle poll to allow the existing and new members to agree on a</w:t>
      </w:r>
      <w:r w:rsidR="008425DD">
        <w:rPr>
          <w:lang w:val="en-US"/>
        </w:rPr>
        <w:t>n alternate</w:t>
      </w:r>
      <w:r w:rsidR="0087451F">
        <w:rPr>
          <w:lang w:val="en-US"/>
        </w:rPr>
        <w:t xml:space="preserve"> mutually convenient meeting time.</w:t>
      </w:r>
    </w:p>
    <w:p w:rsidR="00540FF1" w:rsidRPr="00DB5E97" w:rsidRDefault="00540FF1" w:rsidP="00540FF1">
      <w:pPr>
        <w:spacing w:before="100" w:beforeAutospacing="1" w:after="100" w:afterAutospacing="1" w:line="240" w:lineRule="auto"/>
        <w:rPr>
          <w:rFonts w:eastAsia="Times New Roman" w:cs="Arial"/>
          <w:lang w:eastAsia="en-SG"/>
        </w:rPr>
      </w:pPr>
      <w:r w:rsidRPr="00DB5E97">
        <w:rPr>
          <w:rFonts w:eastAsia="Times New Roman" w:cs="Arial"/>
          <w:u w:val="single"/>
          <w:lang w:eastAsia="en-SG"/>
        </w:rPr>
        <w:t>Action Items</w:t>
      </w:r>
      <w:r w:rsidRPr="00DB5E97">
        <w:rPr>
          <w:rFonts w:eastAsia="Times New Roman" w:cs="Arial"/>
          <w:lang w:eastAsia="en-S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300"/>
        <w:gridCol w:w="1440"/>
      </w:tblGrid>
      <w:tr w:rsidR="00540FF1" w:rsidRPr="00DB5E97" w:rsidTr="009757EB">
        <w:tc>
          <w:tcPr>
            <w:tcW w:w="985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b/>
                <w:bCs/>
                <w:szCs w:val="22"/>
                <w:lang w:eastAsia="en-SG"/>
              </w:rPr>
            </w:pPr>
            <w:r w:rsidRPr="00DB5E97">
              <w:rPr>
                <w:rFonts w:eastAsia="Times New Roman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300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b/>
                <w:bCs/>
                <w:szCs w:val="22"/>
                <w:lang w:eastAsia="en-SG"/>
              </w:rPr>
            </w:pPr>
            <w:r w:rsidRPr="00DB5E97">
              <w:rPr>
                <w:rFonts w:eastAsia="Times New Roman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440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b/>
                <w:bCs/>
                <w:szCs w:val="22"/>
                <w:lang w:eastAsia="en-SG"/>
              </w:rPr>
            </w:pPr>
            <w:r w:rsidRPr="00DB5E97">
              <w:rPr>
                <w:rFonts w:eastAsia="Times New Roman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540FF1" w:rsidRPr="00DB5E97" w:rsidTr="009757EB">
        <w:tc>
          <w:tcPr>
            <w:tcW w:w="985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i/>
                <w:iCs/>
                <w:szCs w:val="22"/>
                <w:lang w:eastAsia="en-SG"/>
              </w:rPr>
            </w:pPr>
            <w:r w:rsidRPr="00DB5E97">
              <w:rPr>
                <w:rFonts w:eastAsia="Times New Roman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300" w:type="dxa"/>
          </w:tcPr>
          <w:p w:rsidR="00540FF1" w:rsidRPr="00DB5E97" w:rsidRDefault="00540FF1" w:rsidP="009757EB">
            <w:pPr>
              <w:shd w:val="clear" w:color="auto" w:fill="FFFFFF"/>
              <w:rPr>
                <w:rFonts w:eastAsia="Times New Roman" w:cs="Arial"/>
                <w:i/>
                <w:iCs/>
                <w:szCs w:val="22"/>
                <w:lang w:eastAsia="en-SG"/>
              </w:rPr>
            </w:pPr>
            <w:r w:rsidRPr="00DB5E97">
              <w:rPr>
                <w:rFonts w:eastAsia="Times New Roman" w:cs="Arial"/>
                <w:i/>
                <w:iCs/>
                <w:szCs w:val="22"/>
                <w:lang w:eastAsia="en-SG"/>
              </w:rPr>
              <w:t>Share materials related to RZ-LGR</w:t>
            </w:r>
          </w:p>
        </w:tc>
        <w:tc>
          <w:tcPr>
            <w:tcW w:w="1440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szCs w:val="22"/>
                <w:lang w:eastAsia="en-SG"/>
              </w:rPr>
            </w:pPr>
            <w:r w:rsidRPr="00DB5E97">
              <w:rPr>
                <w:rFonts w:eastAsia="Times New Roman" w:cs="Arial"/>
                <w:szCs w:val="22"/>
                <w:lang w:eastAsia="en-SG"/>
              </w:rPr>
              <w:t>SH</w:t>
            </w:r>
          </w:p>
        </w:tc>
      </w:tr>
      <w:tr w:rsidR="00540FF1" w:rsidRPr="00DB5E97" w:rsidTr="009757EB">
        <w:tc>
          <w:tcPr>
            <w:tcW w:w="985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i/>
                <w:iCs/>
                <w:szCs w:val="22"/>
                <w:lang w:eastAsia="en-SG"/>
              </w:rPr>
            </w:pPr>
            <w:r w:rsidRPr="00DB5E97">
              <w:rPr>
                <w:rFonts w:eastAsia="Times New Roman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300" w:type="dxa"/>
          </w:tcPr>
          <w:p w:rsidR="00540FF1" w:rsidRPr="00DB5E97" w:rsidRDefault="00540FF1" w:rsidP="009757EB">
            <w:pPr>
              <w:shd w:val="clear" w:color="auto" w:fill="FFFFFF"/>
              <w:rPr>
                <w:rFonts w:eastAsia="Times New Roman" w:cs="Arial"/>
                <w:i/>
                <w:iCs/>
                <w:szCs w:val="22"/>
                <w:lang w:eastAsia="en-SG"/>
              </w:rPr>
            </w:pPr>
            <w:r w:rsidRPr="00DB5E97">
              <w:rPr>
                <w:rFonts w:eastAsia="Times New Roman" w:cs="Arial"/>
                <w:i/>
                <w:iCs/>
                <w:szCs w:val="22"/>
                <w:lang w:eastAsia="en-SG"/>
              </w:rPr>
              <w:t>Share details of comments of the Integration Panel regarding over-production of allocatable variants for some TLD labels</w:t>
            </w:r>
            <w:r w:rsidR="0094596A">
              <w:rPr>
                <w:rFonts w:eastAsia="Times New Roman" w:cs="Arial"/>
                <w:i/>
                <w:iCs/>
                <w:szCs w:val="22"/>
                <w:lang w:eastAsia="en-SG"/>
              </w:rPr>
              <w:t xml:space="preserve"> using the RZ-LGR</w:t>
            </w:r>
          </w:p>
        </w:tc>
        <w:tc>
          <w:tcPr>
            <w:tcW w:w="1440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szCs w:val="22"/>
                <w:lang w:eastAsia="en-SG"/>
              </w:rPr>
            </w:pPr>
            <w:r w:rsidRPr="00DB5E97">
              <w:rPr>
                <w:rFonts w:eastAsia="Times New Roman" w:cs="Arial"/>
                <w:szCs w:val="22"/>
                <w:lang w:eastAsia="en-SG"/>
              </w:rPr>
              <w:t>SH</w:t>
            </w:r>
          </w:p>
        </w:tc>
      </w:tr>
      <w:tr w:rsidR="00540FF1" w:rsidRPr="00DB5E97" w:rsidTr="009757EB">
        <w:tc>
          <w:tcPr>
            <w:tcW w:w="985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i/>
                <w:iCs/>
                <w:lang w:eastAsia="en-SG"/>
              </w:rPr>
            </w:pPr>
            <w:r w:rsidRPr="00DB5E97">
              <w:rPr>
                <w:rFonts w:eastAsia="Times New Roman" w:cs="Arial"/>
                <w:i/>
                <w:iCs/>
                <w:lang w:eastAsia="en-SG"/>
              </w:rPr>
              <w:t>3</w:t>
            </w:r>
          </w:p>
        </w:tc>
        <w:tc>
          <w:tcPr>
            <w:tcW w:w="6300" w:type="dxa"/>
          </w:tcPr>
          <w:p w:rsidR="00540FF1" w:rsidRPr="00DB5E97" w:rsidRDefault="00540FF1" w:rsidP="009757EB">
            <w:pPr>
              <w:shd w:val="clear" w:color="auto" w:fill="FFFFFF"/>
              <w:rPr>
                <w:rFonts w:eastAsia="Times New Roman" w:cs="Arial"/>
                <w:i/>
                <w:iCs/>
                <w:lang w:eastAsia="en-SG"/>
              </w:rPr>
            </w:pPr>
            <w:r w:rsidRPr="00DB5E97">
              <w:rPr>
                <w:rFonts w:eastAsia="Times New Roman" w:cs="Arial"/>
                <w:i/>
                <w:iCs/>
                <w:lang w:eastAsia="en-SG"/>
              </w:rPr>
              <w:t>Share details of additional community members who would like to join the study group</w:t>
            </w:r>
          </w:p>
        </w:tc>
        <w:tc>
          <w:tcPr>
            <w:tcW w:w="1440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lang w:eastAsia="en-SG"/>
              </w:rPr>
            </w:pPr>
            <w:r w:rsidRPr="00DB5E97">
              <w:rPr>
                <w:rFonts w:eastAsia="Times New Roman" w:cs="Arial"/>
                <w:lang w:eastAsia="en-SG"/>
              </w:rPr>
              <w:t>SH</w:t>
            </w:r>
          </w:p>
        </w:tc>
      </w:tr>
      <w:tr w:rsidR="00540FF1" w:rsidRPr="00DB5E97" w:rsidTr="009757EB">
        <w:tc>
          <w:tcPr>
            <w:tcW w:w="985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i/>
                <w:iCs/>
                <w:lang w:eastAsia="en-SG"/>
              </w:rPr>
            </w:pPr>
            <w:r w:rsidRPr="00DB5E97">
              <w:rPr>
                <w:rFonts w:eastAsia="Times New Roman" w:cs="Arial"/>
                <w:i/>
                <w:iCs/>
                <w:lang w:eastAsia="en-SG"/>
              </w:rPr>
              <w:t>4</w:t>
            </w:r>
          </w:p>
        </w:tc>
        <w:tc>
          <w:tcPr>
            <w:tcW w:w="6300" w:type="dxa"/>
          </w:tcPr>
          <w:p w:rsidR="00540FF1" w:rsidRPr="00DB5E97" w:rsidRDefault="00540FF1" w:rsidP="009757EB">
            <w:pPr>
              <w:shd w:val="clear" w:color="auto" w:fill="FFFFFF"/>
              <w:rPr>
                <w:rFonts w:eastAsia="Times New Roman" w:cs="Arial"/>
                <w:i/>
                <w:iCs/>
                <w:lang w:eastAsia="en-SG"/>
              </w:rPr>
            </w:pPr>
            <w:r w:rsidRPr="00DB5E97">
              <w:rPr>
                <w:rFonts w:eastAsia="Times New Roman" w:cs="Arial"/>
                <w:i/>
                <w:iCs/>
                <w:lang w:eastAsia="en-SG"/>
              </w:rPr>
              <w:t xml:space="preserve">Conduct a doodle poll to set another time for the online weekly meeting of the </w:t>
            </w:r>
            <w:r w:rsidR="0094596A">
              <w:rPr>
                <w:rFonts w:eastAsia="Times New Roman" w:cs="Arial"/>
                <w:i/>
                <w:iCs/>
                <w:lang w:eastAsia="en-SG"/>
              </w:rPr>
              <w:t xml:space="preserve">study </w:t>
            </w:r>
            <w:bookmarkStart w:id="0" w:name="_GoBack"/>
            <w:bookmarkEnd w:id="0"/>
            <w:r w:rsidRPr="00DB5E97">
              <w:rPr>
                <w:rFonts w:eastAsia="Times New Roman" w:cs="Arial"/>
                <w:i/>
                <w:iCs/>
                <w:lang w:eastAsia="en-SG"/>
              </w:rPr>
              <w:t>group</w:t>
            </w:r>
          </w:p>
        </w:tc>
        <w:tc>
          <w:tcPr>
            <w:tcW w:w="1440" w:type="dxa"/>
          </w:tcPr>
          <w:p w:rsidR="00540FF1" w:rsidRPr="00DB5E97" w:rsidRDefault="00540FF1" w:rsidP="009757EB">
            <w:pPr>
              <w:spacing w:before="40" w:after="40"/>
              <w:rPr>
                <w:rFonts w:eastAsia="Times New Roman" w:cs="Arial"/>
                <w:lang w:eastAsia="en-SG"/>
              </w:rPr>
            </w:pPr>
            <w:r w:rsidRPr="00DB5E97">
              <w:rPr>
                <w:rFonts w:eastAsia="Times New Roman" w:cs="Arial"/>
                <w:lang w:eastAsia="en-SG"/>
              </w:rPr>
              <w:t>SH</w:t>
            </w:r>
          </w:p>
        </w:tc>
      </w:tr>
    </w:tbl>
    <w:p w:rsidR="00540FF1" w:rsidRPr="00780974" w:rsidRDefault="00540FF1" w:rsidP="00540FF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rtl/>
          <w:cs/>
          <w:lang w:eastAsia="en-SG"/>
        </w:rPr>
      </w:pPr>
    </w:p>
    <w:p w:rsidR="0087451F" w:rsidRDefault="0087451F" w:rsidP="00D916FE">
      <w:pPr>
        <w:rPr>
          <w:lang w:val="en-US"/>
        </w:rPr>
      </w:pPr>
    </w:p>
    <w:p w:rsidR="000268CF" w:rsidRDefault="000268CF" w:rsidP="000D24D4">
      <w:pPr>
        <w:rPr>
          <w:lang w:val="en-US"/>
        </w:rPr>
      </w:pPr>
    </w:p>
    <w:p w:rsidR="000268CF" w:rsidRPr="000D24D4" w:rsidRDefault="000268CF" w:rsidP="000D24D4">
      <w:pPr>
        <w:rPr>
          <w:lang w:val="en-US"/>
        </w:rPr>
      </w:pPr>
    </w:p>
    <w:sectPr w:rsidR="000268CF" w:rsidRPr="000D2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D6F"/>
    <w:multiLevelType w:val="hybridMultilevel"/>
    <w:tmpl w:val="81609E6E"/>
    <w:lvl w:ilvl="0" w:tplc="122ED0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A0F29"/>
    <w:multiLevelType w:val="hybridMultilevel"/>
    <w:tmpl w:val="A7A4D958"/>
    <w:lvl w:ilvl="0" w:tplc="E572D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C0"/>
    <w:rsid w:val="000268CF"/>
    <w:rsid w:val="000D24D4"/>
    <w:rsid w:val="00171073"/>
    <w:rsid w:val="00182A1B"/>
    <w:rsid w:val="002A57E2"/>
    <w:rsid w:val="002F55E6"/>
    <w:rsid w:val="0031597A"/>
    <w:rsid w:val="00380BB0"/>
    <w:rsid w:val="00496C3F"/>
    <w:rsid w:val="00540FF1"/>
    <w:rsid w:val="00607C12"/>
    <w:rsid w:val="008425DD"/>
    <w:rsid w:val="0087451F"/>
    <w:rsid w:val="0094596A"/>
    <w:rsid w:val="0097293E"/>
    <w:rsid w:val="00AA43EE"/>
    <w:rsid w:val="00AB7E85"/>
    <w:rsid w:val="00B33EC0"/>
    <w:rsid w:val="00D916FE"/>
    <w:rsid w:val="00DB5E97"/>
    <w:rsid w:val="00DF674F"/>
    <w:rsid w:val="00E729E8"/>
    <w:rsid w:val="00E95C51"/>
    <w:rsid w:val="00EB27FF"/>
    <w:rsid w:val="00F1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0ECE"/>
  <w15:chartTrackingRefBased/>
  <w15:docId w15:val="{DEB71C1E-691F-482C-A178-40F4A188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A1B"/>
    <w:pPr>
      <w:ind w:left="720"/>
      <w:contextualSpacing/>
    </w:pPr>
  </w:style>
  <w:style w:type="table" w:styleId="TableGrid">
    <w:name w:val="Table Grid"/>
    <w:basedOn w:val="TableNormal"/>
    <w:uiPriority w:val="39"/>
    <w:rsid w:val="00540FF1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Sarmad Hussain</dc:creator>
  <cp:keywords/>
  <dc:description/>
  <cp:lastModifiedBy>Sarmad Hussain</cp:lastModifiedBy>
  <cp:revision>22</cp:revision>
  <dcterms:created xsi:type="dcterms:W3CDTF">2018-04-09T01:32:00Z</dcterms:created>
  <dcterms:modified xsi:type="dcterms:W3CDTF">2018-04-09T09:09:00Z</dcterms:modified>
</cp:coreProperties>
</file>