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B5FDEB" w14:textId="77777777" w:rsidR="007B1D44" w:rsidRPr="007C10D7" w:rsidRDefault="007B1D44" w:rsidP="007B1D44">
      <w:pPr>
        <w:spacing w:after="0" w:line="240" w:lineRule="auto"/>
        <w:jc w:val="center"/>
        <w:rPr>
          <w:rFonts w:eastAsia="Times New Roman" w:cs="Times New Roman"/>
          <w:b/>
          <w:sz w:val="20"/>
          <w:szCs w:val="20"/>
          <w:lang w:val="en-US" w:eastAsia="fr-FR"/>
        </w:rPr>
      </w:pPr>
      <w:r w:rsidRPr="007C10D7">
        <w:rPr>
          <w:rFonts w:eastAsia="Times New Roman" w:cs="Times New Roman"/>
          <w:b/>
          <w:sz w:val="20"/>
          <w:szCs w:val="20"/>
          <w:lang w:val="en-US" w:eastAsia="fr-FR"/>
        </w:rPr>
        <w:t>CCWG ACCOUNTABILITY - STRESS TEST 18</w:t>
      </w:r>
    </w:p>
    <w:p w14:paraId="429EF643" w14:textId="0BE7B881" w:rsidR="007B1D44" w:rsidRDefault="00681AD5" w:rsidP="007B1D44">
      <w:pPr>
        <w:spacing w:after="0" w:line="240" w:lineRule="auto"/>
        <w:jc w:val="center"/>
        <w:rPr>
          <w:rFonts w:eastAsia="Times New Roman" w:cs="Times New Roman"/>
          <w:b/>
          <w:sz w:val="20"/>
          <w:szCs w:val="20"/>
          <w:lang w:val="en-US" w:eastAsia="fr-FR"/>
        </w:rPr>
      </w:pPr>
      <w:r>
        <w:rPr>
          <w:rFonts w:eastAsia="Times New Roman" w:cs="Times New Roman"/>
          <w:b/>
          <w:sz w:val="20"/>
          <w:szCs w:val="20"/>
          <w:lang w:val="en-US" w:eastAsia="fr-FR"/>
        </w:rPr>
        <w:t>20</w:t>
      </w:r>
      <w:r w:rsidR="007B1D44" w:rsidRPr="007C10D7">
        <w:rPr>
          <w:rFonts w:eastAsia="Times New Roman" w:cs="Times New Roman"/>
          <w:b/>
          <w:sz w:val="20"/>
          <w:szCs w:val="20"/>
          <w:lang w:val="en-US" w:eastAsia="fr-FR"/>
        </w:rPr>
        <w:t xml:space="preserve"> November 2015</w:t>
      </w:r>
    </w:p>
    <w:p w14:paraId="0646A93A" w14:textId="77777777" w:rsidR="008865D8" w:rsidRDefault="008865D8" w:rsidP="007B1D44">
      <w:pPr>
        <w:spacing w:after="0" w:line="240" w:lineRule="auto"/>
        <w:jc w:val="center"/>
        <w:rPr>
          <w:rFonts w:eastAsia="Times New Roman" w:cs="Times New Roman"/>
          <w:b/>
          <w:sz w:val="20"/>
          <w:szCs w:val="20"/>
          <w:lang w:val="en-US" w:eastAsia="fr-FR"/>
        </w:rPr>
      </w:pPr>
    </w:p>
    <w:p w14:paraId="538C2190" w14:textId="26C97EDD" w:rsidR="008865D8" w:rsidRDefault="002B459B" w:rsidP="008865D8">
      <w:pPr>
        <w:spacing w:after="0" w:line="240" w:lineRule="auto"/>
        <w:rPr>
          <w:rFonts w:eastAsia="Times New Roman" w:cs="Times New Roman"/>
          <w:b/>
          <w:sz w:val="20"/>
          <w:szCs w:val="20"/>
          <w:lang w:val="en-US" w:eastAsia="fr-FR"/>
        </w:rPr>
      </w:pPr>
      <w:r>
        <w:rPr>
          <w:rFonts w:eastAsia="Times New Roman" w:cs="Times New Roman"/>
          <w:b/>
          <w:sz w:val="20"/>
          <w:szCs w:val="20"/>
          <w:lang w:val="en-US" w:eastAsia="fr-FR"/>
        </w:rPr>
        <w:t>Edited Denmark</w:t>
      </w:r>
      <w:bookmarkStart w:id="0" w:name="_GoBack"/>
      <w:bookmarkEnd w:id="0"/>
      <w:r w:rsidR="00D5322A">
        <w:rPr>
          <w:rFonts w:eastAsia="Times New Roman" w:cs="Times New Roman"/>
          <w:b/>
          <w:sz w:val="20"/>
          <w:szCs w:val="20"/>
          <w:lang w:val="en-US" w:eastAsia="fr-FR"/>
        </w:rPr>
        <w:t xml:space="preserve"> proposal </w:t>
      </w:r>
    </w:p>
    <w:p w14:paraId="41F061B6" w14:textId="77777777" w:rsidR="008865D8" w:rsidRDefault="008865D8" w:rsidP="008865D8">
      <w:pPr>
        <w:spacing w:after="0" w:line="240" w:lineRule="auto"/>
        <w:rPr>
          <w:rFonts w:eastAsia="Times New Roman" w:cs="Times New Roman"/>
          <w:b/>
          <w:sz w:val="20"/>
          <w:szCs w:val="20"/>
          <w:lang w:val="en-US" w:eastAsia="fr-FR"/>
        </w:rPr>
      </w:pPr>
    </w:p>
    <w:p w14:paraId="121E1109" w14:textId="77777777" w:rsidR="008865D8" w:rsidRDefault="008865D8" w:rsidP="008865D8">
      <w:pPr>
        <w:rPr>
          <w:rFonts w:eastAsia="Times New Roman" w:cs="Times New Roman"/>
          <w:sz w:val="20"/>
          <w:szCs w:val="20"/>
          <w:lang w:val="en-US" w:eastAsia="fr-FR"/>
        </w:rPr>
      </w:pPr>
      <w:r>
        <w:rPr>
          <w:rFonts w:eastAsia="Times New Roman" w:cs="Times New Roman"/>
          <w:sz w:val="20"/>
          <w:szCs w:val="20"/>
          <w:lang w:val="en-US" w:eastAsia="fr-FR"/>
        </w:rPr>
        <w:t>ICANN BYLAWS</w:t>
      </w:r>
    </w:p>
    <w:p w14:paraId="2680327B" w14:textId="77777777" w:rsidR="008865D8" w:rsidRDefault="008865D8" w:rsidP="008865D8">
      <w:pPr>
        <w:rPr>
          <w:rFonts w:eastAsia="Times New Roman" w:cs="Helvetica"/>
          <w:color w:val="010101"/>
          <w:sz w:val="20"/>
          <w:szCs w:val="20"/>
          <w:lang w:val="en-US" w:eastAsia="fr-FR"/>
        </w:rPr>
      </w:pPr>
      <w:r>
        <w:rPr>
          <w:rFonts w:eastAsia="Times New Roman" w:cs="Helvetica"/>
          <w:color w:val="010101"/>
          <w:sz w:val="20"/>
          <w:szCs w:val="20"/>
          <w:lang w:val="en-US" w:eastAsia="fr-FR"/>
        </w:rPr>
        <w:t xml:space="preserve">Article XI </w:t>
      </w:r>
      <w:r>
        <w:rPr>
          <w:rFonts w:eastAsia="Times New Roman" w:cs="Times New Roman"/>
          <w:iCs/>
          <w:sz w:val="20"/>
          <w:szCs w:val="20"/>
          <w:lang w:val="en-US" w:eastAsia="fr-FR"/>
        </w:rPr>
        <w:t>Advisory Committees</w:t>
      </w:r>
    </w:p>
    <w:p w14:paraId="1F1D529B" w14:textId="77777777" w:rsidR="008865D8" w:rsidRDefault="008865D8" w:rsidP="008865D8">
      <w:pPr>
        <w:rPr>
          <w:rFonts w:eastAsia="Times New Roman" w:cs="Times New Roman"/>
          <w:sz w:val="20"/>
          <w:szCs w:val="20"/>
          <w:lang w:val="en-US" w:eastAsia="fr-FR"/>
        </w:rPr>
      </w:pPr>
    </w:p>
    <w:p w14:paraId="42F6C772" w14:textId="77777777" w:rsidR="008865D8" w:rsidRPr="00C063E9" w:rsidRDefault="008865D8" w:rsidP="008865D8">
      <w:pPr>
        <w:rPr>
          <w:sz w:val="20"/>
          <w:lang w:val="en-US"/>
        </w:rPr>
      </w:pPr>
      <w:r>
        <w:rPr>
          <w:sz w:val="20"/>
          <w:lang w:val="en-US"/>
        </w:rPr>
        <w:t>[</w:t>
      </w:r>
      <w:r w:rsidRPr="00C063E9">
        <w:rPr>
          <w:sz w:val="20"/>
          <w:lang w:val="en-US"/>
        </w:rPr>
        <w:t>Section 1. GENERAL</w:t>
      </w:r>
    </w:p>
    <w:p w14:paraId="104E30AA" w14:textId="77777777" w:rsidR="008865D8" w:rsidRPr="00C063E9" w:rsidRDefault="008865D8" w:rsidP="008865D8">
      <w:pPr>
        <w:rPr>
          <w:sz w:val="20"/>
          <w:lang w:val="en-US"/>
        </w:rPr>
      </w:pPr>
      <w:r w:rsidRPr="00C063E9">
        <w:rPr>
          <w:sz w:val="20"/>
          <w:lang w:val="en-US"/>
        </w:rPr>
        <w:t>The Board may create one or more Advisory Committees in addition to those set forth in this Article. […] Advisory Committees shall have no legal authority to act for ICANN, but shall report their findings and recommendations to the Board.</w:t>
      </w:r>
    </w:p>
    <w:p w14:paraId="722441EC" w14:textId="1075DF57" w:rsidR="00E93EFD" w:rsidRDefault="00E93EFD" w:rsidP="00E93EFD">
      <w:pPr>
        <w:rPr>
          <w:rFonts w:ascii="Calibri" w:hAnsi="Calibri"/>
          <w:b/>
          <w:bCs/>
          <w:i/>
          <w:iCs/>
          <w:color w:val="FF0000"/>
          <w:u w:val="single"/>
          <w:lang w:val="en-US"/>
        </w:rPr>
      </w:pPr>
      <w:bookmarkStart w:id="1" w:name="OLE_LINK1"/>
      <w:bookmarkStart w:id="2" w:name="OLE_LINK2"/>
      <w:commentRangeStart w:id="3"/>
      <w:r>
        <w:rPr>
          <w:rFonts w:ascii="Calibri" w:hAnsi="Calibri"/>
          <w:b/>
          <w:bCs/>
          <w:i/>
          <w:iCs/>
          <w:color w:val="FF0000"/>
          <w:u w:val="single"/>
          <w:lang w:val="en-US"/>
        </w:rPr>
        <w:t xml:space="preserve">Where the Board is required to try to find a mutually acceptable solution to an advisory committee's advice if the Board does not follow that advice, the Board is not obliged to try to find such a solution if that Advisory Committee's advice was not supported by consensus. Advisory Committees should ensure that their advice to the Board is clear. </w:t>
      </w:r>
      <w:commentRangeEnd w:id="3"/>
      <w:r>
        <w:rPr>
          <w:rStyle w:val="Marquedecommentaire"/>
        </w:rPr>
        <w:commentReference w:id="3"/>
      </w:r>
    </w:p>
    <w:bookmarkEnd w:id="1"/>
    <w:bookmarkEnd w:id="2"/>
    <w:p w14:paraId="071F2E61" w14:textId="576A498D" w:rsidR="00E93EFD" w:rsidRDefault="00E93EFD" w:rsidP="00E93EFD">
      <w:pPr>
        <w:rPr>
          <w:rFonts w:ascii="Calibri" w:hAnsi="Calibri"/>
          <w:b/>
          <w:bCs/>
          <w:i/>
          <w:iCs/>
          <w:color w:val="FF0000"/>
          <w:u w:val="single"/>
          <w:lang w:val="en-US"/>
        </w:rPr>
      </w:pPr>
      <w:commentRangeStart w:id="4"/>
      <w:r w:rsidRPr="00E93EFD">
        <w:rPr>
          <w:rFonts w:ascii="Calibri" w:hAnsi="Calibri"/>
          <w:b/>
          <w:bCs/>
          <w:i/>
          <w:iCs/>
          <w:color w:val="FF0000"/>
          <w:u w:val="single"/>
          <w:lang w:val="en-US"/>
        </w:rPr>
        <w:t>It is understood that determining consensus does not include reaching a decision based on majority voting whereby a fundamental disagreement with or objections to the advice by a minority of the AC representatives may be overridden. It is also understood that “consensus” does not necessarily mean “unanimity” or a broad measure of agreement that would allow an AC member or a very</w:t>
      </w:r>
      <w:r>
        <w:rPr>
          <w:rFonts w:ascii="Calibri" w:hAnsi="Calibri"/>
          <w:b/>
          <w:bCs/>
          <w:i/>
          <w:iCs/>
          <w:color w:val="FF0000"/>
          <w:u w:val="single"/>
          <w:lang w:val="en-US"/>
        </w:rPr>
        <w:t xml:space="preserve"> small minority of AC members to block consensus advice.</w:t>
      </w:r>
      <w:commentRangeEnd w:id="4"/>
      <w:r>
        <w:rPr>
          <w:rStyle w:val="Marquedecommentaire"/>
        </w:rPr>
        <w:commentReference w:id="4"/>
      </w:r>
    </w:p>
    <w:p w14:paraId="56A8C552" w14:textId="77777777" w:rsidR="00E93EFD" w:rsidRPr="00C063E9" w:rsidRDefault="00E93EFD" w:rsidP="008865D8">
      <w:pPr>
        <w:rPr>
          <w:sz w:val="20"/>
          <w:lang w:val="en-US"/>
        </w:rPr>
      </w:pPr>
    </w:p>
    <w:p w14:paraId="0603D409" w14:textId="77777777" w:rsidR="00D5322A" w:rsidRDefault="00D5322A" w:rsidP="008865D8">
      <w:pPr>
        <w:rPr>
          <w:rFonts w:eastAsia="Times New Roman" w:cs="Helvetica"/>
          <w:color w:val="010101"/>
          <w:sz w:val="20"/>
          <w:szCs w:val="20"/>
          <w:lang w:val="en-US" w:eastAsia="fr-FR"/>
        </w:rPr>
      </w:pPr>
    </w:p>
    <w:p w14:paraId="583074D2" w14:textId="77777777" w:rsidR="008865D8" w:rsidRDefault="008865D8" w:rsidP="008865D8">
      <w:pPr>
        <w:rPr>
          <w:rFonts w:eastAsia="Times New Roman" w:cs="Times New Roman"/>
          <w:sz w:val="20"/>
          <w:szCs w:val="20"/>
          <w:lang w:val="en-US" w:eastAsia="fr-FR"/>
        </w:rPr>
      </w:pPr>
      <w:r>
        <w:rPr>
          <w:rFonts w:eastAsia="Times New Roman" w:cs="Helvetica"/>
          <w:color w:val="010101"/>
          <w:sz w:val="20"/>
          <w:szCs w:val="20"/>
          <w:lang w:val="en-US" w:eastAsia="fr-FR"/>
        </w:rPr>
        <w:t>Section 2, Item 1, relating only to the GAC</w:t>
      </w:r>
    </w:p>
    <w:p w14:paraId="55FE8D94" w14:textId="77777777" w:rsidR="008865D8" w:rsidRDefault="008865D8" w:rsidP="008865D8">
      <w:pPr>
        <w:rPr>
          <w:rFonts w:eastAsia="Times New Roman" w:cs="Times New Roman"/>
          <w:sz w:val="20"/>
          <w:szCs w:val="20"/>
          <w:lang w:val="en-US" w:eastAsia="fr-FR"/>
        </w:rPr>
      </w:pPr>
    </w:p>
    <w:p w14:paraId="2A98A789" w14:textId="77777777" w:rsidR="00E93EFD" w:rsidRDefault="008865D8" w:rsidP="00E93EFD">
      <w:pPr>
        <w:rPr>
          <w:rFonts w:ascii="Calibri" w:hAnsi="Calibri"/>
          <w:i/>
          <w:iCs/>
          <w:color w:val="000000"/>
          <w:lang w:val="en-US"/>
        </w:rPr>
      </w:pPr>
      <w:r>
        <w:rPr>
          <w:rFonts w:eastAsia="Times New Roman" w:cs="Times New Roman"/>
          <w:sz w:val="20"/>
          <w:szCs w:val="20"/>
          <w:lang w:val="en-US" w:eastAsia="fr-FR"/>
        </w:rPr>
        <w:t xml:space="preserve">j. The advice of the Governmental Advisory Committee on public policy matters shall be duly taken into account, both in the formulation and adoption of policies. In the event that the ICANN Board determines to take an action that is not consistent with the Governmental Advisory Committee advice, it shall so inform the Committee and state the reasons why it decided not to follow that advice. </w:t>
      </w:r>
      <w:commentRangeStart w:id="5"/>
      <w:r w:rsidR="00E93EFD">
        <w:rPr>
          <w:rFonts w:ascii="Calibri" w:hAnsi="Calibri"/>
          <w:b/>
          <w:bCs/>
          <w:i/>
          <w:iCs/>
          <w:color w:val="000000"/>
          <w:u w:val="single"/>
          <w:lang w:val="en-US"/>
        </w:rPr>
        <w:t>Any GAC Advice approved by a GAC consensus may only be rejected by a vote of more than two-thirds (2/3) of the Board.</w:t>
      </w:r>
      <w:r w:rsidR="00E93EFD">
        <w:rPr>
          <w:rFonts w:ascii="Calibri" w:hAnsi="Calibri"/>
          <w:i/>
          <w:iCs/>
          <w:color w:val="000000"/>
          <w:lang w:val="en-US"/>
        </w:rPr>
        <w:t> </w:t>
      </w:r>
      <w:commentRangeEnd w:id="5"/>
      <w:r w:rsidR="008D320E">
        <w:rPr>
          <w:rStyle w:val="Marquedecommentaire"/>
        </w:rPr>
        <w:commentReference w:id="5"/>
      </w:r>
      <w:r w:rsidR="00E93EFD">
        <w:rPr>
          <w:rFonts w:ascii="Calibri" w:hAnsi="Calibri"/>
          <w:i/>
          <w:iCs/>
          <w:color w:val="000000"/>
          <w:lang w:val="en-US"/>
        </w:rPr>
        <w:t>The Governmental Advisory Committee and the ICANN Board will then try, in good faith and in a timely and efficient manner, to find a mutually acceptable solution.”</w:t>
      </w:r>
    </w:p>
    <w:p w14:paraId="29AE6DF1" w14:textId="77777777" w:rsidR="00B157B7" w:rsidRDefault="00B157B7" w:rsidP="00E93EFD">
      <w:pPr>
        <w:rPr>
          <w:rFonts w:ascii="Calibri" w:hAnsi="Calibri"/>
          <w:i/>
          <w:iCs/>
          <w:color w:val="000000"/>
          <w:lang w:val="en-US"/>
        </w:rPr>
      </w:pPr>
    </w:p>
    <w:p w14:paraId="23BC6D2D" w14:textId="77777777" w:rsidR="00B157B7" w:rsidRDefault="00B157B7" w:rsidP="00E93EFD">
      <w:pPr>
        <w:rPr>
          <w:rFonts w:ascii="Calibri" w:hAnsi="Calibri"/>
          <w:i/>
          <w:iCs/>
          <w:color w:val="000000"/>
          <w:lang w:val="en-US"/>
        </w:rPr>
      </w:pPr>
    </w:p>
    <w:p w14:paraId="7AAED8C6" w14:textId="77777777" w:rsidR="008D320E" w:rsidRDefault="008D320E">
      <w:pPr>
        <w:rPr>
          <w:rFonts w:ascii="Calibri" w:hAnsi="Calibri"/>
          <w:i/>
          <w:iCs/>
          <w:color w:val="000000"/>
          <w:lang w:val="en-US"/>
        </w:rPr>
      </w:pPr>
    </w:p>
    <w:p w14:paraId="20BF12E7" w14:textId="77777777" w:rsidR="008D320E" w:rsidRDefault="008D320E">
      <w:pPr>
        <w:rPr>
          <w:rFonts w:ascii="Calibri" w:hAnsi="Calibri"/>
          <w:i/>
          <w:iCs/>
          <w:color w:val="000000"/>
          <w:lang w:val="en-US"/>
        </w:rPr>
      </w:pPr>
    </w:p>
    <w:p w14:paraId="0EB5292C" w14:textId="56F93DF2" w:rsidR="00B157B7" w:rsidRDefault="00B157B7">
      <w:pPr>
        <w:rPr>
          <w:rFonts w:ascii="Calibri" w:hAnsi="Calibri"/>
          <w:i/>
          <w:iCs/>
          <w:color w:val="000000"/>
          <w:lang w:val="en-US"/>
        </w:rPr>
      </w:pPr>
      <w:r>
        <w:rPr>
          <w:rFonts w:ascii="Calibri" w:hAnsi="Calibri"/>
          <w:i/>
          <w:iCs/>
          <w:color w:val="000000"/>
          <w:lang w:val="en-US"/>
        </w:rPr>
        <w:br w:type="page"/>
      </w:r>
    </w:p>
    <w:p w14:paraId="32CA5943" w14:textId="30249085" w:rsidR="00B157B7" w:rsidRPr="008D320E" w:rsidRDefault="008D320E" w:rsidP="00E93EFD">
      <w:pPr>
        <w:rPr>
          <w:rFonts w:ascii="Calibri" w:hAnsi="Calibri"/>
          <w:b/>
          <w:iCs/>
          <w:color w:val="000000"/>
          <w:lang w:val="en-US"/>
        </w:rPr>
      </w:pPr>
      <w:r w:rsidRPr="008D320E">
        <w:rPr>
          <w:rFonts w:ascii="Calibri" w:hAnsi="Calibri"/>
          <w:b/>
          <w:iCs/>
          <w:color w:val="000000"/>
          <w:lang w:val="en-US"/>
        </w:rPr>
        <w:lastRenderedPageBreak/>
        <w:t>Summary of key variant differences</w:t>
      </w:r>
    </w:p>
    <w:tbl>
      <w:tblPr>
        <w:tblStyle w:val="Grilledutableau"/>
        <w:tblW w:w="0" w:type="auto"/>
        <w:tblLook w:val="04A0" w:firstRow="1" w:lastRow="0" w:firstColumn="1" w:lastColumn="0" w:noHBand="0" w:noVBand="1"/>
      </w:tblPr>
      <w:tblGrid>
        <w:gridCol w:w="2539"/>
        <w:gridCol w:w="2289"/>
        <w:gridCol w:w="2665"/>
        <w:gridCol w:w="2601"/>
      </w:tblGrid>
      <w:tr w:rsidR="008D320E" w14:paraId="287E3997" w14:textId="77777777" w:rsidTr="009A482C">
        <w:tc>
          <w:tcPr>
            <w:tcW w:w="2539" w:type="dxa"/>
          </w:tcPr>
          <w:p w14:paraId="4471234D" w14:textId="77777777" w:rsidR="008D320E" w:rsidRDefault="008D320E" w:rsidP="009A482C">
            <w:pPr>
              <w:rPr>
                <w:rFonts w:ascii="Calibri" w:hAnsi="Calibri"/>
                <w:i/>
                <w:iCs/>
                <w:color w:val="000000"/>
                <w:lang w:val="en-US"/>
              </w:rPr>
            </w:pPr>
          </w:p>
        </w:tc>
        <w:tc>
          <w:tcPr>
            <w:tcW w:w="2289" w:type="dxa"/>
          </w:tcPr>
          <w:p w14:paraId="43640BFA" w14:textId="77777777" w:rsidR="008D320E" w:rsidRDefault="008D320E" w:rsidP="009A482C">
            <w:pPr>
              <w:rPr>
                <w:rFonts w:ascii="Calibri" w:hAnsi="Calibri"/>
                <w:i/>
                <w:iCs/>
                <w:color w:val="000000"/>
                <w:lang w:val="en-US"/>
              </w:rPr>
            </w:pPr>
            <w:r>
              <w:rPr>
                <w:rFonts w:ascii="Calibri" w:hAnsi="Calibri"/>
                <w:i/>
                <w:iCs/>
                <w:color w:val="000000"/>
                <w:lang w:val="en-US"/>
              </w:rPr>
              <w:t>CCWG 2</w:t>
            </w:r>
            <w:r w:rsidRPr="00B157B7">
              <w:rPr>
                <w:rFonts w:ascii="Calibri" w:hAnsi="Calibri"/>
                <w:i/>
                <w:iCs/>
                <w:color w:val="000000"/>
                <w:vertAlign w:val="superscript"/>
                <w:lang w:val="en-US"/>
              </w:rPr>
              <w:t>nd</w:t>
            </w:r>
            <w:r>
              <w:rPr>
                <w:rFonts w:ascii="Calibri" w:hAnsi="Calibri"/>
                <w:i/>
                <w:iCs/>
                <w:color w:val="000000"/>
                <w:lang w:val="en-US"/>
              </w:rPr>
              <w:t xml:space="preserve"> report</w:t>
            </w:r>
          </w:p>
        </w:tc>
        <w:tc>
          <w:tcPr>
            <w:tcW w:w="2665" w:type="dxa"/>
          </w:tcPr>
          <w:p w14:paraId="702C48D7" w14:textId="77777777" w:rsidR="008D320E" w:rsidRDefault="008D320E" w:rsidP="009A482C">
            <w:pPr>
              <w:rPr>
                <w:rFonts w:ascii="Calibri" w:hAnsi="Calibri"/>
                <w:i/>
                <w:iCs/>
                <w:color w:val="000000"/>
                <w:lang w:val="en-US"/>
              </w:rPr>
            </w:pPr>
            <w:r>
              <w:rPr>
                <w:rFonts w:ascii="Calibri" w:hAnsi="Calibri"/>
                <w:i/>
                <w:iCs/>
                <w:color w:val="000000"/>
                <w:lang w:val="en-US"/>
              </w:rPr>
              <w:t>Denmark</w:t>
            </w:r>
          </w:p>
        </w:tc>
        <w:tc>
          <w:tcPr>
            <w:tcW w:w="2601" w:type="dxa"/>
          </w:tcPr>
          <w:p w14:paraId="6DF343D5" w14:textId="1BFEA9FA" w:rsidR="008D320E" w:rsidRDefault="004375D4" w:rsidP="009A482C">
            <w:pPr>
              <w:rPr>
                <w:rFonts w:ascii="Calibri" w:hAnsi="Calibri"/>
                <w:i/>
                <w:iCs/>
                <w:color w:val="000000"/>
                <w:lang w:val="en-US"/>
              </w:rPr>
            </w:pPr>
            <w:r>
              <w:rPr>
                <w:rFonts w:ascii="Calibri" w:hAnsi="Calibri"/>
                <w:i/>
                <w:iCs/>
                <w:color w:val="000000"/>
                <w:lang w:val="en-US"/>
              </w:rPr>
              <w:t>Variant based on Denmark proposal</w:t>
            </w:r>
          </w:p>
        </w:tc>
      </w:tr>
      <w:tr w:rsidR="008D320E" w14:paraId="2055C93F" w14:textId="77777777" w:rsidTr="009A482C">
        <w:tc>
          <w:tcPr>
            <w:tcW w:w="2539" w:type="dxa"/>
          </w:tcPr>
          <w:p w14:paraId="0D742F66" w14:textId="77777777" w:rsidR="008D320E" w:rsidRDefault="008D320E" w:rsidP="009A482C">
            <w:pPr>
              <w:rPr>
                <w:rFonts w:ascii="Calibri" w:hAnsi="Calibri"/>
                <w:i/>
                <w:iCs/>
                <w:color w:val="000000"/>
                <w:lang w:val="en-US"/>
              </w:rPr>
            </w:pPr>
            <w:r>
              <w:rPr>
                <w:rFonts w:ascii="Calibri" w:hAnsi="Calibri"/>
                <w:i/>
                <w:iCs/>
                <w:color w:val="000000"/>
                <w:lang w:val="en-US"/>
              </w:rPr>
              <w:t>2/3 of Board required not to follow Advice</w:t>
            </w:r>
          </w:p>
        </w:tc>
        <w:tc>
          <w:tcPr>
            <w:tcW w:w="2289" w:type="dxa"/>
          </w:tcPr>
          <w:p w14:paraId="3D4B11DB" w14:textId="45F0561E" w:rsidR="008D320E" w:rsidRPr="008D320E" w:rsidRDefault="008D320E" w:rsidP="008D320E">
            <w:pPr>
              <w:rPr>
                <w:rFonts w:ascii="Calibri" w:hAnsi="Calibri"/>
                <w:bCs/>
                <w:iCs/>
                <w:lang w:val="en-US"/>
              </w:rPr>
            </w:pPr>
            <w:r w:rsidRPr="008D320E">
              <w:rPr>
                <w:rFonts w:ascii="Calibri" w:hAnsi="Calibri"/>
                <w:bCs/>
                <w:iCs/>
                <w:lang w:val="en-US"/>
              </w:rPr>
              <w:t>N</w:t>
            </w:r>
            <w:r>
              <w:rPr>
                <w:rFonts w:ascii="Calibri" w:hAnsi="Calibri"/>
                <w:bCs/>
                <w:iCs/>
                <w:lang w:val="en-US"/>
              </w:rPr>
              <w:t>o such formal requirement</w:t>
            </w:r>
          </w:p>
        </w:tc>
        <w:tc>
          <w:tcPr>
            <w:tcW w:w="2665" w:type="dxa"/>
          </w:tcPr>
          <w:p w14:paraId="03F8C213" w14:textId="267F8B5E" w:rsidR="008D320E" w:rsidRPr="008D320E" w:rsidRDefault="008D320E" w:rsidP="009A482C">
            <w:pPr>
              <w:rPr>
                <w:rFonts w:ascii="Calibri" w:hAnsi="Calibri"/>
                <w:bCs/>
                <w:iCs/>
                <w:lang w:val="en-US"/>
              </w:rPr>
            </w:pPr>
            <w:r>
              <w:rPr>
                <w:rFonts w:ascii="Calibri" w:hAnsi="Calibri"/>
                <w:bCs/>
                <w:iCs/>
                <w:lang w:val="en-US"/>
              </w:rPr>
              <w:t xml:space="preserve">Consensus Advice, where </w:t>
            </w:r>
            <w:r w:rsidRPr="008D320E">
              <w:rPr>
                <w:rFonts w:ascii="Calibri" w:hAnsi="Calibri"/>
                <w:bCs/>
                <w:iCs/>
                <w:lang w:val="en-US"/>
              </w:rPr>
              <w:t>consensus does not necessarily mean “unanimity” or a broad measure of agreement that would allow an AC member or a very small minority of AC members to block consensus advice.</w:t>
            </w:r>
          </w:p>
          <w:p w14:paraId="7939F943" w14:textId="77777777" w:rsidR="008D320E" w:rsidRPr="008D320E" w:rsidRDefault="008D320E" w:rsidP="009A482C">
            <w:pPr>
              <w:rPr>
                <w:rFonts w:ascii="Calibri" w:hAnsi="Calibri"/>
                <w:iCs/>
                <w:lang w:val="en-US"/>
              </w:rPr>
            </w:pPr>
          </w:p>
        </w:tc>
        <w:tc>
          <w:tcPr>
            <w:tcW w:w="2601" w:type="dxa"/>
          </w:tcPr>
          <w:p w14:paraId="401C7F8B" w14:textId="77777777" w:rsidR="008D320E" w:rsidRPr="008D320E" w:rsidRDefault="008D320E" w:rsidP="009A482C">
            <w:pPr>
              <w:rPr>
                <w:rFonts w:ascii="Calibri" w:hAnsi="Calibri"/>
                <w:iCs/>
                <w:lang w:val="en-US"/>
              </w:rPr>
            </w:pPr>
            <w:r w:rsidRPr="008D320E">
              <w:rPr>
                <w:rFonts w:ascii="Calibri" w:hAnsi="Calibri"/>
                <w:iCs/>
                <w:lang w:val="en-US"/>
              </w:rPr>
              <w:t>Consensus advice as defined in OP47 (absence of formal objection)</w:t>
            </w:r>
          </w:p>
        </w:tc>
      </w:tr>
      <w:tr w:rsidR="008D320E" w14:paraId="65D9AFB9" w14:textId="77777777" w:rsidTr="009A482C">
        <w:tc>
          <w:tcPr>
            <w:tcW w:w="2539" w:type="dxa"/>
          </w:tcPr>
          <w:p w14:paraId="16162FE2" w14:textId="77777777" w:rsidR="008D320E" w:rsidRDefault="008D320E" w:rsidP="009A482C">
            <w:pPr>
              <w:rPr>
                <w:rFonts w:ascii="Calibri" w:hAnsi="Calibri"/>
                <w:i/>
                <w:iCs/>
                <w:color w:val="000000"/>
                <w:lang w:val="en-US"/>
              </w:rPr>
            </w:pPr>
            <w:r>
              <w:rPr>
                <w:rFonts w:ascii="Calibri" w:hAnsi="Calibri"/>
                <w:i/>
                <w:iCs/>
                <w:color w:val="000000"/>
                <w:lang w:val="en-US"/>
              </w:rPr>
              <w:t>Simple majority Board decision not to follow Advice</w:t>
            </w:r>
          </w:p>
        </w:tc>
        <w:tc>
          <w:tcPr>
            <w:tcW w:w="2289" w:type="dxa"/>
          </w:tcPr>
          <w:p w14:paraId="6C37BB34" w14:textId="77777777" w:rsidR="008D320E" w:rsidRPr="008D320E" w:rsidRDefault="008D320E" w:rsidP="009A482C">
            <w:pPr>
              <w:rPr>
                <w:rFonts w:ascii="Calibri" w:hAnsi="Calibri"/>
                <w:bCs/>
                <w:iCs/>
                <w:lang w:val="en-US"/>
              </w:rPr>
            </w:pPr>
            <w:r w:rsidRPr="008D320E">
              <w:rPr>
                <w:rFonts w:ascii="Calibri" w:hAnsi="Calibri"/>
                <w:bCs/>
                <w:iCs/>
                <w:lang w:val="en-US"/>
              </w:rPr>
              <w:t xml:space="preserve">Consensus (not defined in Bylaws) advice. </w:t>
            </w:r>
          </w:p>
        </w:tc>
        <w:tc>
          <w:tcPr>
            <w:tcW w:w="2665" w:type="dxa"/>
          </w:tcPr>
          <w:p w14:paraId="3115AC62" w14:textId="0339A8CD" w:rsidR="008D320E" w:rsidRPr="008D320E" w:rsidRDefault="008D320E" w:rsidP="004375D4">
            <w:pPr>
              <w:rPr>
                <w:rFonts w:ascii="Calibri" w:hAnsi="Calibri"/>
                <w:bCs/>
                <w:iCs/>
                <w:lang w:val="en-US"/>
              </w:rPr>
            </w:pPr>
            <w:r w:rsidRPr="008D320E">
              <w:rPr>
                <w:rFonts w:ascii="Calibri" w:hAnsi="Calibri"/>
                <w:bCs/>
                <w:iCs/>
                <w:lang w:val="en-US"/>
              </w:rPr>
              <w:t xml:space="preserve">All other Advice </w:t>
            </w:r>
            <w:r w:rsidR="004375D4">
              <w:rPr>
                <w:rFonts w:ascii="Calibri" w:hAnsi="Calibri"/>
                <w:bCs/>
                <w:iCs/>
                <w:lang w:val="en-US"/>
              </w:rPr>
              <w:t>approved by the GAC</w:t>
            </w:r>
          </w:p>
        </w:tc>
        <w:tc>
          <w:tcPr>
            <w:tcW w:w="2601" w:type="dxa"/>
          </w:tcPr>
          <w:p w14:paraId="2782F40F" w14:textId="4998FAF1" w:rsidR="008D320E" w:rsidRPr="008D320E" w:rsidRDefault="008D320E" w:rsidP="009A482C">
            <w:pPr>
              <w:rPr>
                <w:rFonts w:ascii="Calibri" w:hAnsi="Calibri"/>
                <w:iCs/>
                <w:lang w:val="en-US"/>
              </w:rPr>
            </w:pPr>
            <w:r w:rsidRPr="008D320E">
              <w:rPr>
                <w:rFonts w:ascii="Calibri" w:hAnsi="Calibri"/>
                <w:iCs/>
                <w:lang w:val="en-US"/>
              </w:rPr>
              <w:t>Any other Advice approved by the GAC</w:t>
            </w:r>
          </w:p>
        </w:tc>
      </w:tr>
    </w:tbl>
    <w:p w14:paraId="498668D9" w14:textId="77777777" w:rsidR="008D320E" w:rsidRDefault="008D320E" w:rsidP="00E93EFD">
      <w:pPr>
        <w:rPr>
          <w:rFonts w:ascii="Calibri" w:hAnsi="Calibri"/>
          <w:i/>
          <w:iCs/>
          <w:color w:val="000000"/>
          <w:lang w:val="en-US"/>
        </w:rPr>
      </w:pPr>
    </w:p>
    <w:p w14:paraId="0DAE2B67" w14:textId="77777777" w:rsidR="009A482C" w:rsidRPr="009A482C" w:rsidRDefault="009A482C" w:rsidP="00E93EFD">
      <w:pPr>
        <w:rPr>
          <w:rFonts w:ascii="Calibri" w:hAnsi="Calibri"/>
          <w:iCs/>
          <w:color w:val="000000"/>
          <w:lang w:val="en-US"/>
        </w:rPr>
      </w:pPr>
    </w:p>
    <w:sectPr w:rsidR="009A482C" w:rsidRPr="009A482C" w:rsidSect="008865D8">
      <w:pgSz w:w="11894" w:h="16819"/>
      <w:pgMar w:top="1411" w:right="1008" w:bottom="1411" w:left="1008" w:header="706" w:footer="706"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weill" w:date="2015-11-18T16:16:00Z" w:initials="w">
    <w:p w14:paraId="1505D583" w14:textId="017D2B19" w:rsidR="009A482C" w:rsidRPr="00E93EFD" w:rsidRDefault="009A482C">
      <w:pPr>
        <w:pStyle w:val="Commentaire"/>
        <w:rPr>
          <w:lang w:val="en-US"/>
        </w:rPr>
      </w:pPr>
      <w:r>
        <w:rPr>
          <w:rStyle w:val="Marquedecommentaire"/>
        </w:rPr>
        <w:annotationRef/>
      </w:r>
      <w:r w:rsidRPr="00E93EFD">
        <w:rPr>
          <w:lang w:val="en-US"/>
        </w:rPr>
        <w:t>Correct § from Denmark proposal</w:t>
      </w:r>
    </w:p>
  </w:comment>
  <w:comment w:id="4" w:author="weill" w:date="2015-11-20T08:51:00Z" w:initials="w">
    <w:p w14:paraId="62256CCE" w14:textId="00326DE4" w:rsidR="009A482C" w:rsidRPr="00E93EFD" w:rsidRDefault="009A482C">
      <w:pPr>
        <w:pStyle w:val="Commentaire"/>
        <w:rPr>
          <w:lang w:val="en-US"/>
        </w:rPr>
      </w:pPr>
      <w:r>
        <w:rPr>
          <w:rStyle w:val="Marquedecommentaire"/>
        </w:rPr>
        <w:annotationRef/>
      </w:r>
      <w:r>
        <w:rPr>
          <w:lang w:val="en-US"/>
        </w:rPr>
        <w:t>While certain definitions including percentage or “2 governments” were raised, they did not seem to get traction</w:t>
      </w:r>
    </w:p>
  </w:comment>
  <w:comment w:id="5" w:author="weill" w:date="2015-11-20T09:04:00Z" w:initials="w">
    <w:p w14:paraId="05C90D12" w14:textId="463C9CBE" w:rsidR="009A482C" w:rsidRDefault="009A482C">
      <w:pPr>
        <w:pStyle w:val="Commentaire"/>
        <w:rPr>
          <w:lang w:val="en-US"/>
        </w:rPr>
      </w:pPr>
      <w:r>
        <w:rPr>
          <w:rStyle w:val="Marquedecommentaire"/>
        </w:rPr>
        <w:annotationRef/>
      </w:r>
      <w:r w:rsidRPr="008D320E">
        <w:rPr>
          <w:lang w:val="en-US"/>
        </w:rPr>
        <w:t xml:space="preserve">Significant number of concerns expressed, and variant proposed by Brett Schaeffer : </w:t>
      </w:r>
    </w:p>
    <w:p w14:paraId="1E5603F6" w14:textId="37A08655" w:rsidR="009A482C" w:rsidRPr="008D320E" w:rsidRDefault="009A482C">
      <w:pPr>
        <w:pStyle w:val="Commentaire"/>
        <w:rPr>
          <w:lang w:val="en-US"/>
        </w:rPr>
      </w:pPr>
      <w:r>
        <w:rPr>
          <w:rFonts w:ascii="Calibri" w:hAnsi="Calibri"/>
          <w:b/>
          <w:bCs/>
          <w:i/>
          <w:iCs/>
          <w:color w:val="000000"/>
          <w:sz w:val="22"/>
          <w:szCs w:val="22"/>
          <w:highlight w:val="yellow"/>
          <w:u w:val="single"/>
          <w:lang w:val="en-US"/>
        </w:rPr>
        <w:t>Any GAC advice approved by a GAC consensus, which consistent with GAC Operating Principle 47  is understood to mean  the practice of adopting decisions by general agreement in the absence of any formal objection, may only be rejected by a vote of two-thirds (2/3) of the Board.</w:t>
      </w:r>
      <w:r>
        <w:rPr>
          <w:rFonts w:ascii="Calibri" w:hAnsi="Calibri"/>
          <w:i/>
          <w:iCs/>
          <w:color w:val="000000"/>
          <w:sz w:val="22"/>
          <w:szCs w:val="22"/>
          <w:highlight w:val="yellow"/>
          <w:lang w:val="en-US"/>
        </w:rPr>
        <w:t> </w:t>
      </w:r>
      <w:r>
        <w:rPr>
          <w:rFonts w:ascii="Calibri" w:hAnsi="Calibri"/>
          <w:b/>
          <w:bCs/>
          <w:i/>
          <w:iCs/>
          <w:color w:val="000000"/>
          <w:sz w:val="22"/>
          <w:szCs w:val="22"/>
          <w:highlight w:val="yellow"/>
          <w:u w:val="single"/>
          <w:lang w:val="en-US"/>
        </w:rPr>
        <w:t>Any advice approved by the GAC, but falling short of consensus, may be rejected by a majority vote of the Board. In both instances,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CFC237" w14:textId="77777777" w:rsidR="005D664B" w:rsidRDefault="005D664B" w:rsidP="00416C11">
      <w:pPr>
        <w:spacing w:after="0" w:line="240" w:lineRule="auto"/>
      </w:pPr>
      <w:r>
        <w:separator/>
      </w:r>
    </w:p>
  </w:endnote>
  <w:endnote w:type="continuationSeparator" w:id="0">
    <w:p w14:paraId="1437E967" w14:textId="77777777" w:rsidR="005D664B" w:rsidRDefault="005D664B" w:rsidP="00416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D20C42" w14:textId="77777777" w:rsidR="005D664B" w:rsidRDefault="005D664B" w:rsidP="00416C11">
      <w:pPr>
        <w:spacing w:after="0" w:line="240" w:lineRule="auto"/>
      </w:pPr>
      <w:r>
        <w:separator/>
      </w:r>
    </w:p>
  </w:footnote>
  <w:footnote w:type="continuationSeparator" w:id="0">
    <w:p w14:paraId="305B8E96" w14:textId="77777777" w:rsidR="005D664B" w:rsidRDefault="005D664B" w:rsidP="00416C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A63C7"/>
    <w:multiLevelType w:val="hybridMultilevel"/>
    <w:tmpl w:val="251E43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ADE2235"/>
    <w:multiLevelType w:val="multilevel"/>
    <w:tmpl w:val="29F88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A360C95"/>
    <w:multiLevelType w:val="hybridMultilevel"/>
    <w:tmpl w:val="F8EC19A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517834C1"/>
    <w:multiLevelType w:val="multilevel"/>
    <w:tmpl w:val="1C7629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6B160F4"/>
    <w:multiLevelType w:val="multilevel"/>
    <w:tmpl w:val="82FA33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4"/>
  </w:num>
  <w:num w:numId="4">
    <w:abstractNumId w:val="2"/>
  </w:num>
  <w:num w:numId="5">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D44"/>
    <w:rsid w:val="00000251"/>
    <w:rsid w:val="00014ABF"/>
    <w:rsid w:val="000D20C3"/>
    <w:rsid w:val="000E7538"/>
    <w:rsid w:val="001C3F34"/>
    <w:rsid w:val="001F2E1E"/>
    <w:rsid w:val="001F6430"/>
    <w:rsid w:val="002B459B"/>
    <w:rsid w:val="002B7BAD"/>
    <w:rsid w:val="002D6DF8"/>
    <w:rsid w:val="003115C7"/>
    <w:rsid w:val="00346954"/>
    <w:rsid w:val="00380FDA"/>
    <w:rsid w:val="00396165"/>
    <w:rsid w:val="003E4BA9"/>
    <w:rsid w:val="003E5D6A"/>
    <w:rsid w:val="00416C11"/>
    <w:rsid w:val="004254F1"/>
    <w:rsid w:val="00435F1C"/>
    <w:rsid w:val="004375D4"/>
    <w:rsid w:val="004D61DA"/>
    <w:rsid w:val="005014F4"/>
    <w:rsid w:val="00536622"/>
    <w:rsid w:val="005D664B"/>
    <w:rsid w:val="00680C3A"/>
    <w:rsid w:val="00681AD5"/>
    <w:rsid w:val="00684AAF"/>
    <w:rsid w:val="006E6660"/>
    <w:rsid w:val="007B1D44"/>
    <w:rsid w:val="007C10D7"/>
    <w:rsid w:val="007D7564"/>
    <w:rsid w:val="00831660"/>
    <w:rsid w:val="008411F2"/>
    <w:rsid w:val="00853DC3"/>
    <w:rsid w:val="008812EF"/>
    <w:rsid w:val="008865D8"/>
    <w:rsid w:val="008D320E"/>
    <w:rsid w:val="008E296F"/>
    <w:rsid w:val="009A482C"/>
    <w:rsid w:val="009D1131"/>
    <w:rsid w:val="009E0D83"/>
    <w:rsid w:val="00A2432B"/>
    <w:rsid w:val="00B143F3"/>
    <w:rsid w:val="00B157B7"/>
    <w:rsid w:val="00BD3BD4"/>
    <w:rsid w:val="00C03A8B"/>
    <w:rsid w:val="00C20CF4"/>
    <w:rsid w:val="00C91851"/>
    <w:rsid w:val="00D2271A"/>
    <w:rsid w:val="00D5322A"/>
    <w:rsid w:val="00D7525A"/>
    <w:rsid w:val="00D909E9"/>
    <w:rsid w:val="00DB479A"/>
    <w:rsid w:val="00DD6BB6"/>
    <w:rsid w:val="00E41E52"/>
    <w:rsid w:val="00E56F97"/>
    <w:rsid w:val="00E659D3"/>
    <w:rsid w:val="00E662E0"/>
    <w:rsid w:val="00E93EFD"/>
    <w:rsid w:val="00F54EF1"/>
    <w:rsid w:val="00F95752"/>
    <w:rsid w:val="00FD181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5F4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7B1D4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7B1D4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B1D44"/>
    <w:rPr>
      <w:rFonts w:ascii="Tahoma" w:hAnsi="Tahoma" w:cs="Tahoma"/>
      <w:sz w:val="16"/>
      <w:szCs w:val="16"/>
    </w:rPr>
  </w:style>
  <w:style w:type="paragraph" w:styleId="Paragraphedeliste">
    <w:name w:val="List Paragraph"/>
    <w:basedOn w:val="Normal"/>
    <w:uiPriority w:val="34"/>
    <w:qFormat/>
    <w:rsid w:val="007B1D44"/>
    <w:pPr>
      <w:ind w:left="720"/>
      <w:contextualSpacing/>
    </w:pPr>
  </w:style>
  <w:style w:type="table" w:styleId="Grilledutableau">
    <w:name w:val="Table Grid"/>
    <w:basedOn w:val="TableauNormal"/>
    <w:uiPriority w:val="59"/>
    <w:rsid w:val="00416C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tedebasdepage">
    <w:name w:val="footnote text"/>
    <w:basedOn w:val="Normal"/>
    <w:link w:val="NotedebasdepageCar"/>
    <w:uiPriority w:val="99"/>
    <w:semiHidden/>
    <w:unhideWhenUsed/>
    <w:rsid w:val="00416C1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16C11"/>
    <w:rPr>
      <w:sz w:val="20"/>
      <w:szCs w:val="20"/>
    </w:rPr>
  </w:style>
  <w:style w:type="character" w:styleId="Appelnotedebasdep">
    <w:name w:val="footnote reference"/>
    <w:basedOn w:val="Policepardfaut"/>
    <w:uiPriority w:val="99"/>
    <w:semiHidden/>
    <w:unhideWhenUsed/>
    <w:rsid w:val="00416C11"/>
    <w:rPr>
      <w:vertAlign w:val="superscript"/>
    </w:rPr>
  </w:style>
  <w:style w:type="character" w:styleId="Marquedecommentaire">
    <w:name w:val="annotation reference"/>
    <w:basedOn w:val="Policepardfaut"/>
    <w:uiPriority w:val="99"/>
    <w:semiHidden/>
    <w:unhideWhenUsed/>
    <w:rsid w:val="008865D8"/>
    <w:rPr>
      <w:sz w:val="16"/>
      <w:szCs w:val="16"/>
    </w:rPr>
  </w:style>
  <w:style w:type="paragraph" w:styleId="Commentaire">
    <w:name w:val="annotation text"/>
    <w:basedOn w:val="Normal"/>
    <w:link w:val="CommentaireCar"/>
    <w:uiPriority w:val="99"/>
    <w:semiHidden/>
    <w:unhideWhenUsed/>
    <w:rsid w:val="008865D8"/>
    <w:pPr>
      <w:spacing w:line="240" w:lineRule="auto"/>
    </w:pPr>
    <w:rPr>
      <w:sz w:val="20"/>
      <w:szCs w:val="20"/>
    </w:rPr>
  </w:style>
  <w:style w:type="character" w:customStyle="1" w:styleId="CommentaireCar">
    <w:name w:val="Commentaire Car"/>
    <w:basedOn w:val="Policepardfaut"/>
    <w:link w:val="Commentaire"/>
    <w:uiPriority w:val="99"/>
    <w:semiHidden/>
    <w:rsid w:val="008865D8"/>
    <w:rPr>
      <w:sz w:val="20"/>
      <w:szCs w:val="20"/>
    </w:rPr>
  </w:style>
  <w:style w:type="paragraph" w:styleId="Objetducommentaire">
    <w:name w:val="annotation subject"/>
    <w:basedOn w:val="Commentaire"/>
    <w:next w:val="Commentaire"/>
    <w:link w:val="ObjetducommentaireCar"/>
    <w:uiPriority w:val="99"/>
    <w:semiHidden/>
    <w:unhideWhenUsed/>
    <w:rsid w:val="008865D8"/>
    <w:rPr>
      <w:b/>
      <w:bCs/>
    </w:rPr>
  </w:style>
  <w:style w:type="character" w:customStyle="1" w:styleId="ObjetducommentaireCar">
    <w:name w:val="Objet du commentaire Car"/>
    <w:basedOn w:val="CommentaireCar"/>
    <w:link w:val="Objetducommentaire"/>
    <w:uiPriority w:val="99"/>
    <w:semiHidden/>
    <w:rsid w:val="008865D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7B1D4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7B1D4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B1D44"/>
    <w:rPr>
      <w:rFonts w:ascii="Tahoma" w:hAnsi="Tahoma" w:cs="Tahoma"/>
      <w:sz w:val="16"/>
      <w:szCs w:val="16"/>
    </w:rPr>
  </w:style>
  <w:style w:type="paragraph" w:styleId="Paragraphedeliste">
    <w:name w:val="List Paragraph"/>
    <w:basedOn w:val="Normal"/>
    <w:uiPriority w:val="34"/>
    <w:qFormat/>
    <w:rsid w:val="007B1D44"/>
    <w:pPr>
      <w:ind w:left="720"/>
      <w:contextualSpacing/>
    </w:pPr>
  </w:style>
  <w:style w:type="table" w:styleId="Grilledutableau">
    <w:name w:val="Table Grid"/>
    <w:basedOn w:val="TableauNormal"/>
    <w:uiPriority w:val="59"/>
    <w:rsid w:val="00416C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tedebasdepage">
    <w:name w:val="footnote text"/>
    <w:basedOn w:val="Normal"/>
    <w:link w:val="NotedebasdepageCar"/>
    <w:uiPriority w:val="99"/>
    <w:semiHidden/>
    <w:unhideWhenUsed/>
    <w:rsid w:val="00416C1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16C11"/>
    <w:rPr>
      <w:sz w:val="20"/>
      <w:szCs w:val="20"/>
    </w:rPr>
  </w:style>
  <w:style w:type="character" w:styleId="Appelnotedebasdep">
    <w:name w:val="footnote reference"/>
    <w:basedOn w:val="Policepardfaut"/>
    <w:uiPriority w:val="99"/>
    <w:semiHidden/>
    <w:unhideWhenUsed/>
    <w:rsid w:val="00416C11"/>
    <w:rPr>
      <w:vertAlign w:val="superscript"/>
    </w:rPr>
  </w:style>
  <w:style w:type="character" w:styleId="Marquedecommentaire">
    <w:name w:val="annotation reference"/>
    <w:basedOn w:val="Policepardfaut"/>
    <w:uiPriority w:val="99"/>
    <w:semiHidden/>
    <w:unhideWhenUsed/>
    <w:rsid w:val="008865D8"/>
    <w:rPr>
      <w:sz w:val="16"/>
      <w:szCs w:val="16"/>
    </w:rPr>
  </w:style>
  <w:style w:type="paragraph" w:styleId="Commentaire">
    <w:name w:val="annotation text"/>
    <w:basedOn w:val="Normal"/>
    <w:link w:val="CommentaireCar"/>
    <w:uiPriority w:val="99"/>
    <w:semiHidden/>
    <w:unhideWhenUsed/>
    <w:rsid w:val="008865D8"/>
    <w:pPr>
      <w:spacing w:line="240" w:lineRule="auto"/>
    </w:pPr>
    <w:rPr>
      <w:sz w:val="20"/>
      <w:szCs w:val="20"/>
    </w:rPr>
  </w:style>
  <w:style w:type="character" w:customStyle="1" w:styleId="CommentaireCar">
    <w:name w:val="Commentaire Car"/>
    <w:basedOn w:val="Policepardfaut"/>
    <w:link w:val="Commentaire"/>
    <w:uiPriority w:val="99"/>
    <w:semiHidden/>
    <w:rsid w:val="008865D8"/>
    <w:rPr>
      <w:sz w:val="20"/>
      <w:szCs w:val="20"/>
    </w:rPr>
  </w:style>
  <w:style w:type="paragraph" w:styleId="Objetducommentaire">
    <w:name w:val="annotation subject"/>
    <w:basedOn w:val="Commentaire"/>
    <w:next w:val="Commentaire"/>
    <w:link w:val="ObjetducommentaireCar"/>
    <w:uiPriority w:val="99"/>
    <w:semiHidden/>
    <w:unhideWhenUsed/>
    <w:rsid w:val="008865D8"/>
    <w:rPr>
      <w:b/>
      <w:bCs/>
    </w:rPr>
  </w:style>
  <w:style w:type="character" w:customStyle="1" w:styleId="ObjetducommentaireCar">
    <w:name w:val="Objet du commentaire Car"/>
    <w:basedOn w:val="CommentaireCar"/>
    <w:link w:val="Objetducommentaire"/>
    <w:uiPriority w:val="99"/>
    <w:semiHidden/>
    <w:rsid w:val="008865D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55038">
      <w:bodyDiv w:val="1"/>
      <w:marLeft w:val="0"/>
      <w:marRight w:val="0"/>
      <w:marTop w:val="0"/>
      <w:marBottom w:val="0"/>
      <w:divBdr>
        <w:top w:val="none" w:sz="0" w:space="0" w:color="auto"/>
        <w:left w:val="none" w:sz="0" w:space="0" w:color="auto"/>
        <w:bottom w:val="none" w:sz="0" w:space="0" w:color="auto"/>
        <w:right w:val="none" w:sz="0" w:space="0" w:color="auto"/>
      </w:divBdr>
    </w:div>
    <w:div w:id="417866394">
      <w:bodyDiv w:val="1"/>
      <w:marLeft w:val="0"/>
      <w:marRight w:val="0"/>
      <w:marTop w:val="0"/>
      <w:marBottom w:val="0"/>
      <w:divBdr>
        <w:top w:val="none" w:sz="0" w:space="0" w:color="auto"/>
        <w:left w:val="none" w:sz="0" w:space="0" w:color="auto"/>
        <w:bottom w:val="none" w:sz="0" w:space="0" w:color="auto"/>
        <w:right w:val="none" w:sz="0" w:space="0" w:color="auto"/>
      </w:divBdr>
    </w:div>
    <w:div w:id="810287378">
      <w:bodyDiv w:val="1"/>
      <w:marLeft w:val="0"/>
      <w:marRight w:val="0"/>
      <w:marTop w:val="0"/>
      <w:marBottom w:val="0"/>
      <w:divBdr>
        <w:top w:val="none" w:sz="0" w:space="0" w:color="auto"/>
        <w:left w:val="none" w:sz="0" w:space="0" w:color="auto"/>
        <w:bottom w:val="none" w:sz="0" w:space="0" w:color="auto"/>
        <w:right w:val="none" w:sz="0" w:space="0" w:color="auto"/>
      </w:divBdr>
      <w:divsChild>
        <w:div w:id="71241384">
          <w:marLeft w:val="0"/>
          <w:marRight w:val="0"/>
          <w:marTop w:val="0"/>
          <w:marBottom w:val="0"/>
          <w:divBdr>
            <w:top w:val="none" w:sz="0" w:space="0" w:color="auto"/>
            <w:left w:val="none" w:sz="0" w:space="0" w:color="auto"/>
            <w:bottom w:val="none" w:sz="0" w:space="0" w:color="auto"/>
            <w:right w:val="none" w:sz="0" w:space="0" w:color="auto"/>
          </w:divBdr>
        </w:div>
        <w:div w:id="81605053">
          <w:marLeft w:val="0"/>
          <w:marRight w:val="0"/>
          <w:marTop w:val="0"/>
          <w:marBottom w:val="0"/>
          <w:divBdr>
            <w:top w:val="none" w:sz="0" w:space="0" w:color="auto"/>
            <w:left w:val="none" w:sz="0" w:space="0" w:color="auto"/>
            <w:bottom w:val="none" w:sz="0" w:space="0" w:color="auto"/>
            <w:right w:val="none" w:sz="0" w:space="0" w:color="auto"/>
          </w:divBdr>
        </w:div>
        <w:div w:id="189532229">
          <w:marLeft w:val="0"/>
          <w:marRight w:val="0"/>
          <w:marTop w:val="0"/>
          <w:marBottom w:val="0"/>
          <w:divBdr>
            <w:top w:val="none" w:sz="0" w:space="0" w:color="auto"/>
            <w:left w:val="none" w:sz="0" w:space="0" w:color="auto"/>
            <w:bottom w:val="none" w:sz="0" w:space="0" w:color="auto"/>
            <w:right w:val="none" w:sz="0" w:space="0" w:color="auto"/>
          </w:divBdr>
        </w:div>
        <w:div w:id="215551697">
          <w:marLeft w:val="0"/>
          <w:marRight w:val="0"/>
          <w:marTop w:val="0"/>
          <w:marBottom w:val="0"/>
          <w:divBdr>
            <w:top w:val="none" w:sz="0" w:space="0" w:color="auto"/>
            <w:left w:val="none" w:sz="0" w:space="0" w:color="auto"/>
            <w:bottom w:val="none" w:sz="0" w:space="0" w:color="auto"/>
            <w:right w:val="none" w:sz="0" w:space="0" w:color="auto"/>
          </w:divBdr>
        </w:div>
        <w:div w:id="250622608">
          <w:marLeft w:val="0"/>
          <w:marRight w:val="0"/>
          <w:marTop w:val="0"/>
          <w:marBottom w:val="0"/>
          <w:divBdr>
            <w:top w:val="none" w:sz="0" w:space="0" w:color="auto"/>
            <w:left w:val="none" w:sz="0" w:space="0" w:color="auto"/>
            <w:bottom w:val="none" w:sz="0" w:space="0" w:color="auto"/>
            <w:right w:val="none" w:sz="0" w:space="0" w:color="auto"/>
          </w:divBdr>
        </w:div>
        <w:div w:id="294987281">
          <w:marLeft w:val="0"/>
          <w:marRight w:val="0"/>
          <w:marTop w:val="0"/>
          <w:marBottom w:val="0"/>
          <w:divBdr>
            <w:top w:val="none" w:sz="0" w:space="0" w:color="auto"/>
            <w:left w:val="none" w:sz="0" w:space="0" w:color="auto"/>
            <w:bottom w:val="none" w:sz="0" w:space="0" w:color="auto"/>
            <w:right w:val="none" w:sz="0" w:space="0" w:color="auto"/>
          </w:divBdr>
        </w:div>
        <w:div w:id="310528690">
          <w:marLeft w:val="0"/>
          <w:marRight w:val="0"/>
          <w:marTop w:val="0"/>
          <w:marBottom w:val="0"/>
          <w:divBdr>
            <w:top w:val="none" w:sz="0" w:space="0" w:color="auto"/>
            <w:left w:val="none" w:sz="0" w:space="0" w:color="auto"/>
            <w:bottom w:val="none" w:sz="0" w:space="0" w:color="auto"/>
            <w:right w:val="none" w:sz="0" w:space="0" w:color="auto"/>
          </w:divBdr>
        </w:div>
        <w:div w:id="388766879">
          <w:marLeft w:val="0"/>
          <w:marRight w:val="0"/>
          <w:marTop w:val="0"/>
          <w:marBottom w:val="0"/>
          <w:divBdr>
            <w:top w:val="none" w:sz="0" w:space="0" w:color="auto"/>
            <w:left w:val="none" w:sz="0" w:space="0" w:color="auto"/>
            <w:bottom w:val="none" w:sz="0" w:space="0" w:color="auto"/>
            <w:right w:val="none" w:sz="0" w:space="0" w:color="auto"/>
          </w:divBdr>
        </w:div>
        <w:div w:id="426653657">
          <w:marLeft w:val="0"/>
          <w:marRight w:val="0"/>
          <w:marTop w:val="0"/>
          <w:marBottom w:val="0"/>
          <w:divBdr>
            <w:top w:val="none" w:sz="0" w:space="0" w:color="auto"/>
            <w:left w:val="none" w:sz="0" w:space="0" w:color="auto"/>
            <w:bottom w:val="none" w:sz="0" w:space="0" w:color="auto"/>
            <w:right w:val="none" w:sz="0" w:space="0" w:color="auto"/>
          </w:divBdr>
        </w:div>
        <w:div w:id="441657045">
          <w:marLeft w:val="0"/>
          <w:marRight w:val="0"/>
          <w:marTop w:val="0"/>
          <w:marBottom w:val="0"/>
          <w:divBdr>
            <w:top w:val="none" w:sz="0" w:space="0" w:color="auto"/>
            <w:left w:val="none" w:sz="0" w:space="0" w:color="auto"/>
            <w:bottom w:val="none" w:sz="0" w:space="0" w:color="auto"/>
            <w:right w:val="none" w:sz="0" w:space="0" w:color="auto"/>
          </w:divBdr>
        </w:div>
        <w:div w:id="443117651">
          <w:marLeft w:val="0"/>
          <w:marRight w:val="0"/>
          <w:marTop w:val="0"/>
          <w:marBottom w:val="0"/>
          <w:divBdr>
            <w:top w:val="none" w:sz="0" w:space="0" w:color="auto"/>
            <w:left w:val="none" w:sz="0" w:space="0" w:color="auto"/>
            <w:bottom w:val="none" w:sz="0" w:space="0" w:color="auto"/>
            <w:right w:val="none" w:sz="0" w:space="0" w:color="auto"/>
          </w:divBdr>
        </w:div>
        <w:div w:id="468396605">
          <w:marLeft w:val="0"/>
          <w:marRight w:val="0"/>
          <w:marTop w:val="0"/>
          <w:marBottom w:val="0"/>
          <w:divBdr>
            <w:top w:val="none" w:sz="0" w:space="0" w:color="auto"/>
            <w:left w:val="none" w:sz="0" w:space="0" w:color="auto"/>
            <w:bottom w:val="none" w:sz="0" w:space="0" w:color="auto"/>
            <w:right w:val="none" w:sz="0" w:space="0" w:color="auto"/>
          </w:divBdr>
        </w:div>
        <w:div w:id="525291888">
          <w:marLeft w:val="0"/>
          <w:marRight w:val="0"/>
          <w:marTop w:val="0"/>
          <w:marBottom w:val="0"/>
          <w:divBdr>
            <w:top w:val="none" w:sz="0" w:space="0" w:color="auto"/>
            <w:left w:val="none" w:sz="0" w:space="0" w:color="auto"/>
            <w:bottom w:val="none" w:sz="0" w:space="0" w:color="auto"/>
            <w:right w:val="none" w:sz="0" w:space="0" w:color="auto"/>
          </w:divBdr>
        </w:div>
        <w:div w:id="584652344">
          <w:marLeft w:val="0"/>
          <w:marRight w:val="0"/>
          <w:marTop w:val="0"/>
          <w:marBottom w:val="0"/>
          <w:divBdr>
            <w:top w:val="none" w:sz="0" w:space="0" w:color="auto"/>
            <w:left w:val="none" w:sz="0" w:space="0" w:color="auto"/>
            <w:bottom w:val="none" w:sz="0" w:space="0" w:color="auto"/>
            <w:right w:val="none" w:sz="0" w:space="0" w:color="auto"/>
          </w:divBdr>
        </w:div>
        <w:div w:id="685978733">
          <w:marLeft w:val="0"/>
          <w:marRight w:val="0"/>
          <w:marTop w:val="0"/>
          <w:marBottom w:val="0"/>
          <w:divBdr>
            <w:top w:val="none" w:sz="0" w:space="0" w:color="auto"/>
            <w:left w:val="none" w:sz="0" w:space="0" w:color="auto"/>
            <w:bottom w:val="none" w:sz="0" w:space="0" w:color="auto"/>
            <w:right w:val="none" w:sz="0" w:space="0" w:color="auto"/>
          </w:divBdr>
        </w:div>
        <w:div w:id="780144005">
          <w:marLeft w:val="0"/>
          <w:marRight w:val="0"/>
          <w:marTop w:val="0"/>
          <w:marBottom w:val="0"/>
          <w:divBdr>
            <w:top w:val="none" w:sz="0" w:space="0" w:color="auto"/>
            <w:left w:val="none" w:sz="0" w:space="0" w:color="auto"/>
            <w:bottom w:val="none" w:sz="0" w:space="0" w:color="auto"/>
            <w:right w:val="none" w:sz="0" w:space="0" w:color="auto"/>
          </w:divBdr>
        </w:div>
        <w:div w:id="788816058">
          <w:marLeft w:val="0"/>
          <w:marRight w:val="0"/>
          <w:marTop w:val="0"/>
          <w:marBottom w:val="0"/>
          <w:divBdr>
            <w:top w:val="none" w:sz="0" w:space="0" w:color="auto"/>
            <w:left w:val="none" w:sz="0" w:space="0" w:color="auto"/>
            <w:bottom w:val="none" w:sz="0" w:space="0" w:color="auto"/>
            <w:right w:val="none" w:sz="0" w:space="0" w:color="auto"/>
          </w:divBdr>
        </w:div>
        <w:div w:id="819468585">
          <w:marLeft w:val="0"/>
          <w:marRight w:val="0"/>
          <w:marTop w:val="0"/>
          <w:marBottom w:val="0"/>
          <w:divBdr>
            <w:top w:val="none" w:sz="0" w:space="0" w:color="auto"/>
            <w:left w:val="none" w:sz="0" w:space="0" w:color="auto"/>
            <w:bottom w:val="none" w:sz="0" w:space="0" w:color="auto"/>
            <w:right w:val="none" w:sz="0" w:space="0" w:color="auto"/>
          </w:divBdr>
        </w:div>
        <w:div w:id="983655512">
          <w:marLeft w:val="0"/>
          <w:marRight w:val="0"/>
          <w:marTop w:val="0"/>
          <w:marBottom w:val="0"/>
          <w:divBdr>
            <w:top w:val="none" w:sz="0" w:space="0" w:color="auto"/>
            <w:left w:val="none" w:sz="0" w:space="0" w:color="auto"/>
            <w:bottom w:val="none" w:sz="0" w:space="0" w:color="auto"/>
            <w:right w:val="none" w:sz="0" w:space="0" w:color="auto"/>
          </w:divBdr>
        </w:div>
        <w:div w:id="984890108">
          <w:marLeft w:val="0"/>
          <w:marRight w:val="0"/>
          <w:marTop w:val="0"/>
          <w:marBottom w:val="0"/>
          <w:divBdr>
            <w:top w:val="none" w:sz="0" w:space="0" w:color="auto"/>
            <w:left w:val="none" w:sz="0" w:space="0" w:color="auto"/>
            <w:bottom w:val="none" w:sz="0" w:space="0" w:color="auto"/>
            <w:right w:val="none" w:sz="0" w:space="0" w:color="auto"/>
          </w:divBdr>
        </w:div>
        <w:div w:id="988897251">
          <w:marLeft w:val="0"/>
          <w:marRight w:val="0"/>
          <w:marTop w:val="0"/>
          <w:marBottom w:val="0"/>
          <w:divBdr>
            <w:top w:val="none" w:sz="0" w:space="0" w:color="auto"/>
            <w:left w:val="none" w:sz="0" w:space="0" w:color="auto"/>
            <w:bottom w:val="none" w:sz="0" w:space="0" w:color="auto"/>
            <w:right w:val="none" w:sz="0" w:space="0" w:color="auto"/>
          </w:divBdr>
        </w:div>
        <w:div w:id="998650731">
          <w:marLeft w:val="0"/>
          <w:marRight w:val="0"/>
          <w:marTop w:val="0"/>
          <w:marBottom w:val="0"/>
          <w:divBdr>
            <w:top w:val="none" w:sz="0" w:space="0" w:color="auto"/>
            <w:left w:val="none" w:sz="0" w:space="0" w:color="auto"/>
            <w:bottom w:val="none" w:sz="0" w:space="0" w:color="auto"/>
            <w:right w:val="none" w:sz="0" w:space="0" w:color="auto"/>
          </w:divBdr>
        </w:div>
        <w:div w:id="1001278593">
          <w:marLeft w:val="0"/>
          <w:marRight w:val="0"/>
          <w:marTop w:val="0"/>
          <w:marBottom w:val="0"/>
          <w:divBdr>
            <w:top w:val="none" w:sz="0" w:space="0" w:color="auto"/>
            <w:left w:val="none" w:sz="0" w:space="0" w:color="auto"/>
            <w:bottom w:val="none" w:sz="0" w:space="0" w:color="auto"/>
            <w:right w:val="none" w:sz="0" w:space="0" w:color="auto"/>
          </w:divBdr>
        </w:div>
        <w:div w:id="1112096052">
          <w:marLeft w:val="0"/>
          <w:marRight w:val="0"/>
          <w:marTop w:val="0"/>
          <w:marBottom w:val="0"/>
          <w:divBdr>
            <w:top w:val="none" w:sz="0" w:space="0" w:color="auto"/>
            <w:left w:val="none" w:sz="0" w:space="0" w:color="auto"/>
            <w:bottom w:val="none" w:sz="0" w:space="0" w:color="auto"/>
            <w:right w:val="none" w:sz="0" w:space="0" w:color="auto"/>
          </w:divBdr>
        </w:div>
        <w:div w:id="1123310944">
          <w:marLeft w:val="0"/>
          <w:marRight w:val="0"/>
          <w:marTop w:val="0"/>
          <w:marBottom w:val="0"/>
          <w:divBdr>
            <w:top w:val="none" w:sz="0" w:space="0" w:color="auto"/>
            <w:left w:val="none" w:sz="0" w:space="0" w:color="auto"/>
            <w:bottom w:val="none" w:sz="0" w:space="0" w:color="auto"/>
            <w:right w:val="none" w:sz="0" w:space="0" w:color="auto"/>
          </w:divBdr>
        </w:div>
        <w:div w:id="1133324801">
          <w:marLeft w:val="0"/>
          <w:marRight w:val="0"/>
          <w:marTop w:val="0"/>
          <w:marBottom w:val="0"/>
          <w:divBdr>
            <w:top w:val="none" w:sz="0" w:space="0" w:color="auto"/>
            <w:left w:val="none" w:sz="0" w:space="0" w:color="auto"/>
            <w:bottom w:val="none" w:sz="0" w:space="0" w:color="auto"/>
            <w:right w:val="none" w:sz="0" w:space="0" w:color="auto"/>
          </w:divBdr>
        </w:div>
        <w:div w:id="1149402210">
          <w:marLeft w:val="0"/>
          <w:marRight w:val="0"/>
          <w:marTop w:val="0"/>
          <w:marBottom w:val="0"/>
          <w:divBdr>
            <w:top w:val="none" w:sz="0" w:space="0" w:color="auto"/>
            <w:left w:val="none" w:sz="0" w:space="0" w:color="auto"/>
            <w:bottom w:val="none" w:sz="0" w:space="0" w:color="auto"/>
            <w:right w:val="none" w:sz="0" w:space="0" w:color="auto"/>
          </w:divBdr>
        </w:div>
        <w:div w:id="1182865569">
          <w:marLeft w:val="0"/>
          <w:marRight w:val="0"/>
          <w:marTop w:val="0"/>
          <w:marBottom w:val="0"/>
          <w:divBdr>
            <w:top w:val="none" w:sz="0" w:space="0" w:color="auto"/>
            <w:left w:val="none" w:sz="0" w:space="0" w:color="auto"/>
            <w:bottom w:val="none" w:sz="0" w:space="0" w:color="auto"/>
            <w:right w:val="none" w:sz="0" w:space="0" w:color="auto"/>
          </w:divBdr>
        </w:div>
        <w:div w:id="1212881199">
          <w:marLeft w:val="0"/>
          <w:marRight w:val="0"/>
          <w:marTop w:val="0"/>
          <w:marBottom w:val="0"/>
          <w:divBdr>
            <w:top w:val="none" w:sz="0" w:space="0" w:color="auto"/>
            <w:left w:val="none" w:sz="0" w:space="0" w:color="auto"/>
            <w:bottom w:val="none" w:sz="0" w:space="0" w:color="auto"/>
            <w:right w:val="none" w:sz="0" w:space="0" w:color="auto"/>
          </w:divBdr>
        </w:div>
        <w:div w:id="1221094590">
          <w:marLeft w:val="0"/>
          <w:marRight w:val="0"/>
          <w:marTop w:val="0"/>
          <w:marBottom w:val="0"/>
          <w:divBdr>
            <w:top w:val="none" w:sz="0" w:space="0" w:color="auto"/>
            <w:left w:val="none" w:sz="0" w:space="0" w:color="auto"/>
            <w:bottom w:val="none" w:sz="0" w:space="0" w:color="auto"/>
            <w:right w:val="none" w:sz="0" w:space="0" w:color="auto"/>
          </w:divBdr>
        </w:div>
        <w:div w:id="1281378091">
          <w:marLeft w:val="0"/>
          <w:marRight w:val="0"/>
          <w:marTop w:val="0"/>
          <w:marBottom w:val="0"/>
          <w:divBdr>
            <w:top w:val="none" w:sz="0" w:space="0" w:color="auto"/>
            <w:left w:val="none" w:sz="0" w:space="0" w:color="auto"/>
            <w:bottom w:val="none" w:sz="0" w:space="0" w:color="auto"/>
            <w:right w:val="none" w:sz="0" w:space="0" w:color="auto"/>
          </w:divBdr>
        </w:div>
        <w:div w:id="1293438221">
          <w:marLeft w:val="0"/>
          <w:marRight w:val="0"/>
          <w:marTop w:val="0"/>
          <w:marBottom w:val="0"/>
          <w:divBdr>
            <w:top w:val="none" w:sz="0" w:space="0" w:color="auto"/>
            <w:left w:val="none" w:sz="0" w:space="0" w:color="auto"/>
            <w:bottom w:val="none" w:sz="0" w:space="0" w:color="auto"/>
            <w:right w:val="none" w:sz="0" w:space="0" w:color="auto"/>
          </w:divBdr>
        </w:div>
        <w:div w:id="1344014529">
          <w:marLeft w:val="0"/>
          <w:marRight w:val="0"/>
          <w:marTop w:val="0"/>
          <w:marBottom w:val="0"/>
          <w:divBdr>
            <w:top w:val="none" w:sz="0" w:space="0" w:color="auto"/>
            <w:left w:val="none" w:sz="0" w:space="0" w:color="auto"/>
            <w:bottom w:val="none" w:sz="0" w:space="0" w:color="auto"/>
            <w:right w:val="none" w:sz="0" w:space="0" w:color="auto"/>
          </w:divBdr>
        </w:div>
        <w:div w:id="1351103984">
          <w:marLeft w:val="0"/>
          <w:marRight w:val="0"/>
          <w:marTop w:val="0"/>
          <w:marBottom w:val="0"/>
          <w:divBdr>
            <w:top w:val="none" w:sz="0" w:space="0" w:color="auto"/>
            <w:left w:val="none" w:sz="0" w:space="0" w:color="auto"/>
            <w:bottom w:val="none" w:sz="0" w:space="0" w:color="auto"/>
            <w:right w:val="none" w:sz="0" w:space="0" w:color="auto"/>
          </w:divBdr>
        </w:div>
        <w:div w:id="1370642391">
          <w:marLeft w:val="0"/>
          <w:marRight w:val="0"/>
          <w:marTop w:val="0"/>
          <w:marBottom w:val="0"/>
          <w:divBdr>
            <w:top w:val="none" w:sz="0" w:space="0" w:color="auto"/>
            <w:left w:val="none" w:sz="0" w:space="0" w:color="auto"/>
            <w:bottom w:val="none" w:sz="0" w:space="0" w:color="auto"/>
            <w:right w:val="none" w:sz="0" w:space="0" w:color="auto"/>
          </w:divBdr>
        </w:div>
        <w:div w:id="1377003760">
          <w:marLeft w:val="0"/>
          <w:marRight w:val="0"/>
          <w:marTop w:val="0"/>
          <w:marBottom w:val="0"/>
          <w:divBdr>
            <w:top w:val="none" w:sz="0" w:space="0" w:color="auto"/>
            <w:left w:val="none" w:sz="0" w:space="0" w:color="auto"/>
            <w:bottom w:val="none" w:sz="0" w:space="0" w:color="auto"/>
            <w:right w:val="none" w:sz="0" w:space="0" w:color="auto"/>
          </w:divBdr>
        </w:div>
        <w:div w:id="1397121775">
          <w:marLeft w:val="0"/>
          <w:marRight w:val="0"/>
          <w:marTop w:val="0"/>
          <w:marBottom w:val="0"/>
          <w:divBdr>
            <w:top w:val="none" w:sz="0" w:space="0" w:color="auto"/>
            <w:left w:val="none" w:sz="0" w:space="0" w:color="auto"/>
            <w:bottom w:val="none" w:sz="0" w:space="0" w:color="auto"/>
            <w:right w:val="none" w:sz="0" w:space="0" w:color="auto"/>
          </w:divBdr>
        </w:div>
        <w:div w:id="1410734200">
          <w:marLeft w:val="0"/>
          <w:marRight w:val="0"/>
          <w:marTop w:val="0"/>
          <w:marBottom w:val="0"/>
          <w:divBdr>
            <w:top w:val="none" w:sz="0" w:space="0" w:color="auto"/>
            <w:left w:val="none" w:sz="0" w:space="0" w:color="auto"/>
            <w:bottom w:val="none" w:sz="0" w:space="0" w:color="auto"/>
            <w:right w:val="none" w:sz="0" w:space="0" w:color="auto"/>
          </w:divBdr>
        </w:div>
        <w:div w:id="1458453864">
          <w:marLeft w:val="0"/>
          <w:marRight w:val="0"/>
          <w:marTop w:val="0"/>
          <w:marBottom w:val="0"/>
          <w:divBdr>
            <w:top w:val="none" w:sz="0" w:space="0" w:color="auto"/>
            <w:left w:val="none" w:sz="0" w:space="0" w:color="auto"/>
            <w:bottom w:val="none" w:sz="0" w:space="0" w:color="auto"/>
            <w:right w:val="none" w:sz="0" w:space="0" w:color="auto"/>
          </w:divBdr>
        </w:div>
        <w:div w:id="1469400491">
          <w:marLeft w:val="0"/>
          <w:marRight w:val="0"/>
          <w:marTop w:val="0"/>
          <w:marBottom w:val="0"/>
          <w:divBdr>
            <w:top w:val="none" w:sz="0" w:space="0" w:color="auto"/>
            <w:left w:val="none" w:sz="0" w:space="0" w:color="auto"/>
            <w:bottom w:val="none" w:sz="0" w:space="0" w:color="auto"/>
            <w:right w:val="none" w:sz="0" w:space="0" w:color="auto"/>
          </w:divBdr>
        </w:div>
        <w:div w:id="1504978493">
          <w:marLeft w:val="0"/>
          <w:marRight w:val="0"/>
          <w:marTop w:val="0"/>
          <w:marBottom w:val="0"/>
          <w:divBdr>
            <w:top w:val="none" w:sz="0" w:space="0" w:color="auto"/>
            <w:left w:val="none" w:sz="0" w:space="0" w:color="auto"/>
            <w:bottom w:val="none" w:sz="0" w:space="0" w:color="auto"/>
            <w:right w:val="none" w:sz="0" w:space="0" w:color="auto"/>
          </w:divBdr>
        </w:div>
        <w:div w:id="1514537736">
          <w:marLeft w:val="0"/>
          <w:marRight w:val="0"/>
          <w:marTop w:val="0"/>
          <w:marBottom w:val="0"/>
          <w:divBdr>
            <w:top w:val="none" w:sz="0" w:space="0" w:color="auto"/>
            <w:left w:val="none" w:sz="0" w:space="0" w:color="auto"/>
            <w:bottom w:val="none" w:sz="0" w:space="0" w:color="auto"/>
            <w:right w:val="none" w:sz="0" w:space="0" w:color="auto"/>
          </w:divBdr>
        </w:div>
        <w:div w:id="1585529541">
          <w:marLeft w:val="0"/>
          <w:marRight w:val="0"/>
          <w:marTop w:val="0"/>
          <w:marBottom w:val="0"/>
          <w:divBdr>
            <w:top w:val="none" w:sz="0" w:space="0" w:color="auto"/>
            <w:left w:val="none" w:sz="0" w:space="0" w:color="auto"/>
            <w:bottom w:val="none" w:sz="0" w:space="0" w:color="auto"/>
            <w:right w:val="none" w:sz="0" w:space="0" w:color="auto"/>
          </w:divBdr>
        </w:div>
        <w:div w:id="1591965884">
          <w:marLeft w:val="0"/>
          <w:marRight w:val="0"/>
          <w:marTop w:val="0"/>
          <w:marBottom w:val="0"/>
          <w:divBdr>
            <w:top w:val="none" w:sz="0" w:space="0" w:color="auto"/>
            <w:left w:val="none" w:sz="0" w:space="0" w:color="auto"/>
            <w:bottom w:val="none" w:sz="0" w:space="0" w:color="auto"/>
            <w:right w:val="none" w:sz="0" w:space="0" w:color="auto"/>
          </w:divBdr>
        </w:div>
        <w:div w:id="1592470451">
          <w:marLeft w:val="0"/>
          <w:marRight w:val="0"/>
          <w:marTop w:val="0"/>
          <w:marBottom w:val="0"/>
          <w:divBdr>
            <w:top w:val="none" w:sz="0" w:space="0" w:color="auto"/>
            <w:left w:val="none" w:sz="0" w:space="0" w:color="auto"/>
            <w:bottom w:val="none" w:sz="0" w:space="0" w:color="auto"/>
            <w:right w:val="none" w:sz="0" w:space="0" w:color="auto"/>
          </w:divBdr>
        </w:div>
        <w:div w:id="1614747318">
          <w:marLeft w:val="0"/>
          <w:marRight w:val="0"/>
          <w:marTop w:val="0"/>
          <w:marBottom w:val="0"/>
          <w:divBdr>
            <w:top w:val="none" w:sz="0" w:space="0" w:color="auto"/>
            <w:left w:val="none" w:sz="0" w:space="0" w:color="auto"/>
            <w:bottom w:val="none" w:sz="0" w:space="0" w:color="auto"/>
            <w:right w:val="none" w:sz="0" w:space="0" w:color="auto"/>
          </w:divBdr>
        </w:div>
        <w:div w:id="1633097111">
          <w:marLeft w:val="0"/>
          <w:marRight w:val="0"/>
          <w:marTop w:val="0"/>
          <w:marBottom w:val="0"/>
          <w:divBdr>
            <w:top w:val="none" w:sz="0" w:space="0" w:color="auto"/>
            <w:left w:val="none" w:sz="0" w:space="0" w:color="auto"/>
            <w:bottom w:val="none" w:sz="0" w:space="0" w:color="auto"/>
            <w:right w:val="none" w:sz="0" w:space="0" w:color="auto"/>
          </w:divBdr>
        </w:div>
        <w:div w:id="1642539385">
          <w:marLeft w:val="0"/>
          <w:marRight w:val="0"/>
          <w:marTop w:val="0"/>
          <w:marBottom w:val="0"/>
          <w:divBdr>
            <w:top w:val="none" w:sz="0" w:space="0" w:color="auto"/>
            <w:left w:val="none" w:sz="0" w:space="0" w:color="auto"/>
            <w:bottom w:val="none" w:sz="0" w:space="0" w:color="auto"/>
            <w:right w:val="none" w:sz="0" w:space="0" w:color="auto"/>
          </w:divBdr>
        </w:div>
        <w:div w:id="1644041017">
          <w:marLeft w:val="0"/>
          <w:marRight w:val="0"/>
          <w:marTop w:val="0"/>
          <w:marBottom w:val="0"/>
          <w:divBdr>
            <w:top w:val="none" w:sz="0" w:space="0" w:color="auto"/>
            <w:left w:val="none" w:sz="0" w:space="0" w:color="auto"/>
            <w:bottom w:val="none" w:sz="0" w:space="0" w:color="auto"/>
            <w:right w:val="none" w:sz="0" w:space="0" w:color="auto"/>
          </w:divBdr>
        </w:div>
        <w:div w:id="1653757446">
          <w:marLeft w:val="0"/>
          <w:marRight w:val="0"/>
          <w:marTop w:val="0"/>
          <w:marBottom w:val="0"/>
          <w:divBdr>
            <w:top w:val="none" w:sz="0" w:space="0" w:color="auto"/>
            <w:left w:val="none" w:sz="0" w:space="0" w:color="auto"/>
            <w:bottom w:val="none" w:sz="0" w:space="0" w:color="auto"/>
            <w:right w:val="none" w:sz="0" w:space="0" w:color="auto"/>
          </w:divBdr>
        </w:div>
        <w:div w:id="1660384727">
          <w:marLeft w:val="0"/>
          <w:marRight w:val="0"/>
          <w:marTop w:val="0"/>
          <w:marBottom w:val="0"/>
          <w:divBdr>
            <w:top w:val="none" w:sz="0" w:space="0" w:color="auto"/>
            <w:left w:val="none" w:sz="0" w:space="0" w:color="auto"/>
            <w:bottom w:val="none" w:sz="0" w:space="0" w:color="auto"/>
            <w:right w:val="none" w:sz="0" w:space="0" w:color="auto"/>
          </w:divBdr>
        </w:div>
        <w:div w:id="1692027800">
          <w:marLeft w:val="0"/>
          <w:marRight w:val="0"/>
          <w:marTop w:val="0"/>
          <w:marBottom w:val="0"/>
          <w:divBdr>
            <w:top w:val="none" w:sz="0" w:space="0" w:color="auto"/>
            <w:left w:val="none" w:sz="0" w:space="0" w:color="auto"/>
            <w:bottom w:val="none" w:sz="0" w:space="0" w:color="auto"/>
            <w:right w:val="none" w:sz="0" w:space="0" w:color="auto"/>
          </w:divBdr>
        </w:div>
        <w:div w:id="1726218384">
          <w:marLeft w:val="0"/>
          <w:marRight w:val="0"/>
          <w:marTop w:val="0"/>
          <w:marBottom w:val="0"/>
          <w:divBdr>
            <w:top w:val="none" w:sz="0" w:space="0" w:color="auto"/>
            <w:left w:val="none" w:sz="0" w:space="0" w:color="auto"/>
            <w:bottom w:val="none" w:sz="0" w:space="0" w:color="auto"/>
            <w:right w:val="none" w:sz="0" w:space="0" w:color="auto"/>
          </w:divBdr>
        </w:div>
        <w:div w:id="1756509921">
          <w:marLeft w:val="0"/>
          <w:marRight w:val="0"/>
          <w:marTop w:val="0"/>
          <w:marBottom w:val="0"/>
          <w:divBdr>
            <w:top w:val="none" w:sz="0" w:space="0" w:color="auto"/>
            <w:left w:val="none" w:sz="0" w:space="0" w:color="auto"/>
            <w:bottom w:val="none" w:sz="0" w:space="0" w:color="auto"/>
            <w:right w:val="none" w:sz="0" w:space="0" w:color="auto"/>
          </w:divBdr>
        </w:div>
        <w:div w:id="1831407106">
          <w:marLeft w:val="0"/>
          <w:marRight w:val="0"/>
          <w:marTop w:val="0"/>
          <w:marBottom w:val="0"/>
          <w:divBdr>
            <w:top w:val="none" w:sz="0" w:space="0" w:color="auto"/>
            <w:left w:val="none" w:sz="0" w:space="0" w:color="auto"/>
            <w:bottom w:val="none" w:sz="0" w:space="0" w:color="auto"/>
            <w:right w:val="none" w:sz="0" w:space="0" w:color="auto"/>
          </w:divBdr>
        </w:div>
        <w:div w:id="1836533810">
          <w:marLeft w:val="0"/>
          <w:marRight w:val="0"/>
          <w:marTop w:val="0"/>
          <w:marBottom w:val="0"/>
          <w:divBdr>
            <w:top w:val="none" w:sz="0" w:space="0" w:color="auto"/>
            <w:left w:val="none" w:sz="0" w:space="0" w:color="auto"/>
            <w:bottom w:val="none" w:sz="0" w:space="0" w:color="auto"/>
            <w:right w:val="none" w:sz="0" w:space="0" w:color="auto"/>
          </w:divBdr>
        </w:div>
        <w:div w:id="1897080355">
          <w:marLeft w:val="0"/>
          <w:marRight w:val="0"/>
          <w:marTop w:val="0"/>
          <w:marBottom w:val="0"/>
          <w:divBdr>
            <w:top w:val="none" w:sz="0" w:space="0" w:color="auto"/>
            <w:left w:val="none" w:sz="0" w:space="0" w:color="auto"/>
            <w:bottom w:val="none" w:sz="0" w:space="0" w:color="auto"/>
            <w:right w:val="none" w:sz="0" w:space="0" w:color="auto"/>
          </w:divBdr>
          <w:divsChild>
            <w:div w:id="1040125852">
              <w:marLeft w:val="300"/>
              <w:marRight w:val="0"/>
              <w:marTop w:val="0"/>
              <w:marBottom w:val="0"/>
              <w:divBdr>
                <w:top w:val="none" w:sz="0" w:space="0" w:color="auto"/>
                <w:left w:val="none" w:sz="0" w:space="0" w:color="auto"/>
                <w:bottom w:val="none" w:sz="0" w:space="0" w:color="auto"/>
                <w:right w:val="none" w:sz="0" w:space="0" w:color="auto"/>
              </w:divBdr>
              <w:divsChild>
                <w:div w:id="36974349">
                  <w:marLeft w:val="0"/>
                  <w:marRight w:val="0"/>
                  <w:marTop w:val="0"/>
                  <w:marBottom w:val="0"/>
                  <w:divBdr>
                    <w:top w:val="none" w:sz="0" w:space="0" w:color="auto"/>
                    <w:left w:val="none" w:sz="0" w:space="0" w:color="auto"/>
                    <w:bottom w:val="none" w:sz="0" w:space="0" w:color="auto"/>
                    <w:right w:val="none" w:sz="0" w:space="0" w:color="auto"/>
                  </w:divBdr>
                </w:div>
                <w:div w:id="338314284">
                  <w:marLeft w:val="0"/>
                  <w:marRight w:val="0"/>
                  <w:marTop w:val="0"/>
                  <w:marBottom w:val="0"/>
                  <w:divBdr>
                    <w:top w:val="none" w:sz="0" w:space="0" w:color="auto"/>
                    <w:left w:val="none" w:sz="0" w:space="0" w:color="auto"/>
                    <w:bottom w:val="none" w:sz="0" w:space="0" w:color="auto"/>
                    <w:right w:val="none" w:sz="0" w:space="0" w:color="auto"/>
                  </w:divBdr>
                </w:div>
                <w:div w:id="369456024">
                  <w:marLeft w:val="0"/>
                  <w:marRight w:val="0"/>
                  <w:marTop w:val="0"/>
                  <w:marBottom w:val="0"/>
                  <w:divBdr>
                    <w:top w:val="none" w:sz="0" w:space="0" w:color="auto"/>
                    <w:left w:val="none" w:sz="0" w:space="0" w:color="auto"/>
                    <w:bottom w:val="none" w:sz="0" w:space="0" w:color="auto"/>
                    <w:right w:val="none" w:sz="0" w:space="0" w:color="auto"/>
                  </w:divBdr>
                </w:div>
                <w:div w:id="200962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462697">
          <w:marLeft w:val="0"/>
          <w:marRight w:val="0"/>
          <w:marTop w:val="0"/>
          <w:marBottom w:val="0"/>
          <w:divBdr>
            <w:top w:val="none" w:sz="0" w:space="0" w:color="auto"/>
            <w:left w:val="none" w:sz="0" w:space="0" w:color="auto"/>
            <w:bottom w:val="none" w:sz="0" w:space="0" w:color="auto"/>
            <w:right w:val="none" w:sz="0" w:space="0" w:color="auto"/>
          </w:divBdr>
        </w:div>
        <w:div w:id="1987664659">
          <w:marLeft w:val="0"/>
          <w:marRight w:val="0"/>
          <w:marTop w:val="0"/>
          <w:marBottom w:val="0"/>
          <w:divBdr>
            <w:top w:val="none" w:sz="0" w:space="0" w:color="auto"/>
            <w:left w:val="none" w:sz="0" w:space="0" w:color="auto"/>
            <w:bottom w:val="none" w:sz="0" w:space="0" w:color="auto"/>
            <w:right w:val="none" w:sz="0" w:space="0" w:color="auto"/>
          </w:divBdr>
        </w:div>
        <w:div w:id="2044863459">
          <w:marLeft w:val="0"/>
          <w:marRight w:val="0"/>
          <w:marTop w:val="0"/>
          <w:marBottom w:val="0"/>
          <w:divBdr>
            <w:top w:val="none" w:sz="0" w:space="0" w:color="auto"/>
            <w:left w:val="none" w:sz="0" w:space="0" w:color="auto"/>
            <w:bottom w:val="none" w:sz="0" w:space="0" w:color="auto"/>
            <w:right w:val="none" w:sz="0" w:space="0" w:color="auto"/>
          </w:divBdr>
        </w:div>
        <w:div w:id="2058233113">
          <w:marLeft w:val="0"/>
          <w:marRight w:val="0"/>
          <w:marTop w:val="0"/>
          <w:marBottom w:val="0"/>
          <w:divBdr>
            <w:top w:val="none" w:sz="0" w:space="0" w:color="auto"/>
            <w:left w:val="none" w:sz="0" w:space="0" w:color="auto"/>
            <w:bottom w:val="none" w:sz="0" w:space="0" w:color="auto"/>
            <w:right w:val="none" w:sz="0" w:space="0" w:color="auto"/>
          </w:divBdr>
        </w:div>
        <w:div w:id="2093432540">
          <w:marLeft w:val="0"/>
          <w:marRight w:val="0"/>
          <w:marTop w:val="0"/>
          <w:marBottom w:val="0"/>
          <w:divBdr>
            <w:top w:val="none" w:sz="0" w:space="0" w:color="auto"/>
            <w:left w:val="none" w:sz="0" w:space="0" w:color="auto"/>
            <w:bottom w:val="none" w:sz="0" w:space="0" w:color="auto"/>
            <w:right w:val="none" w:sz="0" w:space="0" w:color="auto"/>
          </w:divBdr>
        </w:div>
        <w:div w:id="2128310387">
          <w:marLeft w:val="0"/>
          <w:marRight w:val="0"/>
          <w:marTop w:val="0"/>
          <w:marBottom w:val="0"/>
          <w:divBdr>
            <w:top w:val="none" w:sz="0" w:space="0" w:color="auto"/>
            <w:left w:val="none" w:sz="0" w:space="0" w:color="auto"/>
            <w:bottom w:val="none" w:sz="0" w:space="0" w:color="auto"/>
            <w:right w:val="none" w:sz="0" w:space="0" w:color="auto"/>
          </w:divBdr>
        </w:div>
      </w:divsChild>
    </w:div>
    <w:div w:id="1599176588">
      <w:bodyDiv w:val="1"/>
      <w:marLeft w:val="0"/>
      <w:marRight w:val="0"/>
      <w:marTop w:val="0"/>
      <w:marBottom w:val="0"/>
      <w:divBdr>
        <w:top w:val="none" w:sz="0" w:space="0" w:color="auto"/>
        <w:left w:val="none" w:sz="0" w:space="0" w:color="auto"/>
        <w:bottom w:val="none" w:sz="0" w:space="0" w:color="auto"/>
        <w:right w:val="none" w:sz="0" w:space="0" w:color="auto"/>
      </w:divBdr>
      <w:divsChild>
        <w:div w:id="80151404">
          <w:marLeft w:val="0"/>
          <w:marRight w:val="0"/>
          <w:marTop w:val="0"/>
          <w:marBottom w:val="0"/>
          <w:divBdr>
            <w:top w:val="none" w:sz="0" w:space="0" w:color="auto"/>
            <w:left w:val="none" w:sz="0" w:space="0" w:color="auto"/>
            <w:bottom w:val="none" w:sz="0" w:space="0" w:color="auto"/>
            <w:right w:val="none" w:sz="0" w:space="0" w:color="auto"/>
          </w:divBdr>
        </w:div>
      </w:divsChild>
    </w:div>
    <w:div w:id="1762676852">
      <w:bodyDiv w:val="1"/>
      <w:marLeft w:val="0"/>
      <w:marRight w:val="0"/>
      <w:marTop w:val="0"/>
      <w:marBottom w:val="0"/>
      <w:divBdr>
        <w:top w:val="none" w:sz="0" w:space="0" w:color="auto"/>
        <w:left w:val="none" w:sz="0" w:space="0" w:color="auto"/>
        <w:bottom w:val="none" w:sz="0" w:space="0" w:color="auto"/>
        <w:right w:val="none" w:sz="0" w:space="0" w:color="auto"/>
      </w:divBdr>
    </w:div>
    <w:div w:id="1836533316">
      <w:bodyDiv w:val="1"/>
      <w:marLeft w:val="0"/>
      <w:marRight w:val="0"/>
      <w:marTop w:val="0"/>
      <w:marBottom w:val="0"/>
      <w:divBdr>
        <w:top w:val="none" w:sz="0" w:space="0" w:color="auto"/>
        <w:left w:val="none" w:sz="0" w:space="0" w:color="auto"/>
        <w:bottom w:val="none" w:sz="0" w:space="0" w:color="auto"/>
        <w:right w:val="none" w:sz="0" w:space="0" w:color="auto"/>
      </w:divBdr>
    </w:div>
    <w:div w:id="1892110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DB3B8-E028-4A07-A77A-B2105D15F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2</Pages>
  <Words>386</Words>
  <Characters>2124</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weill</dc:creator>
  <cp:lastModifiedBy>weill</cp:lastModifiedBy>
  <cp:revision>7</cp:revision>
  <cp:lastPrinted>2015-11-18T11:07:00Z</cp:lastPrinted>
  <dcterms:created xsi:type="dcterms:W3CDTF">2015-11-20T07:50:00Z</dcterms:created>
  <dcterms:modified xsi:type="dcterms:W3CDTF">2015-11-20T10:43:00Z</dcterms:modified>
</cp:coreProperties>
</file>