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5FACA" w14:textId="77777777" w:rsidR="00FB1081" w:rsidRDefault="00FB1081" w:rsidP="00FB1081">
      <w:pPr>
        <w:pStyle w:val="NormalWeb"/>
        <w:spacing w:before="0" w:beforeAutospacing="0" w:after="0" w:afterAutospacing="0"/>
      </w:pPr>
      <w:r>
        <w:rPr>
          <w:rFonts w:ascii="Calibri" w:hAnsi="Calibri" w:cs="Calibri"/>
          <w:b/>
          <w:bCs/>
          <w:color w:val="000000"/>
        </w:rPr>
        <w:t>DNS SSR</w:t>
      </w:r>
    </w:p>
    <w:p w14:paraId="04239926" w14:textId="4256EAE6" w:rsidR="00B623C3" w:rsidRPr="005826DE" w:rsidRDefault="00F10E95" w:rsidP="005826DE">
      <w:pPr>
        <w:pStyle w:val="Heading2"/>
        <w:rPr>
          <w:rFonts w:asciiTheme="minorHAnsi" w:hAnsiTheme="minorHAnsi" w:cstheme="minorHAnsi"/>
          <w:b/>
        </w:rPr>
      </w:pPr>
      <w:r w:rsidRPr="005826DE">
        <w:rPr>
          <w:rFonts w:asciiTheme="minorHAnsi" w:hAnsiTheme="minorHAnsi" w:cstheme="minorHAnsi"/>
          <w:b/>
        </w:rPr>
        <w:t>Section IV: SSR Measurements</w:t>
      </w:r>
    </w:p>
    <w:p w14:paraId="0761BF79" w14:textId="73CA413F" w:rsidR="004B1B25" w:rsidRDefault="005826DE" w:rsidP="005826DE">
      <w:pPr>
        <w:pStyle w:val="Heading2"/>
        <w:rPr>
          <w:rFonts w:asciiTheme="minorHAnsi" w:hAnsiTheme="minorHAnsi" w:cstheme="minorHAnsi"/>
          <w:b/>
        </w:rPr>
      </w:pPr>
      <w:r w:rsidRPr="005826DE">
        <w:rPr>
          <w:rFonts w:asciiTheme="minorHAnsi" w:hAnsiTheme="minorHAnsi" w:cstheme="minorHAnsi"/>
          <w:b/>
        </w:rPr>
        <w:t xml:space="preserve">SLA </w:t>
      </w:r>
      <w:r w:rsidR="00306A82" w:rsidRPr="005826DE">
        <w:rPr>
          <w:rFonts w:asciiTheme="minorHAnsi" w:hAnsiTheme="minorHAnsi" w:cstheme="minorHAnsi"/>
          <w:b/>
        </w:rPr>
        <w:t xml:space="preserve">compliance </w:t>
      </w:r>
      <w:r w:rsidR="00306A82">
        <w:rPr>
          <w:rFonts w:asciiTheme="minorHAnsi" w:hAnsiTheme="minorHAnsi" w:cstheme="minorHAnsi"/>
          <w:b/>
        </w:rPr>
        <w:t>(</w:t>
      </w:r>
      <w:r w:rsidR="004B1B25">
        <w:rPr>
          <w:rFonts w:asciiTheme="minorHAnsi" w:hAnsiTheme="minorHAnsi" w:cstheme="minorHAnsi"/>
          <w:b/>
        </w:rPr>
        <w:t>Kerry-Ann B.)</w:t>
      </w:r>
    </w:p>
    <w:p w14:paraId="1B7E5F16" w14:textId="017417B2" w:rsidR="00F10E95" w:rsidRDefault="005826DE" w:rsidP="005826DE">
      <w:pPr>
        <w:pStyle w:val="Heading2"/>
        <w:rPr>
          <w:rFonts w:asciiTheme="minorHAnsi" w:hAnsiTheme="minorHAnsi" w:cstheme="minorHAnsi"/>
          <w:b/>
        </w:rPr>
      </w:pPr>
      <w:r w:rsidRPr="005826DE">
        <w:rPr>
          <w:rFonts w:asciiTheme="minorHAnsi" w:hAnsiTheme="minorHAnsi" w:cstheme="minorHAnsi"/>
          <w:b/>
        </w:rPr>
        <w:t>Medium Priority</w:t>
      </w:r>
    </w:p>
    <w:p w14:paraId="2EB39387" w14:textId="4AC4C565" w:rsidR="005826DE" w:rsidRDefault="005826DE" w:rsidP="00635A34">
      <w:pPr>
        <w:jc w:val="both"/>
      </w:pPr>
    </w:p>
    <w:p w14:paraId="149D63A5" w14:textId="4524F868" w:rsidR="0083088C" w:rsidRPr="0083088C" w:rsidRDefault="00635A34" w:rsidP="00635A34">
      <w:pPr>
        <w:jc w:val="both"/>
        <w:rPr>
          <w:b/>
          <w:color w:val="FF0000"/>
        </w:rPr>
      </w:pPr>
      <w:r>
        <w:rPr>
          <w:b/>
          <w:color w:val="FF0000"/>
        </w:rPr>
        <w:t xml:space="preserve">TEAM- I wanted to suggest that we </w:t>
      </w:r>
      <w:r w:rsidR="000B1AE5">
        <w:rPr>
          <w:b/>
          <w:color w:val="FF0000"/>
        </w:rPr>
        <w:t>assess all the answers provided for other compliance</w:t>
      </w:r>
      <w:r w:rsidR="00C908FB">
        <w:rPr>
          <w:b/>
          <w:color w:val="FF0000"/>
        </w:rPr>
        <w:t xml:space="preserve"> related</w:t>
      </w:r>
      <w:r w:rsidR="000B1AE5">
        <w:rPr>
          <w:b/>
          <w:color w:val="FF0000"/>
        </w:rPr>
        <w:t xml:space="preserve"> topics that touch on the adequacy and enforceability of the SLAs with Registrars. This will be taken into account for the draft recommendations and those Q &amp;A relied on will be included in the Annex for context.  Specific Workstreams Q&amp;A considered include</w:t>
      </w:r>
      <w:r>
        <w:rPr>
          <w:b/>
          <w:color w:val="FF0000"/>
        </w:rPr>
        <w:t>d</w:t>
      </w:r>
      <w:r w:rsidR="000B1AE5">
        <w:rPr>
          <w:b/>
          <w:color w:val="FF0000"/>
        </w:rPr>
        <w:t>:</w:t>
      </w:r>
    </w:p>
    <w:p w14:paraId="5045E855" w14:textId="1AF61EC9" w:rsidR="001770A2" w:rsidRPr="000B1AE5" w:rsidRDefault="001770A2" w:rsidP="00AC3D4A">
      <w:pPr>
        <w:pStyle w:val="ListParagraph"/>
        <w:numPr>
          <w:ilvl w:val="0"/>
          <w:numId w:val="26"/>
        </w:numPr>
        <w:rPr>
          <w:rFonts w:ascii="Calibri" w:hAnsi="Calibri" w:cs="Calibri"/>
          <w:sz w:val="24"/>
          <w:szCs w:val="24"/>
        </w:rPr>
      </w:pPr>
      <w:r w:rsidRPr="000B1AE5">
        <w:rPr>
          <w:rFonts w:ascii="Calibri" w:hAnsi="Calibri" w:cs="Calibri"/>
          <w:b/>
          <w:bCs/>
        </w:rPr>
        <w:t>Workstream: ICANN SSR</w:t>
      </w:r>
      <w:r w:rsidR="00C908FB">
        <w:rPr>
          <w:rFonts w:ascii="Calibri" w:hAnsi="Calibri" w:cs="Calibri"/>
          <w:b/>
          <w:bCs/>
        </w:rPr>
        <w:t xml:space="preserve"> (</w:t>
      </w:r>
      <w:r w:rsidR="00C908FB">
        <w:rPr>
          <w:b/>
          <w:bCs/>
          <w:color w:val="000000"/>
        </w:rPr>
        <w:t xml:space="preserve">Denise M, </w:t>
      </w:r>
      <w:r w:rsidR="00C908FB">
        <w:rPr>
          <w:color w:val="000000"/>
        </w:rPr>
        <w:t>Kerry-Ann B, Zarko)</w:t>
      </w:r>
    </w:p>
    <w:p w14:paraId="24EEEADC" w14:textId="77777777" w:rsidR="001770A2" w:rsidRDefault="001770A2" w:rsidP="000B1AE5">
      <w:pPr>
        <w:ind w:left="720"/>
        <w:rPr>
          <w:rFonts w:ascii="Calibri" w:hAnsi="Calibri" w:cs="Calibri"/>
          <w:sz w:val="24"/>
          <w:szCs w:val="24"/>
        </w:rPr>
      </w:pPr>
      <w:r>
        <w:rPr>
          <w:rFonts w:ascii="Calibri" w:hAnsi="Calibri" w:cs="Calibri"/>
          <w:b/>
          <w:bCs/>
        </w:rPr>
        <w:t xml:space="preserve">Topic: Perform an assessment how effectively ICANN has implemented its processes to ensure compliance regarding registrar agreements and the consensus policies. </w:t>
      </w:r>
    </w:p>
    <w:p w14:paraId="7CB4C107" w14:textId="0E81A76A" w:rsidR="001770A2" w:rsidRDefault="001770A2" w:rsidP="000B1AE5">
      <w:pPr>
        <w:ind w:left="720"/>
        <w:rPr>
          <w:rFonts w:ascii="Calibri" w:hAnsi="Calibri" w:cs="Calibri"/>
          <w:b/>
          <w:bCs/>
        </w:rPr>
      </w:pPr>
      <w:r>
        <w:rPr>
          <w:rFonts w:ascii="Calibri" w:hAnsi="Calibri" w:cs="Calibri"/>
          <w:b/>
          <w:bCs/>
        </w:rPr>
        <w:t>Subtopic: OCTO, open data initiative, and GDPR</w:t>
      </w:r>
      <w:r w:rsidR="000B1AE5">
        <w:rPr>
          <w:rFonts w:ascii="Calibri" w:hAnsi="Calibri" w:cs="Calibri"/>
          <w:b/>
          <w:bCs/>
        </w:rPr>
        <w:t>; and</w:t>
      </w:r>
    </w:p>
    <w:p w14:paraId="1F003A9E" w14:textId="345DD910" w:rsidR="000B1AE5" w:rsidRDefault="00C908FB" w:rsidP="00AC3D4A">
      <w:pPr>
        <w:pStyle w:val="ListParagraph"/>
        <w:numPr>
          <w:ilvl w:val="0"/>
          <w:numId w:val="26"/>
        </w:numPr>
        <w:rPr>
          <w:rFonts w:ascii="Calibri" w:hAnsi="Calibri" w:cs="Calibri"/>
          <w:sz w:val="24"/>
          <w:szCs w:val="24"/>
        </w:rPr>
      </w:pPr>
      <w:r w:rsidRPr="00C908FB">
        <w:rPr>
          <w:rFonts w:ascii="Calibri" w:hAnsi="Calibri" w:cs="Calibri"/>
          <w:b/>
          <w:sz w:val="24"/>
          <w:szCs w:val="24"/>
        </w:rPr>
        <w:t xml:space="preserve">Workstream: </w:t>
      </w:r>
      <w:r w:rsidR="000B1AE5" w:rsidRPr="00C908FB">
        <w:rPr>
          <w:rFonts w:ascii="Calibri" w:hAnsi="Calibri" w:cs="Calibri"/>
          <w:b/>
          <w:sz w:val="24"/>
          <w:szCs w:val="24"/>
        </w:rPr>
        <w:t>Fu</w:t>
      </w:r>
      <w:r w:rsidRPr="00C908FB">
        <w:rPr>
          <w:rFonts w:ascii="Calibri" w:hAnsi="Calibri" w:cs="Calibri"/>
          <w:b/>
          <w:sz w:val="24"/>
          <w:szCs w:val="24"/>
        </w:rPr>
        <w:t>ture Challenges</w:t>
      </w:r>
      <w:r>
        <w:rPr>
          <w:rFonts w:ascii="Calibri" w:hAnsi="Calibri" w:cs="Calibri"/>
          <w:sz w:val="24"/>
          <w:szCs w:val="24"/>
        </w:rPr>
        <w:t xml:space="preserve"> (</w:t>
      </w:r>
      <w:r>
        <w:rPr>
          <w:rFonts w:ascii="Calibri" w:hAnsi="Calibri" w:cs="Calibri"/>
          <w:color w:val="000000"/>
        </w:rPr>
        <w:t xml:space="preserve">Kerry-Ann B, </w:t>
      </w:r>
      <w:r>
        <w:rPr>
          <w:rFonts w:ascii="Calibri" w:hAnsi="Calibri" w:cs="Calibri"/>
          <w:b/>
          <w:bCs/>
          <w:color w:val="000000"/>
        </w:rPr>
        <w:t>Eric O</w:t>
      </w:r>
      <w:r>
        <w:rPr>
          <w:rFonts w:ascii="Calibri" w:hAnsi="Calibri" w:cs="Calibri"/>
          <w:color w:val="000000"/>
        </w:rPr>
        <w:t xml:space="preserve">, Norm R, Laurin W, </w:t>
      </w:r>
      <w:proofErr w:type="spellStart"/>
      <w:r>
        <w:rPr>
          <w:rFonts w:ascii="Calibri" w:hAnsi="Calibri" w:cs="Calibri"/>
          <w:color w:val="000000"/>
        </w:rPr>
        <w:t>Noorul</w:t>
      </w:r>
      <w:proofErr w:type="spellEnd"/>
      <w:r>
        <w:rPr>
          <w:rFonts w:ascii="Calibri" w:hAnsi="Calibri" w:cs="Calibri"/>
          <w:color w:val="000000"/>
        </w:rPr>
        <w:t xml:space="preserve"> A)</w:t>
      </w:r>
    </w:p>
    <w:p w14:paraId="24B2E0B2" w14:textId="1C24E35F" w:rsidR="00C908FB" w:rsidRPr="00C908FB" w:rsidRDefault="00C908FB" w:rsidP="00C908FB">
      <w:pPr>
        <w:pStyle w:val="ListParagraph"/>
        <w:rPr>
          <w:rFonts w:ascii="Calibri" w:hAnsi="Calibri" w:cs="Calibri"/>
          <w:b/>
          <w:sz w:val="24"/>
          <w:szCs w:val="24"/>
        </w:rPr>
      </w:pPr>
      <w:r w:rsidRPr="00C908FB">
        <w:rPr>
          <w:rFonts w:ascii="Calibri" w:hAnsi="Calibri" w:cs="Calibri"/>
          <w:b/>
          <w:sz w:val="24"/>
          <w:szCs w:val="24"/>
        </w:rPr>
        <w:t>Topic: Privacy Protections</w:t>
      </w:r>
    </w:p>
    <w:p w14:paraId="79D59804" w14:textId="5035711A" w:rsidR="001770A2" w:rsidRDefault="001770A2" w:rsidP="005826DE"/>
    <w:p w14:paraId="2D40D31B" w14:textId="3AE0765F" w:rsidR="0083088C" w:rsidRPr="004B1B25" w:rsidRDefault="0083088C" w:rsidP="004B1B25">
      <w:pPr>
        <w:pStyle w:val="Heading2"/>
        <w:rPr>
          <w:rFonts w:asciiTheme="minorHAnsi" w:hAnsiTheme="minorHAnsi" w:cstheme="minorHAnsi"/>
          <w:b/>
        </w:rPr>
      </w:pPr>
      <w:r w:rsidRPr="004B1B25">
        <w:rPr>
          <w:rFonts w:asciiTheme="minorHAnsi" w:hAnsiTheme="minorHAnsi" w:cstheme="minorHAnsi"/>
          <w:b/>
        </w:rPr>
        <w:t>DRAFT RECOMMENDATION</w:t>
      </w:r>
      <w:r w:rsidR="00635A34">
        <w:rPr>
          <w:rFonts w:asciiTheme="minorHAnsi" w:hAnsiTheme="minorHAnsi" w:cstheme="minorHAnsi"/>
          <w:b/>
        </w:rPr>
        <w:t>S</w:t>
      </w:r>
    </w:p>
    <w:p w14:paraId="350F10F1" w14:textId="77777777" w:rsidR="0083088C" w:rsidRDefault="0083088C" w:rsidP="005826DE"/>
    <w:p w14:paraId="24F07DD5" w14:textId="4FD39C8F" w:rsidR="0083088C" w:rsidRDefault="00E2598A" w:rsidP="00AC3D4A">
      <w:pPr>
        <w:pStyle w:val="ListParagraph"/>
        <w:numPr>
          <w:ilvl w:val="0"/>
          <w:numId w:val="53"/>
        </w:numPr>
      </w:pPr>
      <w:r>
        <w:t xml:space="preserve">ICANN should consider allocating a specific budget line item for a team of compliance officers tasked with </w:t>
      </w:r>
      <w:r w:rsidR="00306A82">
        <w:t>actively</w:t>
      </w:r>
      <w:r>
        <w:t xml:space="preserve"> undertaking performance management tests/assessments of agreed SLA metrics.  </w:t>
      </w:r>
    </w:p>
    <w:p w14:paraId="0429FFA2" w14:textId="4B8F41CF" w:rsidR="00C42FCD" w:rsidRDefault="00C42FCD" w:rsidP="00601881">
      <w:pPr>
        <w:pStyle w:val="ListParagraph"/>
        <w:jc w:val="both"/>
        <w:rPr>
          <w:i/>
        </w:rPr>
      </w:pPr>
      <w:r>
        <w:rPr>
          <w:i/>
        </w:rPr>
        <w:t>This recommendation would have a cost factor attached but it is recommended to do a mapping of the current SLAs and the related registrars and systemize the assessment.  An assessment framework can be developed that will guide the analysis of this team.</w:t>
      </w:r>
    </w:p>
    <w:p w14:paraId="51DC92BE" w14:textId="77777777" w:rsidR="00C42FCD" w:rsidRPr="00C42FCD" w:rsidRDefault="00C42FCD" w:rsidP="00601881">
      <w:pPr>
        <w:pStyle w:val="ListParagraph"/>
        <w:jc w:val="both"/>
        <w:rPr>
          <w:i/>
        </w:rPr>
      </w:pPr>
    </w:p>
    <w:p w14:paraId="3CB8348A" w14:textId="44567281" w:rsidR="00F9583E" w:rsidRDefault="00306A82" w:rsidP="00601881">
      <w:pPr>
        <w:pStyle w:val="ListParagraph"/>
        <w:numPr>
          <w:ilvl w:val="0"/>
          <w:numId w:val="53"/>
        </w:numPr>
        <w:jc w:val="both"/>
      </w:pPr>
      <w:r>
        <w:t xml:space="preserve">ICANN should consider creating specialized units within the contract compliance </w:t>
      </w:r>
      <w:r w:rsidR="006250F2">
        <w:t xml:space="preserve">function that focusses and understands </w:t>
      </w:r>
      <w:r w:rsidR="00C42FCD">
        <w:t xml:space="preserve">the requirements </w:t>
      </w:r>
      <w:r w:rsidR="00601881">
        <w:t>of privacy</w:t>
      </w:r>
      <w:r w:rsidR="00F9583E">
        <w:t xml:space="preserve"> but can facilitate more easily the law enforcement needs under the WHOIS framework as it is amended and adopted by the community.</w:t>
      </w:r>
    </w:p>
    <w:p w14:paraId="01A03834" w14:textId="5029FD1E" w:rsidR="00F9583E" w:rsidRDefault="00F9583E" w:rsidP="00601881">
      <w:pPr>
        <w:pStyle w:val="ListParagraph"/>
        <w:jc w:val="both"/>
        <w:rPr>
          <w:i/>
        </w:rPr>
      </w:pPr>
      <w:r>
        <w:rPr>
          <w:i/>
        </w:rPr>
        <w:t xml:space="preserve">This recommendation would have a cost implication and would require consultation with the ICANN Community-at-Large to determine the best mechanism for ensuring compliance.  </w:t>
      </w:r>
    </w:p>
    <w:p w14:paraId="75E0433C" w14:textId="37803EBF" w:rsidR="00635A34" w:rsidRDefault="00635A34" w:rsidP="00F9583E">
      <w:pPr>
        <w:pStyle w:val="ListParagraph"/>
        <w:rPr>
          <w:i/>
        </w:rPr>
      </w:pPr>
    </w:p>
    <w:p w14:paraId="4DF3F93B" w14:textId="4CEC4884" w:rsidR="00635A34" w:rsidRPr="00737CEA" w:rsidRDefault="00635A34" w:rsidP="00601881">
      <w:pPr>
        <w:pStyle w:val="ListParagraph"/>
        <w:numPr>
          <w:ilvl w:val="0"/>
          <w:numId w:val="53"/>
        </w:numPr>
        <w:jc w:val="both"/>
        <w:rPr>
          <w:i/>
        </w:rPr>
      </w:pPr>
      <w:r>
        <w:t>ICANN should amend the SLA renewal clause to not be automated but reviewed in year 4 with the intent to measure compliance by the Registrar and inclusion of requirements to strengthen the security and resilience</w:t>
      </w:r>
      <w:r w:rsidR="00601881">
        <w:t>, where during the contract period non-compliance was evident.</w:t>
      </w:r>
      <w:r>
        <w:t xml:space="preserve">  </w:t>
      </w:r>
    </w:p>
    <w:p w14:paraId="1FA6DD5A" w14:textId="0DF377C8" w:rsidR="00737CEA" w:rsidRDefault="00737CEA" w:rsidP="00737CEA">
      <w:pPr>
        <w:pStyle w:val="ListParagraph"/>
        <w:jc w:val="both"/>
      </w:pPr>
      <w:r>
        <w:t>Consideration can be given to institutionalizing training and certifications for Registrars in areas identified by OCTO as needing more involvement of the Registrars for SSR.</w:t>
      </w:r>
    </w:p>
    <w:p w14:paraId="5046E3FC" w14:textId="77777777" w:rsidR="00737CEA" w:rsidRPr="00635A34" w:rsidRDefault="00737CEA" w:rsidP="00737CEA">
      <w:pPr>
        <w:pStyle w:val="ListParagraph"/>
        <w:jc w:val="both"/>
        <w:rPr>
          <w:i/>
        </w:rPr>
      </w:pPr>
      <w:bookmarkStart w:id="0" w:name="_GoBack"/>
      <w:bookmarkEnd w:id="0"/>
    </w:p>
    <w:p w14:paraId="6A87219C" w14:textId="1DDC63D9" w:rsidR="00635A34" w:rsidRPr="00505B25" w:rsidRDefault="00635A34" w:rsidP="00601881">
      <w:pPr>
        <w:pStyle w:val="ListParagraph"/>
        <w:jc w:val="both"/>
        <w:rPr>
          <w:i/>
        </w:rPr>
      </w:pPr>
      <w:r>
        <w:rPr>
          <w:i/>
        </w:rPr>
        <w:lastRenderedPageBreak/>
        <w:t>In response to the question of what compliance would want to see amended in the SLA</w:t>
      </w:r>
      <w:r w:rsidR="00505B25">
        <w:rPr>
          <w:i/>
        </w:rPr>
        <w:t>,</w:t>
      </w:r>
      <w:r>
        <w:rPr>
          <w:i/>
        </w:rPr>
        <w:t xml:space="preserve"> the response was nothing.  During the Q &amp;A period for the Review </w:t>
      </w:r>
      <w:r w:rsidR="00601881">
        <w:rPr>
          <w:i/>
        </w:rPr>
        <w:t>Team, it</w:t>
      </w:r>
      <w:r>
        <w:rPr>
          <w:i/>
        </w:rPr>
        <w:t xml:space="preserve"> was evident that the compliance unit does not apply any </w:t>
      </w:r>
      <w:r w:rsidR="00505B25">
        <w:rPr>
          <w:i/>
        </w:rPr>
        <w:t xml:space="preserve">firm corrective </w:t>
      </w:r>
      <w:r>
        <w:rPr>
          <w:i/>
        </w:rPr>
        <w:t>approaches for breach of SLA</w:t>
      </w:r>
      <w:r w:rsidR="00601881">
        <w:rPr>
          <w:i/>
        </w:rPr>
        <w:t>s</w:t>
      </w:r>
      <w:r>
        <w:rPr>
          <w:i/>
        </w:rPr>
        <w:t xml:space="preserve"> </w:t>
      </w:r>
      <w:r w:rsidR="00601881">
        <w:rPr>
          <w:i/>
        </w:rPr>
        <w:t xml:space="preserve">KPI.  However, instead of identifying patterns and threats </w:t>
      </w:r>
      <w:r w:rsidR="00505B25">
        <w:rPr>
          <w:i/>
        </w:rPr>
        <w:t>per region</w:t>
      </w:r>
      <w:r w:rsidR="00601881">
        <w:rPr>
          <w:i/>
        </w:rPr>
        <w:t xml:space="preserve">, consideration </w:t>
      </w:r>
      <w:r w:rsidR="00505B25">
        <w:rPr>
          <w:i/>
        </w:rPr>
        <w:t xml:space="preserve">should be given </w:t>
      </w:r>
      <w:r w:rsidR="00601881">
        <w:rPr>
          <w:i/>
        </w:rPr>
        <w:t>to work</w:t>
      </w:r>
      <w:r w:rsidR="00505B25">
        <w:rPr>
          <w:i/>
        </w:rPr>
        <w:t>ing</w:t>
      </w:r>
      <w:r w:rsidR="00601881">
        <w:rPr>
          <w:i/>
        </w:rPr>
        <w:t xml:space="preserve"> with Registrars on an individual level to improve compliance for not only WHOIS inaccuracy but also other elements that affect security and resilience, should be considered. </w:t>
      </w:r>
      <w:r w:rsidR="00737CEA">
        <w:rPr>
          <w:i/>
        </w:rPr>
        <w:t>Strengthening the capacity of Registrars to meet the requirements could also add value.</w:t>
      </w:r>
    </w:p>
    <w:p w14:paraId="1A2544A2" w14:textId="22C6AD5B" w:rsidR="0083088C" w:rsidRDefault="0083088C" w:rsidP="005826DE"/>
    <w:p w14:paraId="3AF53FDF" w14:textId="0E14D4D4" w:rsidR="0083088C" w:rsidRPr="004B1B25" w:rsidRDefault="0083088C" w:rsidP="004B1B25">
      <w:pPr>
        <w:pStyle w:val="Heading2"/>
        <w:rPr>
          <w:rFonts w:asciiTheme="minorHAnsi" w:hAnsiTheme="minorHAnsi" w:cstheme="minorHAnsi"/>
          <w:b/>
        </w:rPr>
      </w:pPr>
      <w:r w:rsidRPr="004B1B25">
        <w:rPr>
          <w:rFonts w:asciiTheme="minorHAnsi" w:hAnsiTheme="minorHAnsi" w:cstheme="minorHAnsi"/>
          <w:b/>
        </w:rPr>
        <w:t>ANALYSIS</w:t>
      </w:r>
    </w:p>
    <w:p w14:paraId="46916E3C" w14:textId="3DDCB5A2" w:rsidR="005826DE" w:rsidRDefault="00F9583E" w:rsidP="005826DE">
      <w:r>
        <w:t>S</w:t>
      </w:r>
      <w:r w:rsidR="004B1B25">
        <w:t>ervice</w:t>
      </w:r>
      <w:r w:rsidR="00FB1081">
        <w:t xml:space="preserve"> </w:t>
      </w:r>
      <w:r>
        <w:t>L</w:t>
      </w:r>
      <w:r w:rsidR="00FB1081">
        <w:t xml:space="preserve">evel Agreement </w:t>
      </w:r>
      <w:r w:rsidR="00635A34">
        <w:t xml:space="preserve">should </w:t>
      </w:r>
      <w:r w:rsidR="00635A34" w:rsidRPr="008E0798">
        <w:t>be</w:t>
      </w:r>
      <w:r w:rsidR="008E0798" w:rsidRPr="008E0798">
        <w:t xml:space="preserve"> specific about certain parameters of the service to be provided</w:t>
      </w:r>
      <w:r w:rsidR="00FB1081">
        <w:t>.  The questions that should be asked to ensure the best services level deliver includes:</w:t>
      </w:r>
    </w:p>
    <w:p w14:paraId="6B741026" w14:textId="77777777" w:rsidR="009817E1" w:rsidRDefault="009817E1" w:rsidP="00AC3D4A">
      <w:pPr>
        <w:pStyle w:val="ListParagraph"/>
        <w:numPr>
          <w:ilvl w:val="0"/>
          <w:numId w:val="1"/>
        </w:numPr>
      </w:pPr>
      <w:r>
        <w:t>What service is to be provided, including a detailed description of those applications and/or services?</w:t>
      </w:r>
    </w:p>
    <w:p w14:paraId="5E9C6FB9" w14:textId="77777777" w:rsidR="009817E1" w:rsidRDefault="009817E1" w:rsidP="00AC3D4A">
      <w:pPr>
        <w:pStyle w:val="ListParagraph"/>
        <w:numPr>
          <w:ilvl w:val="0"/>
          <w:numId w:val="1"/>
        </w:numPr>
      </w:pPr>
      <w:r>
        <w:t>What each party (the customer and the vendor) are responsible for?</w:t>
      </w:r>
    </w:p>
    <w:p w14:paraId="5F6D3CAD" w14:textId="19160CFF" w:rsidR="009817E1" w:rsidRDefault="009817E1" w:rsidP="00AC3D4A">
      <w:pPr>
        <w:pStyle w:val="ListParagraph"/>
        <w:numPr>
          <w:ilvl w:val="0"/>
          <w:numId w:val="1"/>
        </w:numPr>
      </w:pPr>
      <w:r>
        <w:t>What level of service is to be provided? (Such as, does the vendor assure the customer of 99.999 percent uptime?)</w:t>
      </w:r>
    </w:p>
    <w:p w14:paraId="71087E8D" w14:textId="77777777" w:rsidR="009817E1" w:rsidRDefault="009817E1" w:rsidP="00AC3D4A">
      <w:pPr>
        <w:pStyle w:val="ListParagraph"/>
        <w:numPr>
          <w:ilvl w:val="0"/>
          <w:numId w:val="1"/>
        </w:numPr>
      </w:pPr>
      <w:r>
        <w:t>How will the performance of the service be monitored and evaluated, including specific metrics that will used to track and rate the service</w:t>
      </w:r>
    </w:p>
    <w:p w14:paraId="6DEBD331" w14:textId="77777777" w:rsidR="009817E1" w:rsidRDefault="009817E1" w:rsidP="00AC3D4A">
      <w:pPr>
        <w:pStyle w:val="ListParagraph"/>
        <w:numPr>
          <w:ilvl w:val="0"/>
          <w:numId w:val="1"/>
        </w:numPr>
      </w:pPr>
      <w:r>
        <w:t>What exactly will happen if the vendor fails to provide this service, or to provide it as promised? (5 percent discount per hour? 10 percent discount per day?)</w:t>
      </w:r>
    </w:p>
    <w:p w14:paraId="7DFD4E0D" w14:textId="4AFAEBEC" w:rsidR="009817E1" w:rsidRDefault="009817E1" w:rsidP="00AC3D4A">
      <w:pPr>
        <w:pStyle w:val="ListParagraph"/>
        <w:numPr>
          <w:ilvl w:val="0"/>
          <w:numId w:val="1"/>
        </w:numPr>
      </w:pPr>
      <w:r>
        <w:t>If there is a disagreement between the customer and vendor, how will the dispute be resolved? (Third-party arbitrator?)</w:t>
      </w:r>
    </w:p>
    <w:p w14:paraId="17399BBF" w14:textId="4A2EB3CC" w:rsidR="009817E1" w:rsidRDefault="009817E1" w:rsidP="009817E1"/>
    <w:p w14:paraId="7CB481DB" w14:textId="71576F10" w:rsidR="00FB1081" w:rsidRDefault="00FB1081" w:rsidP="00F9583E">
      <w:pPr>
        <w:jc w:val="both"/>
      </w:pPr>
      <w:r>
        <w:t xml:space="preserve">Having reviewed the Base Registry Agreement and the most </w:t>
      </w:r>
      <w:r w:rsidR="00F07F32">
        <w:t>recent</w:t>
      </w:r>
      <w:r>
        <w:t xml:space="preserve"> versions of the SLAs in place with the Registrars, it is fairly conclusive </w:t>
      </w:r>
      <w:r w:rsidR="001F6DB9">
        <w:t>as articulated by ICANN regarding its legal authority to address compliance, it fall</w:t>
      </w:r>
      <w:r w:rsidR="00F9583E">
        <w:t>s</w:t>
      </w:r>
      <w:r w:rsidR="001F6DB9">
        <w:t xml:space="preserve"> fully </w:t>
      </w:r>
      <w:proofErr w:type="gramStart"/>
      <w:r w:rsidR="001F6DB9">
        <w:t xml:space="preserve">within </w:t>
      </w:r>
      <w:r w:rsidR="007A7E25">
        <w:t xml:space="preserve"> ICANN</w:t>
      </w:r>
      <w:proofErr w:type="gramEnd"/>
      <w:r w:rsidR="007A7E25">
        <w:t xml:space="preserve"> Org’s </w:t>
      </w:r>
      <w:r w:rsidR="001F6DB9">
        <w:t>remit and touches and concerns security and/or stability of the DNS.</w:t>
      </w:r>
    </w:p>
    <w:p w14:paraId="6BBFDF3F" w14:textId="77777777" w:rsidR="001F6DB9" w:rsidRPr="001F6DB9" w:rsidRDefault="001F6DB9" w:rsidP="007A7E25">
      <w:pPr>
        <w:pStyle w:val="Heading3"/>
        <w:shd w:val="clear" w:color="auto" w:fill="FFFFFF"/>
        <w:spacing w:before="0"/>
        <w:ind w:left="720"/>
        <w:jc w:val="both"/>
        <w:rPr>
          <w:rFonts w:asciiTheme="minorHAnsi" w:hAnsiTheme="minorHAnsi" w:cstheme="minorHAnsi"/>
          <w:i/>
          <w:color w:val="333333"/>
          <w:sz w:val="22"/>
          <w:szCs w:val="22"/>
        </w:rPr>
      </w:pPr>
      <w:r w:rsidRPr="001F6DB9">
        <w:rPr>
          <w:rFonts w:asciiTheme="minorHAnsi" w:hAnsiTheme="minorHAnsi" w:cstheme="minorHAnsi"/>
          <w:i/>
          <w:color w:val="333333"/>
          <w:sz w:val="22"/>
          <w:szCs w:val="22"/>
        </w:rPr>
        <w:t>Lawfulness and Purposes of Processing gTLD Registration Data</w:t>
      </w:r>
    </w:p>
    <w:p w14:paraId="3AE46195" w14:textId="77777777" w:rsidR="001F6DB9" w:rsidRPr="001F6DB9" w:rsidRDefault="001F6DB9" w:rsidP="007A7E25">
      <w:pPr>
        <w:pStyle w:val="NormalWeb"/>
        <w:shd w:val="clear" w:color="auto" w:fill="FFFFFF"/>
        <w:ind w:left="720"/>
        <w:jc w:val="both"/>
        <w:rPr>
          <w:rFonts w:asciiTheme="minorHAnsi" w:hAnsiTheme="minorHAnsi" w:cstheme="minorHAnsi"/>
          <w:i/>
          <w:color w:val="333333"/>
          <w:sz w:val="22"/>
          <w:szCs w:val="22"/>
        </w:rPr>
      </w:pPr>
      <w:bookmarkStart w:id="1" w:name="4.1"/>
      <w:bookmarkEnd w:id="1"/>
      <w:r w:rsidRPr="001F6DB9">
        <w:rPr>
          <w:rFonts w:asciiTheme="minorHAnsi" w:hAnsiTheme="minorHAnsi" w:cstheme="minorHAnsi"/>
          <w:i/>
          <w:color w:val="333333"/>
          <w:sz w:val="22"/>
          <w:szCs w:val="22"/>
        </w:rPr>
        <w:t xml:space="preserve">4.1. ICANN's mission, as set forth in Bylaws Section 1.1(a), is to "coordinate the stable operation of the Internet's unique identifier systems." Section 1.1(a) describes in specificity what this mission entails in the context of names. While ICANN's role is narrow, it is not limited to technical stability. Specifically, the Bylaws provide that ICANN's purpose is to coordinate the bottom-up, </w:t>
      </w:r>
      <w:proofErr w:type="spellStart"/>
      <w:r w:rsidRPr="001F6DB9">
        <w:rPr>
          <w:rFonts w:asciiTheme="minorHAnsi" w:hAnsiTheme="minorHAnsi" w:cstheme="minorHAnsi"/>
          <w:i/>
          <w:color w:val="333333"/>
          <w:sz w:val="22"/>
          <w:szCs w:val="22"/>
        </w:rPr>
        <w:t>multistakeholder</w:t>
      </w:r>
      <w:proofErr w:type="spellEnd"/>
      <w:r w:rsidRPr="001F6DB9">
        <w:rPr>
          <w:rFonts w:asciiTheme="minorHAnsi" w:hAnsiTheme="minorHAnsi" w:cstheme="minorHAnsi"/>
          <w:i/>
          <w:color w:val="333333"/>
          <w:sz w:val="22"/>
          <w:szCs w:val="22"/>
        </w:rPr>
        <w:t xml:space="preserve"> development and implementation of policies "[f]or which uniform or coordinated resolution is reasonably necessary to facilitate the openness, interoperability, resilience, security and/or stability of the DNS including, with respect to gTLD registrars and registries" [Bylaws, Section 1.1(a)(</w:t>
      </w:r>
      <w:proofErr w:type="spellStart"/>
      <w:r w:rsidRPr="001F6DB9">
        <w:rPr>
          <w:rFonts w:asciiTheme="minorHAnsi" w:hAnsiTheme="minorHAnsi" w:cstheme="minorHAnsi"/>
          <w:i/>
          <w:color w:val="333333"/>
          <w:sz w:val="22"/>
          <w:szCs w:val="22"/>
        </w:rPr>
        <w:t>i</w:t>
      </w:r>
      <w:proofErr w:type="spellEnd"/>
      <w:r w:rsidRPr="001F6DB9">
        <w:rPr>
          <w:rFonts w:asciiTheme="minorHAnsi" w:hAnsiTheme="minorHAnsi" w:cstheme="minorHAnsi"/>
          <w:i/>
          <w:color w:val="333333"/>
          <w:sz w:val="22"/>
          <w:szCs w:val="22"/>
        </w:rPr>
        <w:t>)], which is further defined in Annex G-1 and G-2 of the Bylaws to include, among other things:</w:t>
      </w:r>
    </w:p>
    <w:p w14:paraId="668067F8" w14:textId="77777777" w:rsidR="001F6DB9" w:rsidRPr="001F6DB9" w:rsidRDefault="001F6DB9" w:rsidP="007A7E25">
      <w:pPr>
        <w:numPr>
          <w:ilvl w:val="0"/>
          <w:numId w:val="52"/>
        </w:numPr>
        <w:shd w:val="clear" w:color="auto" w:fill="FFFFFF"/>
        <w:tabs>
          <w:tab w:val="clear" w:pos="720"/>
          <w:tab w:val="num" w:pos="1440"/>
        </w:tabs>
        <w:spacing w:after="225" w:line="240" w:lineRule="auto"/>
        <w:ind w:left="1740"/>
        <w:jc w:val="both"/>
        <w:rPr>
          <w:rFonts w:cstheme="minorHAnsi"/>
          <w:i/>
          <w:color w:val="333333"/>
        </w:rPr>
      </w:pPr>
      <w:r w:rsidRPr="001F6DB9">
        <w:rPr>
          <w:rFonts w:cstheme="minorHAnsi"/>
          <w:i/>
          <w:color w:val="333333"/>
        </w:rPr>
        <w:lastRenderedPageBreak/>
        <w:t>resolution of disputes regarding the registration of domain names (as opposed to the use of such domain names, but including where such policies take into account use of the domain names);</w:t>
      </w:r>
    </w:p>
    <w:p w14:paraId="672182F0" w14:textId="77777777" w:rsidR="001F6DB9" w:rsidRPr="001F6DB9" w:rsidRDefault="001F6DB9" w:rsidP="00AC3D4A">
      <w:pPr>
        <w:numPr>
          <w:ilvl w:val="0"/>
          <w:numId w:val="52"/>
        </w:numPr>
        <w:shd w:val="clear" w:color="auto" w:fill="FFFFFF"/>
        <w:tabs>
          <w:tab w:val="clear" w:pos="720"/>
          <w:tab w:val="num" w:pos="1440"/>
        </w:tabs>
        <w:spacing w:after="225" w:line="240" w:lineRule="auto"/>
        <w:ind w:left="1740"/>
        <w:rPr>
          <w:rFonts w:cstheme="minorHAnsi"/>
          <w:i/>
          <w:color w:val="333333"/>
        </w:rPr>
      </w:pPr>
      <w:r w:rsidRPr="001F6DB9">
        <w:rPr>
          <w:rFonts w:cstheme="minorHAnsi"/>
          <w:i/>
          <w:color w:val="333333"/>
        </w:rPr>
        <w:t>maintenance of and access to accurate and up-to-date information concerning registered names and name servers;</w:t>
      </w:r>
    </w:p>
    <w:p w14:paraId="0BA915F8" w14:textId="77777777" w:rsidR="001F6DB9" w:rsidRPr="001F6DB9" w:rsidRDefault="001F6DB9" w:rsidP="00AC3D4A">
      <w:pPr>
        <w:numPr>
          <w:ilvl w:val="0"/>
          <w:numId w:val="52"/>
        </w:numPr>
        <w:shd w:val="clear" w:color="auto" w:fill="FFFFFF"/>
        <w:tabs>
          <w:tab w:val="clear" w:pos="720"/>
          <w:tab w:val="num" w:pos="1440"/>
        </w:tabs>
        <w:spacing w:after="225" w:line="240" w:lineRule="auto"/>
        <w:ind w:left="1740"/>
        <w:rPr>
          <w:rFonts w:cstheme="minorHAnsi"/>
          <w:i/>
          <w:color w:val="333333"/>
        </w:rPr>
      </w:pPr>
      <w:r w:rsidRPr="001F6DB9">
        <w:rPr>
          <w:rFonts w:cstheme="minorHAnsi"/>
          <w:i/>
          <w:color w:val="333333"/>
        </w:rPr>
        <w:t>procedures to avoid disruptions of domain name registrations due to suspension or termination of operations by a registry operator or a registrar (e.g., escrow); and</w:t>
      </w:r>
    </w:p>
    <w:p w14:paraId="70BC8A55" w14:textId="77777777" w:rsidR="001F6DB9" w:rsidRPr="001F6DB9" w:rsidRDefault="001F6DB9" w:rsidP="00AC3D4A">
      <w:pPr>
        <w:numPr>
          <w:ilvl w:val="0"/>
          <w:numId w:val="52"/>
        </w:numPr>
        <w:shd w:val="clear" w:color="auto" w:fill="FFFFFF"/>
        <w:tabs>
          <w:tab w:val="clear" w:pos="720"/>
          <w:tab w:val="num" w:pos="1440"/>
        </w:tabs>
        <w:spacing w:after="225" w:line="240" w:lineRule="auto"/>
        <w:ind w:left="1740"/>
        <w:rPr>
          <w:rFonts w:cstheme="minorHAnsi"/>
          <w:i/>
          <w:color w:val="333333"/>
        </w:rPr>
      </w:pPr>
      <w:r w:rsidRPr="001F6DB9">
        <w:rPr>
          <w:rFonts w:cstheme="minorHAnsi"/>
          <w:i/>
          <w:color w:val="333333"/>
        </w:rPr>
        <w:t>the transfer of registration data upon a change in registrar sponsoring one or more registered names.</w:t>
      </w:r>
    </w:p>
    <w:p w14:paraId="0C13C469" w14:textId="3621F2CA" w:rsidR="001F6DB9" w:rsidRDefault="001F6DB9" w:rsidP="001F6DB9">
      <w:pPr>
        <w:pStyle w:val="NormalWeb"/>
        <w:shd w:val="clear" w:color="auto" w:fill="FFFFFF"/>
        <w:ind w:left="720"/>
        <w:rPr>
          <w:rFonts w:asciiTheme="minorHAnsi" w:hAnsiTheme="minorHAnsi" w:cstheme="minorHAnsi"/>
          <w:i/>
          <w:color w:val="333333"/>
          <w:sz w:val="22"/>
          <w:szCs w:val="22"/>
        </w:rPr>
      </w:pPr>
      <w:bookmarkStart w:id="2" w:name="4.2"/>
      <w:bookmarkEnd w:id="2"/>
      <w:r w:rsidRPr="001F6DB9">
        <w:rPr>
          <w:rFonts w:asciiTheme="minorHAnsi" w:hAnsiTheme="minorHAnsi" w:cstheme="minorHAnsi"/>
          <w:i/>
          <w:color w:val="333333"/>
          <w:sz w:val="22"/>
          <w:szCs w:val="22"/>
        </w:rPr>
        <w:t>4.2. The Bylaws articulate that issues surrounding the provision of Registration Data Directory Services (RDDS) by Registry Operators and Registrars are firmly within ICANN's mission. </w:t>
      </w:r>
    </w:p>
    <w:p w14:paraId="4F6C1163" w14:textId="1C0A8824" w:rsidR="001F6DB9" w:rsidRDefault="001F6DB9" w:rsidP="001F6DB9">
      <w:pPr>
        <w:pStyle w:val="NormalWeb"/>
        <w:shd w:val="clear" w:color="auto" w:fill="FFFFFF"/>
        <w:ind w:left="720"/>
      </w:pPr>
      <w:r>
        <w:rPr>
          <w:rFonts w:asciiTheme="minorHAnsi" w:hAnsiTheme="minorHAnsi" w:cstheme="minorHAnsi"/>
          <w:i/>
          <w:color w:val="333333"/>
          <w:sz w:val="22"/>
          <w:szCs w:val="22"/>
        </w:rPr>
        <w:t xml:space="preserve">(source: </w:t>
      </w:r>
      <w:r w:rsidRPr="001F6DB9">
        <w:rPr>
          <w:rFonts w:asciiTheme="minorHAnsi" w:hAnsiTheme="minorHAnsi" w:cstheme="minorHAnsi"/>
          <w:i/>
          <w:color w:val="333333"/>
          <w:sz w:val="22"/>
          <w:szCs w:val="22"/>
        </w:rPr>
        <w:t>Temporary Specification for gTLD Registration Data</w:t>
      </w:r>
      <w:r>
        <w:rPr>
          <w:rFonts w:asciiTheme="minorHAnsi" w:hAnsiTheme="minorHAnsi" w:cstheme="minorHAnsi"/>
          <w:i/>
          <w:color w:val="333333"/>
          <w:sz w:val="22"/>
          <w:szCs w:val="22"/>
        </w:rPr>
        <w:t xml:space="preserve"> -</w:t>
      </w:r>
      <w:hyperlink r:id="rId8" w:history="1">
        <w:r>
          <w:rPr>
            <w:rStyle w:val="Hyperlink"/>
            <w:rFonts w:eastAsiaTheme="majorEastAsia"/>
          </w:rPr>
          <w:t>https://www.icann.org/resources/pages/gtld-registration-data-specs-en</w:t>
        </w:r>
      </w:hyperlink>
      <w:r>
        <w:t xml:space="preserve">) </w:t>
      </w:r>
    </w:p>
    <w:p w14:paraId="2AF2E171" w14:textId="08FE42CE" w:rsidR="007A7E25" w:rsidRDefault="00C777F1" w:rsidP="007A7E25">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What is curious in the by-laws is the qualification </w:t>
      </w:r>
      <w:proofErr w:type="gramStart"/>
      <w:r>
        <w:rPr>
          <w:rFonts w:asciiTheme="minorHAnsi" w:hAnsiTheme="minorHAnsi" w:cstheme="minorHAnsi"/>
          <w:color w:val="333333"/>
          <w:sz w:val="22"/>
          <w:szCs w:val="22"/>
        </w:rPr>
        <w:t xml:space="preserve">of </w:t>
      </w:r>
      <w:r w:rsidR="007A7E25">
        <w:rPr>
          <w:rFonts w:asciiTheme="minorHAnsi" w:hAnsiTheme="minorHAnsi" w:cstheme="minorHAnsi"/>
          <w:color w:val="333333"/>
          <w:sz w:val="22"/>
          <w:szCs w:val="22"/>
        </w:rPr>
        <w:t xml:space="preserve"> what</w:t>
      </w:r>
      <w:proofErr w:type="gramEnd"/>
      <w:r w:rsidR="007A7E25">
        <w:rPr>
          <w:rFonts w:asciiTheme="minorHAnsi" w:hAnsiTheme="minorHAnsi" w:cstheme="minorHAnsi"/>
          <w:color w:val="333333"/>
          <w:sz w:val="22"/>
          <w:szCs w:val="22"/>
        </w:rPr>
        <w:t xml:space="preserve"> constitutes </w:t>
      </w:r>
      <w:r>
        <w:rPr>
          <w:rFonts w:asciiTheme="minorHAnsi" w:hAnsiTheme="minorHAnsi" w:cstheme="minorHAnsi"/>
          <w:color w:val="333333"/>
          <w:sz w:val="22"/>
          <w:szCs w:val="22"/>
        </w:rPr>
        <w:t>‘</w:t>
      </w:r>
      <w:r w:rsidRPr="007A7E25">
        <w:rPr>
          <w:rFonts w:asciiTheme="minorHAnsi" w:hAnsiTheme="minorHAnsi" w:cstheme="minorHAnsi"/>
          <w:b/>
          <w:i/>
          <w:color w:val="333333"/>
          <w:sz w:val="22"/>
          <w:szCs w:val="22"/>
        </w:rPr>
        <w:t>commercially reasonable efforts’</w:t>
      </w:r>
      <w:r>
        <w:rPr>
          <w:rFonts w:asciiTheme="minorHAnsi" w:hAnsiTheme="minorHAnsi" w:cstheme="minorHAnsi"/>
          <w:color w:val="333333"/>
          <w:sz w:val="22"/>
          <w:szCs w:val="22"/>
        </w:rPr>
        <w:t xml:space="preserve"> to enforce the agreements:</w:t>
      </w:r>
      <w:r>
        <w:rPr>
          <w:rFonts w:asciiTheme="minorHAnsi" w:hAnsiTheme="minorHAnsi" w:cstheme="minorHAnsi"/>
          <w:color w:val="333333"/>
          <w:sz w:val="22"/>
          <w:szCs w:val="22"/>
        </w:rPr>
        <w:br/>
      </w:r>
    </w:p>
    <w:p w14:paraId="1D74EB9C" w14:textId="42BF7C73" w:rsidR="00C777F1" w:rsidRPr="007A7E25" w:rsidRDefault="00C777F1" w:rsidP="007A7E25">
      <w:pPr>
        <w:pStyle w:val="NormalWeb"/>
        <w:shd w:val="clear" w:color="auto" w:fill="FFFFFF"/>
        <w:ind w:left="720"/>
        <w:jc w:val="both"/>
        <w:rPr>
          <w:rFonts w:asciiTheme="minorHAnsi" w:hAnsiTheme="minorHAnsi" w:cstheme="minorHAnsi"/>
          <w:i/>
          <w:color w:val="333333"/>
          <w:sz w:val="22"/>
          <w:szCs w:val="22"/>
          <w:shd w:val="clear" w:color="auto" w:fill="FFFFFF"/>
        </w:rPr>
      </w:pPr>
      <w:r w:rsidRPr="007A7E25">
        <w:rPr>
          <w:rFonts w:asciiTheme="minorHAnsi" w:hAnsiTheme="minorHAnsi" w:cstheme="minorHAnsi"/>
          <w:i/>
          <w:color w:val="333333"/>
          <w:sz w:val="22"/>
          <w:szCs w:val="22"/>
        </w:rPr>
        <w:t>I</w:t>
      </w:r>
      <w:r w:rsidRPr="007A7E25">
        <w:rPr>
          <w:rFonts w:asciiTheme="minorHAnsi" w:hAnsiTheme="minorHAnsi" w:cstheme="minorHAnsi"/>
          <w:i/>
          <w:sz w:val="22"/>
          <w:szCs w:val="22"/>
        </w:rPr>
        <w:t>CANN</w:t>
      </w:r>
      <w:r w:rsidRPr="007A7E25">
        <w:rPr>
          <w:rFonts w:asciiTheme="minorHAnsi" w:hAnsiTheme="minorHAnsi" w:cstheme="minorHAnsi"/>
          <w:i/>
          <w:color w:val="333333"/>
          <w:sz w:val="22"/>
          <w:szCs w:val="22"/>
          <w:shd w:val="clear" w:color="auto" w:fill="FFFFFF"/>
        </w:rPr>
        <w:t> is required by Section 4.6(e) of the Bylaws, subject to applicable laws, to "use commercially reasonable efforts to enforce its policies relating to registration directory services," including by working with stakeholders to "explore structural changes to improve accuracy and access to generic top-level domain registration data," "as well as consider[</w:t>
      </w:r>
      <w:proofErr w:type="spellStart"/>
      <w:r w:rsidRPr="007A7E25">
        <w:rPr>
          <w:rFonts w:asciiTheme="minorHAnsi" w:hAnsiTheme="minorHAnsi" w:cstheme="minorHAnsi"/>
          <w:i/>
          <w:color w:val="333333"/>
          <w:sz w:val="22"/>
          <w:szCs w:val="22"/>
          <w:shd w:val="clear" w:color="auto" w:fill="FFFFFF"/>
        </w:rPr>
        <w:t>ing</w:t>
      </w:r>
      <w:proofErr w:type="spellEnd"/>
      <w:r w:rsidRPr="007A7E25">
        <w:rPr>
          <w:rFonts w:asciiTheme="minorHAnsi" w:hAnsiTheme="minorHAnsi" w:cstheme="minorHAnsi"/>
          <w:i/>
          <w:color w:val="333333"/>
          <w:sz w:val="22"/>
          <w:szCs w:val="22"/>
          <w:shd w:val="clear" w:color="auto" w:fill="FFFFFF"/>
        </w:rPr>
        <w:t>] safeguards for protecting such data."</w:t>
      </w:r>
    </w:p>
    <w:p w14:paraId="55F22BC5" w14:textId="0EA76A31" w:rsidR="00C777F1" w:rsidRPr="00C777F1" w:rsidRDefault="00C777F1" w:rsidP="007A7E25">
      <w:pPr>
        <w:pStyle w:val="NormalWeb"/>
        <w:shd w:val="clear" w:color="auto" w:fill="FFFFFF"/>
        <w:jc w:val="both"/>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While the stated position and articulation of ICANN’s interpretation of the By-Laws was done in the context of setting the background for how it addresses the GDPR requirements, it also stands as an example in broader terms of ICANNs views of its remit to enforce these agreements.</w:t>
      </w:r>
    </w:p>
    <w:p w14:paraId="6C1D85CA" w14:textId="77777777" w:rsidR="001F6DB9" w:rsidRDefault="001F6DB9" w:rsidP="009817E1"/>
    <w:p w14:paraId="2556C0EE" w14:textId="66ECCBEB" w:rsidR="002E7EA4" w:rsidRDefault="007A7E25" w:rsidP="007A7E25">
      <w:pPr>
        <w:jc w:val="both"/>
      </w:pPr>
      <w:r>
        <w:t xml:space="preserve">Interestingly in a press release from ICANN Org in relation to the </w:t>
      </w:r>
      <w:r w:rsidR="009817E1" w:rsidRPr="007A7E25">
        <w:rPr>
          <w:i/>
        </w:rPr>
        <w:t>Base Registry Agreement – Updated 31 July 2017</w:t>
      </w:r>
      <w:r w:rsidRPr="007A7E25">
        <w:t xml:space="preserve"> </w:t>
      </w:r>
      <w:r>
        <w:t>(</w:t>
      </w:r>
      <w:r w:rsidRPr="002E7EA4">
        <w:t>Service Level Agreement (SLA) with RIRs for the IANA Numbering Services</w:t>
      </w:r>
      <w:r>
        <w:rPr>
          <w:rStyle w:val="FootnoteReference"/>
        </w:rPr>
        <w:footnoteReference w:id="1"/>
      </w:r>
      <w:r>
        <w:t xml:space="preserve"> </w:t>
      </w:r>
      <w:r w:rsidR="001978A5" w:rsidRPr="007A7E25">
        <w:rPr>
          <w:rStyle w:val="FootnoteReference"/>
          <w:i/>
        </w:rPr>
        <w:footnoteReference w:id="2"/>
      </w:r>
      <w:r w:rsidR="001978A5" w:rsidRPr="007A7E25">
        <w:rPr>
          <w:i/>
        </w:rPr>
        <w:t xml:space="preserve">- </w:t>
      </w:r>
      <w:r w:rsidR="002E7EA4" w:rsidRPr="007A7E25">
        <w:rPr>
          <w:i/>
        </w:rPr>
        <w:t>Specification</w:t>
      </w:r>
      <w:r w:rsidR="001978A5" w:rsidRPr="007A7E25">
        <w:rPr>
          <w:i/>
        </w:rPr>
        <w:t xml:space="preserve"> 4</w:t>
      </w:r>
      <w:r w:rsidR="002E7EA4" w:rsidRPr="007A7E25">
        <w:rPr>
          <w:rStyle w:val="FootnoteReference"/>
          <w:i/>
        </w:rPr>
        <w:footnoteReference w:id="3"/>
      </w:r>
      <w:r>
        <w:rPr>
          <w:i/>
        </w:rPr>
        <w:t xml:space="preserve">, </w:t>
      </w:r>
      <w:r>
        <w:t xml:space="preserve">the Board stated </w:t>
      </w:r>
      <w:proofErr w:type="gramStart"/>
      <w:r>
        <w:t>that  the</w:t>
      </w:r>
      <w:proofErr w:type="gramEnd"/>
      <w:r w:rsidR="002E7EA4">
        <w:t xml:space="preserve"> SLA is the contractual agreement between ICANN and the RIRs for the delivery of the numbering services. As such, </w:t>
      </w:r>
      <w:r w:rsidR="002E7EA4" w:rsidRPr="007A7E25">
        <w:rPr>
          <w:b/>
        </w:rPr>
        <w:t>it contains performance expectations</w:t>
      </w:r>
      <w:r w:rsidR="002E7EA4">
        <w:t xml:space="preserve">, and specifies escalation paths </w:t>
      </w:r>
      <w:r w:rsidR="002E7EA4" w:rsidRPr="007A7E25">
        <w:rPr>
          <w:b/>
        </w:rPr>
        <w:t>and dispute resolution mechanisms in the event of non-performance</w:t>
      </w:r>
      <w:r>
        <w:t xml:space="preserve"> (emphasis added).</w:t>
      </w:r>
    </w:p>
    <w:p w14:paraId="34C7BA67" w14:textId="17809095" w:rsidR="002E7EA4" w:rsidRDefault="007A7E25" w:rsidP="00F85584">
      <w:pPr>
        <w:jc w:val="both"/>
      </w:pPr>
      <w:r>
        <w:t xml:space="preserve">According to the </w:t>
      </w:r>
      <w:r w:rsidR="00F85584">
        <w:t>ICANN website, t</w:t>
      </w:r>
      <w:r w:rsidR="002E7EA4">
        <w:t xml:space="preserve">he terms of the SLA </w:t>
      </w:r>
      <w:r w:rsidR="002E7EA4" w:rsidRPr="007A7E25">
        <w:rPr>
          <w:b/>
        </w:rPr>
        <w:t xml:space="preserve">automatically </w:t>
      </w:r>
      <w:r w:rsidRPr="007A7E25">
        <w:rPr>
          <w:b/>
        </w:rPr>
        <w:t>renew</w:t>
      </w:r>
      <w:r w:rsidR="002E7EA4" w:rsidRPr="007A7E25">
        <w:rPr>
          <w:b/>
        </w:rPr>
        <w:t xml:space="preserve"> every 5 years</w:t>
      </w:r>
      <w:r w:rsidR="002E7EA4">
        <w:t xml:space="preserve">, unless either ICANN or the RIRs elects to not renew for any reason (with or without cause) by providing 12 </w:t>
      </w:r>
      <w:proofErr w:type="spellStart"/>
      <w:r w:rsidR="002E7EA4">
        <w:t xml:space="preserve">months </w:t>
      </w:r>
      <w:r w:rsidR="002E7EA4">
        <w:lastRenderedPageBreak/>
        <w:t>notice</w:t>
      </w:r>
      <w:proofErr w:type="spellEnd"/>
      <w:r w:rsidR="002E7EA4">
        <w:t xml:space="preserve"> prior to the expiration of the then-current term</w:t>
      </w:r>
      <w:r w:rsidR="00F85584">
        <w:t xml:space="preserve"> and t</w:t>
      </w:r>
      <w:r w:rsidR="002E7EA4">
        <w:t>here are no expected security, stability, or resiliency issues related to the DNS associated with the Board's approval of the SLA.</w:t>
      </w:r>
    </w:p>
    <w:p w14:paraId="167C6B55" w14:textId="2B8267C7" w:rsidR="002E7EA4" w:rsidRDefault="00075AF5" w:rsidP="00F85584">
      <w:pPr>
        <w:jc w:val="both"/>
      </w:pPr>
      <w:r>
        <w:t xml:space="preserve">The </w:t>
      </w:r>
      <w:hyperlink r:id="rId9" w:history="1">
        <w:r w:rsidRPr="00F85584">
          <w:rPr>
            <w:rStyle w:val="Hyperlink"/>
          </w:rPr>
          <w:t>Temporary Specification for gTLD Registration Data</w:t>
        </w:r>
      </w:hyperlink>
      <w:r>
        <w:t xml:space="preserve">, which </w:t>
      </w:r>
      <w:r w:rsidRPr="00F85584">
        <w:t>the </w:t>
      </w:r>
      <w:r>
        <w:t>ICANN</w:t>
      </w:r>
      <w:r w:rsidRPr="00F85584">
        <w:t xml:space="preserve"> Board adopted </w:t>
      </w:r>
      <w:r w:rsidR="00531293" w:rsidRPr="00F85584">
        <w:t xml:space="preserve">in May 2018 modified </w:t>
      </w:r>
      <w:r w:rsidR="00F85584">
        <w:t xml:space="preserve">the </w:t>
      </w:r>
      <w:r w:rsidR="00F85584" w:rsidRPr="00F85584">
        <w:t>agreements</w:t>
      </w:r>
      <w:r w:rsidRPr="00F85584">
        <w:t xml:space="preserve"> with registries and registrars to comply with the European Union's General Data Protection Regulation (GDPR). </w:t>
      </w:r>
      <w:r w:rsidR="00531293" w:rsidRPr="00F85584">
        <w:t>In July 2018, they issued a blog</w:t>
      </w:r>
      <w:r w:rsidR="00531293" w:rsidRPr="00F85584">
        <w:footnoteReference w:id="4"/>
      </w:r>
      <w:r w:rsidR="00531293" w:rsidRPr="00F85584">
        <w:t xml:space="preserve"> to provide </w:t>
      </w:r>
      <w:r w:rsidR="00F85584" w:rsidRPr="00F85584">
        <w:t>clarification</w:t>
      </w:r>
      <w:r w:rsidR="00531293" w:rsidRPr="00F85584">
        <w:t xml:space="preserve"> on how this would be enforced and they indicated it would be through the I</w:t>
      </w:r>
      <w:r w:rsidR="00531293">
        <w:t>CANN</w:t>
      </w:r>
      <w:r w:rsidR="00531293" w:rsidRPr="00F85584">
        <w:t> Contractual Compliance normal processes.</w:t>
      </w:r>
      <w:r w:rsidR="00F85584">
        <w:t xml:space="preserve">  This evaluation is necessary to establish that there is precedent where the agreement with the Registrars can be modified and strengthened if necessary.  </w:t>
      </w:r>
    </w:p>
    <w:p w14:paraId="44D410D7" w14:textId="1696CFE4" w:rsidR="00FA586B" w:rsidRDefault="00FA586B" w:rsidP="00F85584">
      <w:pPr>
        <w:jc w:val="both"/>
      </w:pPr>
    </w:p>
    <w:p w14:paraId="32B211C1" w14:textId="3E487F66" w:rsidR="00FA586B" w:rsidRDefault="00E45108" w:rsidP="00F85584">
      <w:pPr>
        <w:jc w:val="both"/>
      </w:pPr>
      <w:r>
        <w:t>Another interesting issue is the response provided by ICANN Staff to the following question:</w:t>
      </w:r>
    </w:p>
    <w:p w14:paraId="6D6A7BE6" w14:textId="77777777" w:rsidR="00E45108" w:rsidRPr="00E45108" w:rsidRDefault="00E45108" w:rsidP="00E45108">
      <w:pPr>
        <w:ind w:left="720"/>
        <w:jc w:val="both"/>
        <w:rPr>
          <w:i/>
        </w:rPr>
      </w:pPr>
      <w:r w:rsidRPr="00E45108">
        <w:rPr>
          <w:i/>
        </w:rPr>
        <w:t>3.</w:t>
      </w:r>
      <w:r w:rsidRPr="00E45108">
        <w:rPr>
          <w:i/>
        </w:rPr>
        <w:tab/>
        <w:t>What contract changes would Compliance like to see to enhance its ability to respond to complaints of inaccurate WHOIS?</w:t>
      </w:r>
    </w:p>
    <w:p w14:paraId="6EE46292" w14:textId="2F988B2A" w:rsidR="0083088C" w:rsidRDefault="00E45108" w:rsidP="00E45108">
      <w:pPr>
        <w:ind w:left="720"/>
        <w:jc w:val="both"/>
        <w:rPr>
          <w:rFonts w:cstheme="minorHAnsi"/>
          <w:i/>
        </w:rPr>
      </w:pPr>
      <w:r w:rsidRPr="00E45108">
        <w:rPr>
          <w:i/>
        </w:rPr>
        <w:t>a.</w:t>
      </w:r>
      <w:r w:rsidRPr="00E45108">
        <w:rPr>
          <w:rFonts w:cstheme="minorHAnsi"/>
          <w:i/>
        </w:rPr>
        <w:tab/>
        <w:t>Contractual Compliance does not see a need to change the Registrar Accreditation Agreement to respond to complaints of inaccurate WHOIS. Additionally, the Registration Data Access Protocol (https://www.icann.org/rdap) work is underway and should address among other things, standardization, access and security. Contractual Compliance will respond to any complaints of inaccurate WHOIS according to the then-effective agreements and policies.</w:t>
      </w:r>
    </w:p>
    <w:p w14:paraId="0A1F969D" w14:textId="78E1BC08" w:rsidR="00E45108" w:rsidRDefault="00E45108" w:rsidP="00E45108">
      <w:pPr>
        <w:ind w:left="720"/>
        <w:jc w:val="both"/>
        <w:rPr>
          <w:rFonts w:cstheme="minorHAnsi"/>
          <w:i/>
        </w:rPr>
      </w:pPr>
    </w:p>
    <w:p w14:paraId="06F76530" w14:textId="57DD1156" w:rsidR="00E45108" w:rsidRPr="00E45108" w:rsidRDefault="00E45108" w:rsidP="00E45108">
      <w:pPr>
        <w:jc w:val="both"/>
        <w:rPr>
          <w:rFonts w:cstheme="minorHAnsi"/>
        </w:rPr>
      </w:pPr>
      <w:r>
        <w:rPr>
          <w:rFonts w:cstheme="minorHAnsi"/>
        </w:rPr>
        <w:t>This demonstrates the limited interpretation taken by Compliance in their role in ensuring the SLA is adhered to, namely inaccurate WHOIS.  Additional measures in relation to security and resilience, is put through the notification and remedy process.  This approach should be rethought.</w:t>
      </w:r>
    </w:p>
    <w:p w14:paraId="700688F1" w14:textId="77777777" w:rsidR="0083088C" w:rsidRDefault="0083088C" w:rsidP="00831DAE">
      <w:pPr>
        <w:spacing w:after="240" w:line="240" w:lineRule="auto"/>
        <w:jc w:val="center"/>
        <w:rPr>
          <w:rFonts w:ascii="Cambria" w:eastAsia="Times New Roman" w:hAnsi="Cambria" w:cs="Times New Roman"/>
          <w:b/>
          <w:bCs/>
          <w:caps/>
          <w:color w:val="000000"/>
          <w:sz w:val="24"/>
          <w:szCs w:val="24"/>
        </w:rPr>
      </w:pPr>
    </w:p>
    <w:p w14:paraId="0174215B" w14:textId="77777777" w:rsidR="0083088C" w:rsidRDefault="0083088C" w:rsidP="00831DAE">
      <w:pPr>
        <w:spacing w:after="240" w:line="240" w:lineRule="auto"/>
        <w:jc w:val="center"/>
        <w:rPr>
          <w:rFonts w:ascii="Cambria" w:eastAsia="Times New Roman" w:hAnsi="Cambria" w:cs="Times New Roman"/>
          <w:b/>
          <w:bCs/>
          <w:caps/>
          <w:color w:val="000000"/>
          <w:sz w:val="24"/>
          <w:szCs w:val="24"/>
        </w:rPr>
      </w:pPr>
    </w:p>
    <w:p w14:paraId="2A87207A" w14:textId="45CF16A5" w:rsidR="0083088C" w:rsidRPr="00FA586B" w:rsidRDefault="0083088C" w:rsidP="00FA586B">
      <w:pPr>
        <w:pStyle w:val="Heading1"/>
        <w:jc w:val="both"/>
        <w:rPr>
          <w:rFonts w:asciiTheme="minorHAnsi" w:eastAsia="Times New Roman" w:hAnsiTheme="minorHAnsi" w:cstheme="minorHAnsi"/>
          <w:b/>
        </w:rPr>
      </w:pPr>
      <w:r>
        <w:rPr>
          <w:rFonts w:eastAsia="Times New Roman"/>
        </w:rPr>
        <w:br w:type="page"/>
      </w:r>
      <w:r w:rsidRPr="00FA586B">
        <w:rPr>
          <w:rFonts w:asciiTheme="minorHAnsi" w:eastAsia="Times New Roman" w:hAnsiTheme="minorHAnsi" w:cstheme="minorHAnsi"/>
          <w:b/>
        </w:rPr>
        <w:lastRenderedPageBreak/>
        <w:t>ANNEX I</w:t>
      </w:r>
    </w:p>
    <w:p w14:paraId="192C8755" w14:textId="77777777" w:rsidR="0083088C" w:rsidRPr="00FA586B" w:rsidRDefault="0083088C" w:rsidP="00FA586B">
      <w:pPr>
        <w:spacing w:after="240" w:line="240" w:lineRule="auto"/>
        <w:jc w:val="both"/>
        <w:rPr>
          <w:rFonts w:eastAsia="Times New Roman" w:cstheme="minorHAnsi"/>
          <w:b/>
          <w:bCs/>
          <w:caps/>
          <w:color w:val="000000"/>
          <w:sz w:val="24"/>
          <w:szCs w:val="24"/>
        </w:rPr>
      </w:pPr>
    </w:p>
    <w:p w14:paraId="15FDEAB8" w14:textId="77777777" w:rsidR="0083088C" w:rsidRPr="00FA586B" w:rsidRDefault="0083088C" w:rsidP="00FA586B">
      <w:pPr>
        <w:spacing w:after="240" w:line="240" w:lineRule="auto"/>
        <w:jc w:val="both"/>
        <w:rPr>
          <w:rFonts w:eastAsia="Times New Roman" w:cstheme="minorHAnsi"/>
          <w:b/>
          <w:bCs/>
          <w:caps/>
          <w:color w:val="000000"/>
          <w:sz w:val="24"/>
          <w:szCs w:val="24"/>
        </w:rPr>
      </w:pPr>
    </w:p>
    <w:p w14:paraId="4742C328" w14:textId="5C50774F" w:rsidR="00831DAE" w:rsidRPr="00FA586B" w:rsidRDefault="00831DAE" w:rsidP="00FA586B">
      <w:pPr>
        <w:spacing w:after="240" w:line="240" w:lineRule="auto"/>
        <w:jc w:val="both"/>
        <w:rPr>
          <w:rFonts w:eastAsia="Times New Roman" w:cstheme="minorHAnsi"/>
          <w:color w:val="000000"/>
        </w:rPr>
      </w:pPr>
      <w:r w:rsidRPr="00FA586B">
        <w:rPr>
          <w:rFonts w:eastAsia="Times New Roman" w:cstheme="minorHAnsi"/>
          <w:b/>
          <w:bCs/>
          <w:caps/>
          <w:color w:val="000000"/>
          <w:sz w:val="24"/>
          <w:szCs w:val="24"/>
        </w:rPr>
        <w:t>SPECIFICATION 10</w:t>
      </w:r>
      <w:r w:rsidR="00C77314" w:rsidRPr="00FA586B">
        <w:rPr>
          <w:rStyle w:val="FootnoteReference"/>
          <w:rFonts w:eastAsia="Times New Roman" w:cstheme="minorHAnsi"/>
          <w:b/>
          <w:bCs/>
          <w:caps/>
          <w:color w:val="000000"/>
          <w:sz w:val="24"/>
          <w:szCs w:val="24"/>
        </w:rPr>
        <w:footnoteReference w:id="5"/>
      </w:r>
      <w:r w:rsidRPr="00FA586B">
        <w:rPr>
          <w:rFonts w:eastAsia="Times New Roman" w:cstheme="minorHAnsi"/>
          <w:b/>
          <w:bCs/>
          <w:caps/>
          <w:color w:val="000000"/>
          <w:sz w:val="24"/>
          <w:szCs w:val="24"/>
        </w:rPr>
        <w:br/>
      </w:r>
      <w:r w:rsidRPr="00FA586B">
        <w:rPr>
          <w:rFonts w:eastAsia="Times New Roman" w:cstheme="minorHAnsi"/>
          <w:b/>
          <w:bCs/>
          <w:caps/>
          <w:color w:val="000000"/>
          <w:sz w:val="24"/>
          <w:szCs w:val="24"/>
        </w:rPr>
        <w:br/>
        <w:t>REGISTRY PERFORMANCE SPECIFICATIONS</w:t>
      </w:r>
    </w:p>
    <w:p w14:paraId="6745A6AD" w14:textId="77777777" w:rsidR="00831DAE" w:rsidRPr="00FA586B" w:rsidRDefault="00831DAE" w:rsidP="00FA586B">
      <w:pPr>
        <w:spacing w:after="240" w:line="240" w:lineRule="auto"/>
        <w:ind w:left="720" w:hanging="720"/>
        <w:jc w:val="both"/>
        <w:rPr>
          <w:rFonts w:eastAsia="Times New Roman" w:cstheme="minorHAnsi"/>
          <w:color w:val="000000"/>
        </w:rPr>
      </w:pPr>
      <w:bookmarkStart w:id="3" w:name="specification10.1"/>
      <w:bookmarkStart w:id="4" w:name="_DV_M406"/>
      <w:bookmarkEnd w:id="3"/>
      <w:bookmarkEnd w:id="4"/>
      <w:r w:rsidRPr="00FA586B">
        <w:rPr>
          <w:rFonts w:eastAsia="Times New Roman" w:cstheme="minorHAnsi"/>
          <w:color w:val="000000"/>
          <w:sz w:val="24"/>
          <w:szCs w:val="24"/>
        </w:rPr>
        <w:t>1.</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Definitions</w:t>
      </w:r>
    </w:p>
    <w:p w14:paraId="7618302F" w14:textId="77777777" w:rsidR="00831DAE" w:rsidRPr="00FA586B" w:rsidRDefault="00831DAE" w:rsidP="00FA586B">
      <w:pPr>
        <w:spacing w:after="240" w:line="240" w:lineRule="auto"/>
        <w:ind w:left="1440" w:hanging="720"/>
        <w:jc w:val="both"/>
        <w:rPr>
          <w:rFonts w:eastAsia="Times New Roman" w:cstheme="minorHAnsi"/>
          <w:color w:val="000000"/>
        </w:rPr>
      </w:pPr>
      <w:bookmarkStart w:id="5" w:name="_DV_M407"/>
      <w:bookmarkEnd w:id="5"/>
      <w:r w:rsidRPr="00FA586B">
        <w:rPr>
          <w:rFonts w:eastAsia="Times New Roman" w:cstheme="minorHAnsi"/>
          <w:color w:val="000000"/>
          <w:sz w:val="24"/>
          <w:szCs w:val="24"/>
        </w:rPr>
        <w:t>1.1.</w:t>
      </w:r>
      <w:r w:rsidRPr="00FA586B">
        <w:rPr>
          <w:rFonts w:eastAsia="Times New Roman" w:cstheme="minorHAnsi"/>
          <w:color w:val="000000"/>
          <w:sz w:val="14"/>
          <w:szCs w:val="14"/>
        </w:rPr>
        <w:t>         </w:t>
      </w:r>
      <w:r w:rsidRPr="00FA586B">
        <w:rPr>
          <w:rFonts w:eastAsia="Times New Roman" w:cstheme="minorHAnsi"/>
          <w:b/>
          <w:bCs/>
          <w:color w:val="000000"/>
          <w:sz w:val="24"/>
          <w:szCs w:val="24"/>
        </w:rPr>
        <w:t>DNS</w:t>
      </w:r>
      <w:r w:rsidRPr="00FA586B">
        <w:rPr>
          <w:rFonts w:eastAsia="Times New Roman" w:cstheme="minorHAnsi"/>
          <w:color w:val="000000"/>
          <w:sz w:val="24"/>
          <w:szCs w:val="24"/>
        </w:rPr>
        <w:t>.  Refers to the Domain Name System as specified in RFCs 1034, 1035, and related RFCs.</w:t>
      </w:r>
    </w:p>
    <w:p w14:paraId="18FD6626" w14:textId="77777777" w:rsidR="00831DAE" w:rsidRPr="00FA586B" w:rsidRDefault="00831DAE" w:rsidP="00FA586B">
      <w:pPr>
        <w:spacing w:after="240" w:line="240" w:lineRule="auto"/>
        <w:ind w:left="1440" w:hanging="720"/>
        <w:jc w:val="both"/>
        <w:rPr>
          <w:rFonts w:eastAsia="Times New Roman" w:cstheme="minorHAnsi"/>
          <w:color w:val="000000"/>
        </w:rPr>
      </w:pPr>
      <w:bookmarkStart w:id="6" w:name="_DV_M408"/>
      <w:bookmarkEnd w:id="6"/>
      <w:r w:rsidRPr="00FA586B">
        <w:rPr>
          <w:rFonts w:eastAsia="Times New Roman" w:cstheme="minorHAnsi"/>
          <w:color w:val="000000"/>
          <w:sz w:val="24"/>
          <w:szCs w:val="24"/>
        </w:rPr>
        <w:t>1.2.</w:t>
      </w:r>
      <w:r w:rsidRPr="00FA586B">
        <w:rPr>
          <w:rFonts w:eastAsia="Times New Roman" w:cstheme="minorHAnsi"/>
          <w:color w:val="000000"/>
          <w:sz w:val="14"/>
          <w:szCs w:val="14"/>
        </w:rPr>
        <w:t>         </w:t>
      </w:r>
      <w:r w:rsidRPr="00FA586B">
        <w:rPr>
          <w:rFonts w:eastAsia="Times New Roman" w:cstheme="minorHAnsi"/>
          <w:b/>
          <w:bCs/>
          <w:color w:val="000000"/>
          <w:sz w:val="24"/>
          <w:szCs w:val="24"/>
        </w:rPr>
        <w:t>DNSSEC proper resolution</w:t>
      </w:r>
      <w:r w:rsidRPr="00FA586B">
        <w:rPr>
          <w:rFonts w:eastAsia="Times New Roman" w:cstheme="minorHAnsi"/>
          <w:color w:val="000000"/>
          <w:sz w:val="24"/>
          <w:szCs w:val="24"/>
        </w:rPr>
        <w:t>.  There is a valid DNSSEC chain of trust from the root trust anchor to a particular domain name, e.g., a TLD, a domain name registered under a TLD, etc.</w:t>
      </w:r>
    </w:p>
    <w:p w14:paraId="4C448902" w14:textId="77777777" w:rsidR="00831DAE" w:rsidRPr="00FA586B" w:rsidRDefault="00831DAE" w:rsidP="00FA586B">
      <w:pPr>
        <w:spacing w:after="240" w:line="240" w:lineRule="auto"/>
        <w:ind w:left="1440" w:hanging="720"/>
        <w:jc w:val="both"/>
        <w:rPr>
          <w:rFonts w:eastAsia="Times New Roman" w:cstheme="minorHAnsi"/>
          <w:color w:val="000000"/>
        </w:rPr>
      </w:pPr>
      <w:bookmarkStart w:id="7" w:name="_DV_M409"/>
      <w:bookmarkEnd w:id="7"/>
      <w:r w:rsidRPr="00FA586B">
        <w:rPr>
          <w:rFonts w:eastAsia="Times New Roman" w:cstheme="minorHAnsi"/>
          <w:color w:val="000000"/>
          <w:sz w:val="24"/>
          <w:szCs w:val="24"/>
        </w:rPr>
        <w:t>1.3.</w:t>
      </w:r>
      <w:r w:rsidRPr="00FA586B">
        <w:rPr>
          <w:rFonts w:eastAsia="Times New Roman" w:cstheme="minorHAnsi"/>
          <w:color w:val="000000"/>
          <w:sz w:val="14"/>
          <w:szCs w:val="14"/>
        </w:rPr>
        <w:t>         </w:t>
      </w:r>
      <w:r w:rsidRPr="00FA586B">
        <w:rPr>
          <w:rFonts w:eastAsia="Times New Roman" w:cstheme="minorHAnsi"/>
          <w:b/>
          <w:bCs/>
          <w:color w:val="000000"/>
          <w:sz w:val="24"/>
          <w:szCs w:val="24"/>
        </w:rPr>
        <w:t>EPP</w:t>
      </w:r>
      <w:r w:rsidRPr="00FA586B">
        <w:rPr>
          <w:rFonts w:eastAsia="Times New Roman" w:cstheme="minorHAnsi"/>
          <w:color w:val="000000"/>
          <w:sz w:val="24"/>
          <w:szCs w:val="24"/>
        </w:rPr>
        <w:t>.  Refers to the Extensible Provisioning Protocol as specified in RFC 5730 and related RFCs.</w:t>
      </w:r>
    </w:p>
    <w:p w14:paraId="7C48FD52" w14:textId="77777777" w:rsidR="00831DAE" w:rsidRPr="00FA586B" w:rsidRDefault="00831DAE" w:rsidP="00FA586B">
      <w:pPr>
        <w:spacing w:after="240" w:line="240" w:lineRule="auto"/>
        <w:ind w:left="1440" w:hanging="720"/>
        <w:jc w:val="both"/>
        <w:rPr>
          <w:rFonts w:eastAsia="Times New Roman" w:cstheme="minorHAnsi"/>
          <w:color w:val="000000"/>
        </w:rPr>
      </w:pPr>
      <w:bookmarkStart w:id="8" w:name="_DV_M410"/>
      <w:bookmarkEnd w:id="8"/>
      <w:r w:rsidRPr="00FA586B">
        <w:rPr>
          <w:rFonts w:eastAsia="Times New Roman" w:cstheme="minorHAnsi"/>
          <w:color w:val="000000"/>
          <w:sz w:val="24"/>
          <w:szCs w:val="24"/>
        </w:rPr>
        <w:t>1.4.</w:t>
      </w:r>
      <w:r w:rsidRPr="00FA586B">
        <w:rPr>
          <w:rFonts w:eastAsia="Times New Roman" w:cstheme="minorHAnsi"/>
          <w:color w:val="000000"/>
          <w:sz w:val="14"/>
          <w:szCs w:val="14"/>
        </w:rPr>
        <w:t>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Refers to IPv4 or IPv6 addresses without making any distinction between the two.  When there is need to make a distinction, IPv4 or IPv6 is used.</w:t>
      </w:r>
    </w:p>
    <w:p w14:paraId="172B2CB3" w14:textId="77777777" w:rsidR="00831DAE" w:rsidRPr="00FA586B" w:rsidRDefault="00831DAE" w:rsidP="00FA586B">
      <w:pPr>
        <w:spacing w:after="240" w:line="240" w:lineRule="auto"/>
        <w:ind w:left="1440" w:hanging="720"/>
        <w:jc w:val="both"/>
        <w:rPr>
          <w:rFonts w:eastAsia="Times New Roman" w:cstheme="minorHAnsi"/>
          <w:color w:val="000000"/>
        </w:rPr>
      </w:pPr>
      <w:bookmarkStart w:id="9" w:name="_DV_M411"/>
      <w:bookmarkEnd w:id="9"/>
      <w:r w:rsidRPr="00FA586B">
        <w:rPr>
          <w:rFonts w:eastAsia="Times New Roman" w:cstheme="minorHAnsi"/>
          <w:color w:val="000000"/>
          <w:sz w:val="24"/>
          <w:szCs w:val="24"/>
        </w:rPr>
        <w:t>1.5.</w:t>
      </w:r>
      <w:r w:rsidRPr="00FA586B">
        <w:rPr>
          <w:rFonts w:eastAsia="Times New Roman" w:cstheme="minorHAnsi"/>
          <w:color w:val="000000"/>
          <w:sz w:val="14"/>
          <w:szCs w:val="14"/>
        </w:rPr>
        <w:t>         </w:t>
      </w:r>
      <w:r w:rsidRPr="00FA586B">
        <w:rPr>
          <w:rFonts w:eastAsia="Times New Roman" w:cstheme="minorHAnsi"/>
          <w:b/>
          <w:bCs/>
          <w:color w:val="000000"/>
          <w:sz w:val="24"/>
          <w:szCs w:val="24"/>
        </w:rPr>
        <w:t>Probes</w:t>
      </w:r>
      <w:r w:rsidRPr="00FA586B">
        <w:rPr>
          <w:rFonts w:eastAsia="Times New Roman" w:cstheme="minorHAnsi"/>
          <w:color w:val="000000"/>
          <w:sz w:val="24"/>
          <w:szCs w:val="24"/>
        </w:rPr>
        <w:t>.  Network hosts used to perform (DNS, EPP, etc.) tests (see below) that are located at various global locations.</w:t>
      </w:r>
    </w:p>
    <w:p w14:paraId="6E5E96E2" w14:textId="77777777" w:rsidR="00831DAE" w:rsidRPr="00FA586B" w:rsidRDefault="00831DAE" w:rsidP="00FA586B">
      <w:pPr>
        <w:spacing w:after="240" w:line="240" w:lineRule="auto"/>
        <w:ind w:left="1440" w:hanging="720"/>
        <w:jc w:val="both"/>
        <w:rPr>
          <w:rFonts w:eastAsia="Times New Roman" w:cstheme="minorHAnsi"/>
          <w:color w:val="000000"/>
        </w:rPr>
      </w:pPr>
      <w:bookmarkStart w:id="10" w:name="_DV_M412"/>
      <w:bookmarkEnd w:id="10"/>
      <w:r w:rsidRPr="00FA586B">
        <w:rPr>
          <w:rFonts w:eastAsia="Times New Roman" w:cstheme="minorHAnsi"/>
          <w:color w:val="000000"/>
          <w:sz w:val="24"/>
          <w:szCs w:val="24"/>
        </w:rPr>
        <w:t>1.6.</w:t>
      </w:r>
      <w:r w:rsidRPr="00FA586B">
        <w:rPr>
          <w:rFonts w:eastAsia="Times New Roman" w:cstheme="minorHAnsi"/>
          <w:color w:val="000000"/>
          <w:sz w:val="14"/>
          <w:szCs w:val="14"/>
        </w:rPr>
        <w:t>         </w:t>
      </w:r>
      <w:r w:rsidRPr="00FA586B">
        <w:rPr>
          <w:rFonts w:eastAsia="Times New Roman" w:cstheme="minorHAnsi"/>
          <w:b/>
          <w:bCs/>
          <w:color w:val="000000"/>
          <w:sz w:val="24"/>
          <w:szCs w:val="24"/>
        </w:rPr>
        <w:t>RDDS</w:t>
      </w:r>
      <w:r w:rsidRPr="00FA586B">
        <w:rPr>
          <w:rFonts w:eastAsia="Times New Roman" w:cstheme="minorHAnsi"/>
          <w:color w:val="000000"/>
          <w:sz w:val="24"/>
          <w:szCs w:val="24"/>
        </w:rPr>
        <w:t>.  Registration Data Directory Services refers to the collective of WHOIS and Web-based WHOIS services as defined in Specification 4 of this Agreement.</w:t>
      </w:r>
    </w:p>
    <w:p w14:paraId="3DCF3D5C" w14:textId="77777777" w:rsidR="00831DAE" w:rsidRPr="00FA586B" w:rsidRDefault="00831DAE" w:rsidP="00FA586B">
      <w:pPr>
        <w:spacing w:after="240" w:line="240" w:lineRule="auto"/>
        <w:ind w:left="1440" w:hanging="720"/>
        <w:jc w:val="both"/>
        <w:rPr>
          <w:rFonts w:eastAsia="Times New Roman" w:cstheme="minorHAnsi"/>
          <w:color w:val="000000"/>
        </w:rPr>
      </w:pPr>
      <w:bookmarkStart w:id="11" w:name="_DV_M413"/>
      <w:bookmarkEnd w:id="11"/>
      <w:r w:rsidRPr="00FA586B">
        <w:rPr>
          <w:rFonts w:eastAsia="Times New Roman" w:cstheme="minorHAnsi"/>
          <w:color w:val="000000"/>
          <w:sz w:val="24"/>
          <w:szCs w:val="24"/>
        </w:rPr>
        <w:t>1.7.</w:t>
      </w:r>
      <w:r w:rsidRPr="00FA586B">
        <w:rPr>
          <w:rFonts w:eastAsia="Times New Roman" w:cstheme="minorHAnsi"/>
          <w:color w:val="000000"/>
          <w:sz w:val="14"/>
          <w:szCs w:val="14"/>
        </w:rPr>
        <w:t>         </w:t>
      </w:r>
      <w:r w:rsidRPr="00FA586B">
        <w:rPr>
          <w:rFonts w:eastAsia="Times New Roman" w:cstheme="minorHAnsi"/>
          <w:b/>
          <w:bCs/>
          <w:color w:val="000000"/>
          <w:sz w:val="24"/>
          <w:szCs w:val="24"/>
        </w:rPr>
        <w:t>RTT</w:t>
      </w:r>
      <w:r w:rsidRPr="00FA586B">
        <w:rPr>
          <w:rFonts w:eastAsia="Times New Roman" w:cstheme="minorHAnsi"/>
          <w:color w:val="000000"/>
          <w:sz w:val="24"/>
          <w:szCs w:val="24"/>
        </w:rPr>
        <w:t xml:space="preserve">.  Round-Trip Time or RTT refers to the time measured from the sending of the first bit of the first packet of the sequence of packets needed to make a request until the reception of the last bit of the last packet of the sequence needed to receive the response.  If the client does not receive the whole sequence of packets needed to consider the response </w:t>
      </w:r>
      <w:proofErr w:type="spellStart"/>
      <w:r w:rsidRPr="00FA586B">
        <w:rPr>
          <w:rFonts w:eastAsia="Times New Roman" w:cstheme="minorHAnsi"/>
          <w:color w:val="000000"/>
          <w:sz w:val="24"/>
          <w:szCs w:val="24"/>
        </w:rPr>
        <w:t>as</w:t>
      </w:r>
      <w:proofErr w:type="spellEnd"/>
      <w:r w:rsidRPr="00FA586B">
        <w:rPr>
          <w:rFonts w:eastAsia="Times New Roman" w:cstheme="minorHAnsi"/>
          <w:color w:val="000000"/>
          <w:sz w:val="24"/>
          <w:szCs w:val="24"/>
        </w:rPr>
        <w:t xml:space="preserve"> received, the request will be considered unanswered.</w:t>
      </w:r>
    </w:p>
    <w:p w14:paraId="5271C392" w14:textId="77777777" w:rsidR="00831DAE" w:rsidRPr="00FA586B" w:rsidRDefault="00831DAE" w:rsidP="00FA586B">
      <w:pPr>
        <w:spacing w:after="240" w:line="240" w:lineRule="auto"/>
        <w:ind w:left="1440" w:hanging="720"/>
        <w:jc w:val="both"/>
        <w:rPr>
          <w:rFonts w:eastAsia="Times New Roman" w:cstheme="minorHAnsi"/>
          <w:color w:val="000000"/>
        </w:rPr>
      </w:pPr>
      <w:bookmarkStart w:id="12" w:name="_DV_M414"/>
      <w:bookmarkEnd w:id="12"/>
      <w:r w:rsidRPr="00FA586B">
        <w:rPr>
          <w:rFonts w:eastAsia="Times New Roman" w:cstheme="minorHAnsi"/>
          <w:color w:val="000000"/>
          <w:sz w:val="24"/>
          <w:szCs w:val="24"/>
        </w:rPr>
        <w:t>1.8.</w:t>
      </w:r>
      <w:r w:rsidRPr="00FA586B">
        <w:rPr>
          <w:rFonts w:eastAsia="Times New Roman" w:cstheme="minorHAnsi"/>
          <w:color w:val="000000"/>
          <w:sz w:val="14"/>
          <w:szCs w:val="14"/>
        </w:rPr>
        <w:t>         </w:t>
      </w:r>
      <w:r w:rsidRPr="00FA586B">
        <w:rPr>
          <w:rFonts w:eastAsia="Times New Roman" w:cstheme="minorHAnsi"/>
          <w:b/>
          <w:bCs/>
          <w:color w:val="000000"/>
          <w:sz w:val="24"/>
          <w:szCs w:val="24"/>
        </w:rPr>
        <w:t>SLR</w:t>
      </w:r>
      <w:r w:rsidRPr="00FA586B">
        <w:rPr>
          <w:rFonts w:eastAsia="Times New Roman" w:cstheme="minorHAnsi"/>
          <w:color w:val="000000"/>
          <w:sz w:val="24"/>
          <w:szCs w:val="24"/>
        </w:rPr>
        <w:t>.  Service Level Requirement is the level of service expected for a certain parameter being measured in a Service Level Agreement (SLA).</w:t>
      </w:r>
    </w:p>
    <w:p w14:paraId="71688703" w14:textId="77777777" w:rsidR="00831DAE" w:rsidRPr="00FA586B" w:rsidRDefault="00831DAE" w:rsidP="00FA586B">
      <w:pPr>
        <w:spacing w:after="240" w:line="240" w:lineRule="auto"/>
        <w:ind w:left="720" w:hanging="720"/>
        <w:jc w:val="both"/>
        <w:rPr>
          <w:rFonts w:eastAsia="Times New Roman" w:cstheme="minorHAnsi"/>
          <w:color w:val="000000"/>
        </w:rPr>
      </w:pPr>
      <w:bookmarkStart w:id="13" w:name="specification10.2"/>
      <w:bookmarkStart w:id="14" w:name="_DV_M415"/>
      <w:bookmarkEnd w:id="13"/>
      <w:bookmarkEnd w:id="14"/>
      <w:r w:rsidRPr="00FA586B">
        <w:rPr>
          <w:rFonts w:eastAsia="Times New Roman" w:cstheme="minorHAnsi"/>
          <w:color w:val="000000"/>
          <w:sz w:val="24"/>
          <w:szCs w:val="24"/>
        </w:rPr>
        <w:t>2.</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Service Level Agreement Matrix</w:t>
      </w:r>
    </w:p>
    <w:tbl>
      <w:tblPr>
        <w:tblW w:w="0" w:type="auto"/>
        <w:tblCellMar>
          <w:left w:w="0" w:type="dxa"/>
          <w:right w:w="0" w:type="dxa"/>
        </w:tblCellMar>
        <w:tblLook w:val="04A0" w:firstRow="1" w:lastRow="0" w:firstColumn="1" w:lastColumn="0" w:noHBand="0" w:noVBand="1"/>
      </w:tblPr>
      <w:tblGrid>
        <w:gridCol w:w="999"/>
        <w:gridCol w:w="3425"/>
        <w:gridCol w:w="4916"/>
      </w:tblGrid>
      <w:tr w:rsidR="00831DAE" w:rsidRPr="00FA586B" w14:paraId="3B315BC7" w14:textId="77777777" w:rsidTr="00831DAE">
        <w:trPr>
          <w:trHeight w:val="432"/>
        </w:trPr>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106929"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rPr>
              <w:lastRenderedPageBreak/>
              <w:t> </w:t>
            </w:r>
          </w:p>
        </w:tc>
        <w:tc>
          <w:tcPr>
            <w:tcW w:w="35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A9F3976"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Parameter</w:t>
            </w:r>
          </w:p>
        </w:tc>
        <w:tc>
          <w:tcPr>
            <w:tcW w:w="50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96C4F77"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SLR (monthly basis)</w:t>
            </w:r>
          </w:p>
        </w:tc>
      </w:tr>
      <w:tr w:rsidR="00831DAE" w:rsidRPr="00FA586B" w14:paraId="2096D245"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9AA912"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DNS</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1B551832"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DNS service availability</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2A8DE4FF"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0 min downtime = 100% availability</w:t>
            </w:r>
          </w:p>
        </w:tc>
      </w:tr>
      <w:tr w:rsidR="00831DAE" w:rsidRPr="00FA586B" w14:paraId="63057DB5"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0D6D6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F2B7F3A"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DNS name server availability</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42BCE0B6"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432 min of downtime (</w:t>
            </w:r>
            <w:r w:rsidRPr="00FA586B">
              <w:rPr>
                <w:rFonts w:eastAsia="Times New Roman" w:cstheme="minorHAnsi"/>
                <w:sz w:val="24"/>
                <w:szCs w:val="24"/>
              </w:rPr>
              <w:t> 99%)</w:t>
            </w:r>
          </w:p>
        </w:tc>
      </w:tr>
      <w:tr w:rsidR="00831DAE" w:rsidRPr="00FA586B" w14:paraId="58941BCC"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B46F8E"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9287C84"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TCP DNS resolution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213DBD4E"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1500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95% of the queries</w:t>
            </w:r>
          </w:p>
        </w:tc>
      </w:tr>
      <w:tr w:rsidR="00831DAE" w:rsidRPr="00FA586B" w14:paraId="3202B650"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FB3F5F"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5BAE651"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UDP DNS resolution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1E22A438"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500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95% of the queries</w:t>
            </w:r>
          </w:p>
        </w:tc>
      </w:tr>
      <w:tr w:rsidR="00831DAE" w:rsidRPr="00FA586B" w14:paraId="3AD9DACE"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18D6D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2CF76773"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DNS update time</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2A488317"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60 min, for at least 95% of the probes</w:t>
            </w:r>
          </w:p>
        </w:tc>
      </w:tr>
      <w:tr w:rsidR="00831DAE" w:rsidRPr="00FA586B" w14:paraId="1F81AF31"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BD552"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RDDS</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25238561"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RDDS availability</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5EC0A4DE"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864 min of downtime (</w:t>
            </w:r>
            <w:r w:rsidRPr="00FA586B">
              <w:rPr>
                <w:rFonts w:eastAsia="Times New Roman" w:cstheme="minorHAnsi"/>
                <w:sz w:val="24"/>
                <w:szCs w:val="24"/>
              </w:rPr>
              <w:t> 98%)</w:t>
            </w:r>
          </w:p>
        </w:tc>
      </w:tr>
      <w:tr w:rsidR="00831DAE" w:rsidRPr="00FA586B" w14:paraId="2A824D84"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2ABCC6"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B98C6D3"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RDDS query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2F10971F"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2000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95% of the queries</w:t>
            </w:r>
          </w:p>
        </w:tc>
      </w:tr>
      <w:tr w:rsidR="00831DAE" w:rsidRPr="00FA586B" w14:paraId="2DB2FDEF"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47ED8"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4FE2FFA8"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RDDS update time</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5276AC0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60 min, for at least 95% of the probes</w:t>
            </w:r>
          </w:p>
        </w:tc>
      </w:tr>
      <w:tr w:rsidR="00831DAE" w:rsidRPr="00FA586B" w14:paraId="221E90BE"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C48EC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EPP</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DA6DAD5"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EPP service availability</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05261C76"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864 min of downtime (</w:t>
            </w:r>
            <w:r w:rsidRPr="00FA586B">
              <w:rPr>
                <w:rFonts w:eastAsia="Times New Roman" w:cstheme="minorHAnsi"/>
                <w:sz w:val="24"/>
                <w:szCs w:val="24"/>
              </w:rPr>
              <w:t> 98%)</w:t>
            </w:r>
          </w:p>
        </w:tc>
      </w:tr>
      <w:tr w:rsidR="00831DAE" w:rsidRPr="00FA586B" w14:paraId="51A6D859"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A39381"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635E8478"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EPP session-command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3C0CC9CF"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4000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90% of the commands</w:t>
            </w:r>
          </w:p>
        </w:tc>
      </w:tr>
      <w:tr w:rsidR="00831DAE" w:rsidRPr="00FA586B" w14:paraId="5B91434C"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C6B97C"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4AC673C8"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EPP query-command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3A54A02A"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2000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90% of the commands</w:t>
            </w:r>
          </w:p>
        </w:tc>
      </w:tr>
      <w:tr w:rsidR="00831DAE" w:rsidRPr="00FA586B" w14:paraId="3D497620" w14:textId="77777777" w:rsidTr="00831DAE">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CFA4D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2EF45521"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EPP transform-command RTT</w:t>
            </w:r>
          </w:p>
        </w:tc>
        <w:tc>
          <w:tcPr>
            <w:tcW w:w="5058" w:type="dxa"/>
            <w:tcBorders>
              <w:top w:val="nil"/>
              <w:left w:val="nil"/>
              <w:bottom w:val="single" w:sz="8" w:space="0" w:color="000000"/>
              <w:right w:val="single" w:sz="8" w:space="0" w:color="000000"/>
            </w:tcBorders>
            <w:tcMar>
              <w:top w:w="0" w:type="dxa"/>
              <w:left w:w="108" w:type="dxa"/>
              <w:bottom w:w="0" w:type="dxa"/>
              <w:right w:w="108" w:type="dxa"/>
            </w:tcMar>
            <w:hideMark/>
          </w:tcPr>
          <w:p w14:paraId="6E72984B"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sz w:val="24"/>
                <w:szCs w:val="24"/>
              </w:rPr>
              <w:t xml:space="preserve"> 4000 </w:t>
            </w:r>
            <w:proofErr w:type="spellStart"/>
            <w:r w:rsidRPr="00FA586B">
              <w:rPr>
                <w:rFonts w:eastAsia="Times New Roman" w:cstheme="minorHAnsi"/>
                <w:sz w:val="24"/>
                <w:szCs w:val="24"/>
              </w:rPr>
              <w:t>ms</w:t>
            </w:r>
            <w:proofErr w:type="spellEnd"/>
            <w:r w:rsidRPr="00FA586B">
              <w:rPr>
                <w:rFonts w:eastAsia="Times New Roman" w:cstheme="minorHAnsi"/>
                <w:sz w:val="24"/>
                <w:szCs w:val="24"/>
              </w:rPr>
              <w:t>, for at least 90% of the commands</w:t>
            </w:r>
          </w:p>
        </w:tc>
      </w:tr>
    </w:tbl>
    <w:p w14:paraId="46456D49" w14:textId="77777777" w:rsidR="00831DAE" w:rsidRPr="00FA586B" w:rsidRDefault="00831DAE" w:rsidP="00FA586B">
      <w:pPr>
        <w:spacing w:after="0" w:line="240" w:lineRule="auto"/>
        <w:jc w:val="both"/>
        <w:rPr>
          <w:rFonts w:eastAsia="Times New Roman" w:cstheme="minorHAnsi"/>
          <w:color w:val="000000"/>
        </w:rPr>
      </w:pPr>
      <w:r w:rsidRPr="00FA586B">
        <w:rPr>
          <w:rFonts w:eastAsia="Times New Roman" w:cstheme="minorHAnsi"/>
          <w:color w:val="000000"/>
          <w:sz w:val="24"/>
          <w:szCs w:val="24"/>
        </w:rPr>
        <w:t> </w:t>
      </w:r>
    </w:p>
    <w:p w14:paraId="707E642E" w14:textId="77777777" w:rsidR="00831DAE" w:rsidRPr="00FA586B" w:rsidRDefault="00831DAE" w:rsidP="00FA586B">
      <w:pPr>
        <w:spacing w:after="240" w:line="240" w:lineRule="auto"/>
        <w:jc w:val="both"/>
        <w:rPr>
          <w:rFonts w:eastAsia="Times New Roman" w:cstheme="minorHAnsi"/>
          <w:color w:val="000000"/>
        </w:rPr>
      </w:pPr>
      <w:bookmarkStart w:id="15" w:name="_DV_M416"/>
      <w:bookmarkEnd w:id="15"/>
      <w:r w:rsidRPr="00FA586B">
        <w:rPr>
          <w:rFonts w:eastAsia="Times New Roman" w:cstheme="minorHAnsi"/>
          <w:color w:val="000000"/>
          <w:sz w:val="24"/>
          <w:szCs w:val="24"/>
        </w:rPr>
        <w:t>Registry Operator is encouraged to do maintenance for the different services at the times and dates of statistically lower traffic for each service.  However, note that there is no provision for planned outages or similar periods of unavailable or slow service; any downtime, be it for maintenance or due to system failures, will be noted simply as downtime and counted for SLA purposes.</w:t>
      </w:r>
    </w:p>
    <w:p w14:paraId="3BD630AC" w14:textId="77777777" w:rsidR="00831DAE" w:rsidRPr="00FA586B" w:rsidRDefault="00831DAE" w:rsidP="00FA586B">
      <w:pPr>
        <w:spacing w:after="240" w:line="240" w:lineRule="auto"/>
        <w:ind w:left="720" w:hanging="720"/>
        <w:jc w:val="both"/>
        <w:rPr>
          <w:rFonts w:eastAsia="Times New Roman" w:cstheme="minorHAnsi"/>
          <w:color w:val="000000"/>
        </w:rPr>
      </w:pPr>
      <w:bookmarkStart w:id="16" w:name="specification10.3"/>
      <w:bookmarkStart w:id="17" w:name="_DV_M417"/>
      <w:bookmarkEnd w:id="16"/>
      <w:bookmarkEnd w:id="17"/>
      <w:r w:rsidRPr="00FA586B">
        <w:rPr>
          <w:rFonts w:eastAsia="Times New Roman" w:cstheme="minorHAnsi"/>
          <w:color w:val="000000"/>
          <w:sz w:val="24"/>
          <w:szCs w:val="24"/>
        </w:rPr>
        <w:t>3.</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DNS</w:t>
      </w:r>
    </w:p>
    <w:p w14:paraId="231608FC" w14:textId="77777777" w:rsidR="00831DAE" w:rsidRPr="00FA586B" w:rsidRDefault="00831DAE" w:rsidP="00FA586B">
      <w:pPr>
        <w:spacing w:after="240" w:line="240" w:lineRule="auto"/>
        <w:ind w:left="1440" w:hanging="720"/>
        <w:jc w:val="both"/>
        <w:rPr>
          <w:rFonts w:eastAsia="Times New Roman" w:cstheme="minorHAnsi"/>
          <w:color w:val="000000"/>
        </w:rPr>
      </w:pPr>
      <w:bookmarkStart w:id="18" w:name="_DV_M418"/>
      <w:bookmarkEnd w:id="18"/>
      <w:r w:rsidRPr="00FA586B">
        <w:rPr>
          <w:rFonts w:eastAsia="Times New Roman" w:cstheme="minorHAnsi"/>
          <w:color w:val="000000"/>
          <w:sz w:val="24"/>
          <w:szCs w:val="24"/>
        </w:rPr>
        <w:t>3.1.</w:t>
      </w:r>
      <w:r w:rsidRPr="00FA586B">
        <w:rPr>
          <w:rFonts w:eastAsia="Times New Roman" w:cstheme="minorHAnsi"/>
          <w:color w:val="000000"/>
          <w:sz w:val="14"/>
          <w:szCs w:val="14"/>
        </w:rPr>
        <w:t>         </w:t>
      </w:r>
      <w:r w:rsidRPr="00FA586B">
        <w:rPr>
          <w:rFonts w:eastAsia="Times New Roman" w:cstheme="minorHAnsi"/>
          <w:b/>
          <w:bCs/>
          <w:color w:val="000000"/>
          <w:sz w:val="24"/>
          <w:szCs w:val="24"/>
        </w:rPr>
        <w:t>DNS service availability</w:t>
      </w:r>
      <w:r w:rsidRPr="00FA586B">
        <w:rPr>
          <w:rFonts w:eastAsia="Times New Roman" w:cstheme="minorHAnsi"/>
          <w:color w:val="000000"/>
          <w:sz w:val="24"/>
          <w:szCs w:val="24"/>
        </w:rPr>
        <w:t>.  Refers to the ability of the group of listed-as-authoritative name servers of a particular domain name (e.g., a TLD), to answer DNS queries from DNS probes.  For the service to be considered available at a particular moment, at least, two of the delegated name servers registered in the DNS must have successful results from “</w:t>
      </w:r>
      <w:r w:rsidRPr="00FA586B">
        <w:rPr>
          <w:rFonts w:eastAsia="Times New Roman" w:cstheme="minorHAnsi"/>
          <w:b/>
          <w:bCs/>
          <w:color w:val="000000"/>
          <w:sz w:val="24"/>
          <w:szCs w:val="24"/>
        </w:rPr>
        <w:t>DNS tests</w:t>
      </w:r>
      <w:r w:rsidRPr="00FA586B">
        <w:rPr>
          <w:rFonts w:eastAsia="Times New Roman" w:cstheme="minorHAnsi"/>
          <w:color w:val="000000"/>
          <w:sz w:val="24"/>
          <w:szCs w:val="24"/>
        </w:rPr>
        <w:t>” to each of their public-DNS registered “</w:t>
      </w:r>
      <w:r w:rsidRPr="00FA586B">
        <w:rPr>
          <w:rFonts w:eastAsia="Times New Roman" w:cstheme="minorHAnsi"/>
          <w:b/>
          <w:bCs/>
          <w:color w:val="000000"/>
          <w:sz w:val="24"/>
          <w:szCs w:val="24"/>
        </w:rPr>
        <w:t>IP addresses</w:t>
      </w:r>
      <w:r w:rsidRPr="00FA586B">
        <w:rPr>
          <w:rFonts w:eastAsia="Times New Roman" w:cstheme="minorHAnsi"/>
          <w:color w:val="000000"/>
          <w:sz w:val="24"/>
          <w:szCs w:val="24"/>
        </w:rPr>
        <w:t>” to which the name server resolves.  If 51% or more of the DNS testing probes see the service as unavailable during a given time, the DNS service will be considered unavailable.</w:t>
      </w:r>
    </w:p>
    <w:p w14:paraId="1F635E80" w14:textId="77777777" w:rsidR="00831DAE" w:rsidRPr="00FA586B" w:rsidRDefault="00831DAE" w:rsidP="00FA586B">
      <w:pPr>
        <w:spacing w:after="240" w:line="240" w:lineRule="auto"/>
        <w:ind w:left="1440" w:hanging="720"/>
        <w:jc w:val="both"/>
        <w:rPr>
          <w:rFonts w:eastAsia="Times New Roman" w:cstheme="minorHAnsi"/>
          <w:color w:val="000000"/>
        </w:rPr>
      </w:pPr>
      <w:bookmarkStart w:id="19" w:name="_DV_M419"/>
      <w:bookmarkEnd w:id="19"/>
      <w:r w:rsidRPr="00FA586B">
        <w:rPr>
          <w:rFonts w:eastAsia="Times New Roman" w:cstheme="minorHAnsi"/>
          <w:color w:val="000000"/>
          <w:sz w:val="24"/>
          <w:szCs w:val="24"/>
        </w:rPr>
        <w:t>3.2.</w:t>
      </w:r>
      <w:r w:rsidRPr="00FA586B">
        <w:rPr>
          <w:rFonts w:eastAsia="Times New Roman" w:cstheme="minorHAnsi"/>
          <w:color w:val="000000"/>
          <w:sz w:val="14"/>
          <w:szCs w:val="14"/>
        </w:rPr>
        <w:t>         </w:t>
      </w:r>
      <w:r w:rsidRPr="00FA586B">
        <w:rPr>
          <w:rFonts w:eastAsia="Times New Roman" w:cstheme="minorHAnsi"/>
          <w:b/>
          <w:bCs/>
          <w:color w:val="000000"/>
          <w:sz w:val="24"/>
          <w:szCs w:val="24"/>
        </w:rPr>
        <w:t>DNS name server availability</w:t>
      </w:r>
      <w:r w:rsidRPr="00FA586B">
        <w:rPr>
          <w:rFonts w:eastAsia="Times New Roman" w:cstheme="minorHAnsi"/>
          <w:color w:val="000000"/>
          <w:sz w:val="24"/>
          <w:szCs w:val="24"/>
        </w:rPr>
        <w:t>.  Refers to the ability of a public-DNS registered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of a particular name server listed as authoritative for a domain name, to answer DNS queries from an Internet user.  All the public DNS-registered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of all name servers of the domain name being monitored shall be tested individually.  If 51% or more of the DNS testing probes get undefined/unanswered results from “</w:t>
      </w:r>
      <w:r w:rsidRPr="00FA586B">
        <w:rPr>
          <w:rFonts w:eastAsia="Times New Roman" w:cstheme="minorHAnsi"/>
          <w:b/>
          <w:bCs/>
          <w:color w:val="000000"/>
          <w:sz w:val="24"/>
          <w:szCs w:val="24"/>
        </w:rPr>
        <w:t>DNS tests</w:t>
      </w:r>
      <w:r w:rsidRPr="00FA586B">
        <w:rPr>
          <w:rFonts w:eastAsia="Times New Roman" w:cstheme="minorHAnsi"/>
          <w:color w:val="000000"/>
          <w:sz w:val="24"/>
          <w:szCs w:val="24"/>
        </w:rPr>
        <w:t>” to a name server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during a given time, the name server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will be considered unavailable.</w:t>
      </w:r>
    </w:p>
    <w:p w14:paraId="422D1BC2" w14:textId="77777777" w:rsidR="00831DAE" w:rsidRPr="00FA586B" w:rsidRDefault="00831DAE" w:rsidP="00FA586B">
      <w:pPr>
        <w:spacing w:after="240" w:line="240" w:lineRule="auto"/>
        <w:ind w:left="1440" w:hanging="720"/>
        <w:jc w:val="both"/>
        <w:rPr>
          <w:rFonts w:eastAsia="Times New Roman" w:cstheme="minorHAnsi"/>
          <w:color w:val="000000"/>
        </w:rPr>
      </w:pPr>
      <w:bookmarkStart w:id="20" w:name="_DV_M420"/>
      <w:bookmarkEnd w:id="20"/>
      <w:r w:rsidRPr="00FA586B">
        <w:rPr>
          <w:rFonts w:eastAsia="Times New Roman" w:cstheme="minorHAnsi"/>
          <w:color w:val="000000"/>
          <w:sz w:val="24"/>
          <w:szCs w:val="24"/>
        </w:rPr>
        <w:t>3.3.</w:t>
      </w:r>
      <w:r w:rsidRPr="00FA586B">
        <w:rPr>
          <w:rFonts w:eastAsia="Times New Roman" w:cstheme="minorHAnsi"/>
          <w:color w:val="000000"/>
          <w:sz w:val="14"/>
          <w:szCs w:val="14"/>
        </w:rPr>
        <w:t>         </w:t>
      </w:r>
      <w:r w:rsidRPr="00FA586B">
        <w:rPr>
          <w:rFonts w:eastAsia="Times New Roman" w:cstheme="minorHAnsi"/>
          <w:b/>
          <w:bCs/>
          <w:color w:val="000000"/>
          <w:sz w:val="24"/>
          <w:szCs w:val="24"/>
        </w:rPr>
        <w:t>UDP DNS resolution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two packets, the UDP DNS query and the corresponding UDP DNS response.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 times greater than the time specified in the relevant </w:t>
      </w:r>
      <w:r w:rsidRPr="00FA586B">
        <w:rPr>
          <w:rFonts w:eastAsia="Times New Roman" w:cstheme="minorHAnsi"/>
          <w:b/>
          <w:bCs/>
          <w:color w:val="000000"/>
          <w:sz w:val="24"/>
          <w:szCs w:val="24"/>
        </w:rPr>
        <w:t>SLR</w:t>
      </w:r>
      <w:r w:rsidRPr="00FA586B">
        <w:rPr>
          <w:rFonts w:eastAsia="Times New Roman" w:cstheme="minorHAnsi"/>
          <w:color w:val="000000"/>
          <w:sz w:val="24"/>
          <w:szCs w:val="24"/>
        </w:rPr>
        <w:t>,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578EB159" w14:textId="77777777" w:rsidR="00831DAE" w:rsidRPr="00FA586B" w:rsidRDefault="00831DAE" w:rsidP="00FA586B">
      <w:pPr>
        <w:spacing w:after="240" w:line="240" w:lineRule="auto"/>
        <w:ind w:left="1440" w:hanging="720"/>
        <w:jc w:val="both"/>
        <w:rPr>
          <w:rFonts w:eastAsia="Times New Roman" w:cstheme="minorHAnsi"/>
          <w:color w:val="000000"/>
        </w:rPr>
      </w:pPr>
      <w:bookmarkStart w:id="21" w:name="_DV_M421"/>
      <w:bookmarkEnd w:id="21"/>
      <w:r w:rsidRPr="00FA586B">
        <w:rPr>
          <w:rFonts w:eastAsia="Times New Roman" w:cstheme="minorHAnsi"/>
          <w:color w:val="000000"/>
          <w:sz w:val="24"/>
          <w:szCs w:val="24"/>
        </w:rPr>
        <w:lastRenderedPageBreak/>
        <w:t>3.4.</w:t>
      </w:r>
      <w:r w:rsidRPr="00FA586B">
        <w:rPr>
          <w:rFonts w:eastAsia="Times New Roman" w:cstheme="minorHAnsi"/>
          <w:color w:val="000000"/>
          <w:sz w:val="14"/>
          <w:szCs w:val="14"/>
        </w:rPr>
        <w:t>         </w:t>
      </w:r>
      <w:r w:rsidRPr="00FA586B">
        <w:rPr>
          <w:rFonts w:eastAsia="Times New Roman" w:cstheme="minorHAnsi"/>
          <w:b/>
          <w:bCs/>
          <w:color w:val="000000"/>
          <w:sz w:val="24"/>
          <w:szCs w:val="24"/>
        </w:rPr>
        <w:t>TCP DNS resolution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packets from the start of the TCP connection to its end, including the reception of the DNS response for only one DNS query.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 times greater than the time specified in the relevant </w:t>
      </w:r>
      <w:r w:rsidRPr="00FA586B">
        <w:rPr>
          <w:rFonts w:eastAsia="Times New Roman" w:cstheme="minorHAnsi"/>
          <w:b/>
          <w:bCs/>
          <w:color w:val="000000"/>
          <w:sz w:val="24"/>
          <w:szCs w:val="24"/>
        </w:rPr>
        <w:t>SLR</w:t>
      </w:r>
      <w:r w:rsidRPr="00FA586B">
        <w:rPr>
          <w:rFonts w:eastAsia="Times New Roman" w:cstheme="minorHAnsi"/>
          <w:color w:val="000000"/>
          <w:sz w:val="24"/>
          <w:szCs w:val="24"/>
        </w:rPr>
        <w:t>,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1836954D" w14:textId="77777777" w:rsidR="00831DAE" w:rsidRPr="00FA586B" w:rsidRDefault="00831DAE" w:rsidP="00FA586B">
      <w:pPr>
        <w:spacing w:after="240" w:line="240" w:lineRule="auto"/>
        <w:ind w:left="1440" w:hanging="720"/>
        <w:jc w:val="both"/>
        <w:rPr>
          <w:rFonts w:eastAsia="Times New Roman" w:cstheme="minorHAnsi"/>
          <w:color w:val="000000"/>
        </w:rPr>
      </w:pPr>
      <w:bookmarkStart w:id="22" w:name="_DV_M422"/>
      <w:bookmarkEnd w:id="22"/>
      <w:r w:rsidRPr="00FA586B">
        <w:rPr>
          <w:rFonts w:eastAsia="Times New Roman" w:cstheme="minorHAnsi"/>
          <w:color w:val="000000"/>
          <w:sz w:val="24"/>
          <w:szCs w:val="24"/>
        </w:rPr>
        <w:t>3.5.</w:t>
      </w:r>
      <w:r w:rsidRPr="00FA586B">
        <w:rPr>
          <w:rFonts w:eastAsia="Times New Roman" w:cstheme="minorHAnsi"/>
          <w:color w:val="000000"/>
          <w:sz w:val="14"/>
          <w:szCs w:val="14"/>
        </w:rPr>
        <w:t>         </w:t>
      </w:r>
      <w:r w:rsidRPr="00FA586B">
        <w:rPr>
          <w:rFonts w:eastAsia="Times New Roman" w:cstheme="minorHAnsi"/>
          <w:b/>
          <w:bCs/>
          <w:color w:val="000000"/>
          <w:sz w:val="24"/>
          <w:szCs w:val="24"/>
        </w:rPr>
        <w:t>DNS resolution RTT</w:t>
      </w:r>
      <w:r w:rsidRPr="00FA586B">
        <w:rPr>
          <w:rFonts w:eastAsia="Times New Roman" w:cstheme="minorHAnsi"/>
          <w:color w:val="000000"/>
          <w:sz w:val="24"/>
          <w:szCs w:val="24"/>
        </w:rPr>
        <w:t>.  Refers to either “</w:t>
      </w:r>
      <w:r w:rsidRPr="00FA586B">
        <w:rPr>
          <w:rFonts w:eastAsia="Times New Roman" w:cstheme="minorHAnsi"/>
          <w:b/>
          <w:bCs/>
          <w:color w:val="000000"/>
          <w:sz w:val="24"/>
          <w:szCs w:val="24"/>
        </w:rPr>
        <w:t>UDP DNS resolution RTT</w:t>
      </w:r>
      <w:r w:rsidRPr="00FA586B">
        <w:rPr>
          <w:rFonts w:eastAsia="Times New Roman" w:cstheme="minorHAnsi"/>
          <w:color w:val="000000"/>
          <w:sz w:val="24"/>
          <w:szCs w:val="24"/>
        </w:rPr>
        <w:t>” or “</w:t>
      </w:r>
      <w:r w:rsidRPr="00FA586B">
        <w:rPr>
          <w:rFonts w:eastAsia="Times New Roman" w:cstheme="minorHAnsi"/>
          <w:b/>
          <w:bCs/>
          <w:color w:val="000000"/>
          <w:sz w:val="24"/>
          <w:szCs w:val="24"/>
        </w:rPr>
        <w:t>TCP DNS resolution RTT</w:t>
      </w:r>
      <w:r w:rsidRPr="00FA586B">
        <w:rPr>
          <w:rFonts w:eastAsia="Times New Roman" w:cstheme="minorHAnsi"/>
          <w:color w:val="000000"/>
          <w:sz w:val="24"/>
          <w:szCs w:val="24"/>
        </w:rPr>
        <w:t>”.</w:t>
      </w:r>
    </w:p>
    <w:p w14:paraId="010A6904" w14:textId="77777777" w:rsidR="00831DAE" w:rsidRPr="00FA586B" w:rsidRDefault="00831DAE" w:rsidP="00FA586B">
      <w:pPr>
        <w:spacing w:after="240" w:line="240" w:lineRule="auto"/>
        <w:ind w:left="1440" w:hanging="720"/>
        <w:jc w:val="both"/>
        <w:rPr>
          <w:rFonts w:eastAsia="Times New Roman" w:cstheme="minorHAnsi"/>
          <w:color w:val="000000"/>
        </w:rPr>
      </w:pPr>
      <w:bookmarkStart w:id="23" w:name="_DV_M423"/>
      <w:bookmarkEnd w:id="23"/>
      <w:r w:rsidRPr="00FA586B">
        <w:rPr>
          <w:rFonts w:eastAsia="Times New Roman" w:cstheme="minorHAnsi"/>
          <w:color w:val="000000"/>
          <w:sz w:val="24"/>
          <w:szCs w:val="24"/>
        </w:rPr>
        <w:t>3.6.</w:t>
      </w:r>
      <w:r w:rsidRPr="00FA586B">
        <w:rPr>
          <w:rFonts w:eastAsia="Times New Roman" w:cstheme="minorHAnsi"/>
          <w:color w:val="000000"/>
          <w:sz w:val="14"/>
          <w:szCs w:val="14"/>
        </w:rPr>
        <w:t>         </w:t>
      </w:r>
      <w:r w:rsidRPr="00FA586B">
        <w:rPr>
          <w:rFonts w:eastAsia="Times New Roman" w:cstheme="minorHAnsi"/>
          <w:b/>
          <w:bCs/>
          <w:color w:val="000000"/>
          <w:sz w:val="24"/>
          <w:szCs w:val="24"/>
        </w:rPr>
        <w:t>DNS update time</w:t>
      </w:r>
      <w:r w:rsidRPr="00FA586B">
        <w:rPr>
          <w:rFonts w:eastAsia="Times New Roman" w:cstheme="minorHAnsi"/>
          <w:color w:val="000000"/>
          <w:sz w:val="24"/>
          <w:szCs w:val="24"/>
        </w:rPr>
        <w:t>.  Refers to the time measured from the reception of an EPP confirmation to a transform command on a domain name, until the name servers of the parent domain name answer “</w:t>
      </w:r>
      <w:r w:rsidRPr="00FA586B">
        <w:rPr>
          <w:rFonts w:eastAsia="Times New Roman" w:cstheme="minorHAnsi"/>
          <w:b/>
          <w:bCs/>
          <w:color w:val="000000"/>
          <w:sz w:val="24"/>
          <w:szCs w:val="24"/>
        </w:rPr>
        <w:t>DNS queries</w:t>
      </w:r>
      <w:r w:rsidRPr="00FA586B">
        <w:rPr>
          <w:rFonts w:eastAsia="Times New Roman" w:cstheme="minorHAnsi"/>
          <w:color w:val="000000"/>
          <w:sz w:val="24"/>
          <w:szCs w:val="24"/>
        </w:rPr>
        <w:t>” with data consistent with the change made.  This only applies for changes to DNS information.</w:t>
      </w:r>
    </w:p>
    <w:p w14:paraId="076B8138" w14:textId="77777777" w:rsidR="00831DAE" w:rsidRPr="00FA586B" w:rsidRDefault="00831DAE" w:rsidP="00FA586B">
      <w:pPr>
        <w:spacing w:after="240" w:line="240" w:lineRule="auto"/>
        <w:ind w:left="1440" w:hanging="720"/>
        <w:jc w:val="both"/>
        <w:rPr>
          <w:rFonts w:eastAsia="Times New Roman" w:cstheme="minorHAnsi"/>
          <w:color w:val="000000"/>
        </w:rPr>
      </w:pPr>
      <w:bookmarkStart w:id="24" w:name="_DV_M424"/>
      <w:bookmarkEnd w:id="24"/>
      <w:r w:rsidRPr="00FA586B">
        <w:rPr>
          <w:rFonts w:eastAsia="Times New Roman" w:cstheme="minorHAnsi"/>
          <w:color w:val="000000"/>
          <w:sz w:val="24"/>
          <w:szCs w:val="24"/>
        </w:rPr>
        <w:t>3.7.</w:t>
      </w:r>
      <w:r w:rsidRPr="00FA586B">
        <w:rPr>
          <w:rFonts w:eastAsia="Times New Roman" w:cstheme="minorHAnsi"/>
          <w:color w:val="000000"/>
          <w:sz w:val="14"/>
          <w:szCs w:val="14"/>
        </w:rPr>
        <w:t>         </w:t>
      </w:r>
      <w:r w:rsidRPr="00FA586B">
        <w:rPr>
          <w:rFonts w:eastAsia="Times New Roman" w:cstheme="minorHAnsi"/>
          <w:b/>
          <w:bCs/>
          <w:color w:val="000000"/>
          <w:sz w:val="24"/>
          <w:szCs w:val="24"/>
        </w:rPr>
        <w:t>DNS test</w:t>
      </w:r>
      <w:r w:rsidRPr="00FA586B">
        <w:rPr>
          <w:rFonts w:eastAsia="Times New Roman" w:cstheme="minorHAnsi"/>
          <w:color w:val="000000"/>
          <w:sz w:val="24"/>
          <w:szCs w:val="24"/>
        </w:rPr>
        <w:t>.  Means one non-recursive DNS query sent to a particular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(via UDP or TCP).  If DNSSEC is offered in the queried DNS zone, for a query to be considered answered, the signatures must be positively verified against a corresponding DS record published in the parent zone or, if the parent is not signed, against a statically configured Trust Anchor.  The answer to the query must contain the corresponding information from the Registry System, otherwise the query will be considered unanswered.  A query with a “</w:t>
      </w:r>
      <w:r w:rsidRPr="00FA586B">
        <w:rPr>
          <w:rFonts w:eastAsia="Times New Roman" w:cstheme="minorHAnsi"/>
          <w:b/>
          <w:bCs/>
          <w:color w:val="000000"/>
          <w:sz w:val="24"/>
          <w:szCs w:val="24"/>
        </w:rPr>
        <w:t>DNS resolution RTT</w:t>
      </w:r>
      <w:r w:rsidRPr="00FA586B">
        <w:rPr>
          <w:rFonts w:eastAsia="Times New Roman" w:cstheme="minorHAnsi"/>
          <w:color w:val="000000"/>
          <w:sz w:val="24"/>
          <w:szCs w:val="24"/>
        </w:rPr>
        <w:t>” 5 times higher than the corresponding SLR, will be considered unanswered.  The possible results to a DNS test are:  a number in milliseconds corresponding to the “</w:t>
      </w:r>
      <w:r w:rsidRPr="00FA586B">
        <w:rPr>
          <w:rFonts w:eastAsia="Times New Roman" w:cstheme="minorHAnsi"/>
          <w:b/>
          <w:bCs/>
          <w:color w:val="000000"/>
          <w:sz w:val="24"/>
          <w:szCs w:val="24"/>
        </w:rPr>
        <w:t>DNS resolution RTT</w:t>
      </w:r>
      <w:r w:rsidRPr="00FA586B">
        <w:rPr>
          <w:rFonts w:eastAsia="Times New Roman" w:cstheme="minorHAnsi"/>
          <w:color w:val="000000"/>
          <w:sz w:val="24"/>
          <w:szCs w:val="24"/>
        </w:rPr>
        <w:t>” or, undefined/unanswered.</w:t>
      </w:r>
    </w:p>
    <w:p w14:paraId="4248EEC0" w14:textId="77777777" w:rsidR="00831DAE" w:rsidRPr="00FA586B" w:rsidRDefault="00831DAE" w:rsidP="00FA586B">
      <w:pPr>
        <w:spacing w:after="240" w:line="240" w:lineRule="auto"/>
        <w:ind w:left="1440" w:hanging="720"/>
        <w:jc w:val="both"/>
        <w:rPr>
          <w:rFonts w:eastAsia="Times New Roman" w:cstheme="minorHAnsi"/>
          <w:color w:val="000000"/>
        </w:rPr>
      </w:pPr>
      <w:bookmarkStart w:id="25" w:name="_DV_M425"/>
      <w:bookmarkEnd w:id="25"/>
      <w:r w:rsidRPr="00FA586B">
        <w:rPr>
          <w:rFonts w:eastAsia="Times New Roman" w:cstheme="minorHAnsi"/>
          <w:color w:val="000000"/>
          <w:sz w:val="24"/>
          <w:szCs w:val="24"/>
        </w:rPr>
        <w:t>3.8.</w:t>
      </w:r>
      <w:r w:rsidRPr="00FA586B">
        <w:rPr>
          <w:rFonts w:eastAsia="Times New Roman" w:cstheme="minorHAnsi"/>
          <w:color w:val="000000"/>
          <w:sz w:val="14"/>
          <w:szCs w:val="14"/>
        </w:rPr>
        <w:t>         </w:t>
      </w:r>
      <w:r w:rsidRPr="00FA586B">
        <w:rPr>
          <w:rFonts w:eastAsia="Times New Roman" w:cstheme="minorHAnsi"/>
          <w:b/>
          <w:bCs/>
          <w:color w:val="000000"/>
          <w:sz w:val="24"/>
          <w:szCs w:val="24"/>
        </w:rPr>
        <w:t>Measuring DNS parameters</w:t>
      </w:r>
      <w:r w:rsidRPr="00FA586B">
        <w:rPr>
          <w:rFonts w:eastAsia="Times New Roman" w:cstheme="minorHAnsi"/>
          <w:color w:val="000000"/>
          <w:sz w:val="24"/>
          <w:szCs w:val="24"/>
        </w:rPr>
        <w:t>.  Every minute, every DNS probe will make an UDP or TCP “</w:t>
      </w:r>
      <w:r w:rsidRPr="00FA586B">
        <w:rPr>
          <w:rFonts w:eastAsia="Times New Roman" w:cstheme="minorHAnsi"/>
          <w:b/>
          <w:bCs/>
          <w:color w:val="000000"/>
          <w:sz w:val="24"/>
          <w:szCs w:val="24"/>
        </w:rPr>
        <w:t>DNS test</w:t>
      </w:r>
      <w:r w:rsidRPr="00FA586B">
        <w:rPr>
          <w:rFonts w:eastAsia="Times New Roman" w:cstheme="minorHAnsi"/>
          <w:color w:val="000000"/>
          <w:sz w:val="24"/>
          <w:szCs w:val="24"/>
        </w:rPr>
        <w:t>” to each of the public-DNS registered “</w:t>
      </w:r>
      <w:r w:rsidRPr="00FA586B">
        <w:rPr>
          <w:rFonts w:eastAsia="Times New Roman" w:cstheme="minorHAnsi"/>
          <w:b/>
          <w:bCs/>
          <w:color w:val="000000"/>
          <w:sz w:val="24"/>
          <w:szCs w:val="24"/>
        </w:rPr>
        <w:t>IP addresses</w:t>
      </w:r>
      <w:r w:rsidRPr="00FA586B">
        <w:rPr>
          <w:rFonts w:eastAsia="Times New Roman" w:cstheme="minorHAnsi"/>
          <w:color w:val="000000"/>
          <w:sz w:val="24"/>
          <w:szCs w:val="24"/>
        </w:rPr>
        <w:t>” of the name servers of the domain name being monitored.  If a “</w:t>
      </w:r>
      <w:r w:rsidRPr="00FA586B">
        <w:rPr>
          <w:rFonts w:eastAsia="Times New Roman" w:cstheme="minorHAnsi"/>
          <w:b/>
          <w:bCs/>
          <w:color w:val="000000"/>
          <w:sz w:val="24"/>
          <w:szCs w:val="24"/>
        </w:rPr>
        <w:t>DNS test</w:t>
      </w:r>
      <w:r w:rsidRPr="00FA586B">
        <w:rPr>
          <w:rFonts w:eastAsia="Times New Roman" w:cstheme="minorHAnsi"/>
          <w:color w:val="000000"/>
          <w:sz w:val="24"/>
          <w:szCs w:val="24"/>
        </w:rPr>
        <w:t>” result is undefined/unanswered, the tested IP will be considered unavailable from that probe until it is time to make a new test.</w:t>
      </w:r>
    </w:p>
    <w:p w14:paraId="02FC23F1" w14:textId="77777777" w:rsidR="00831DAE" w:rsidRPr="00FA586B" w:rsidRDefault="00831DAE" w:rsidP="00FA586B">
      <w:pPr>
        <w:spacing w:after="240" w:line="240" w:lineRule="auto"/>
        <w:ind w:left="1440" w:hanging="720"/>
        <w:jc w:val="both"/>
        <w:rPr>
          <w:rFonts w:eastAsia="Times New Roman" w:cstheme="minorHAnsi"/>
          <w:color w:val="000000"/>
        </w:rPr>
      </w:pPr>
      <w:bookmarkStart w:id="26" w:name="_DV_M426"/>
      <w:bookmarkEnd w:id="26"/>
      <w:r w:rsidRPr="00FA586B">
        <w:rPr>
          <w:rFonts w:eastAsia="Times New Roman" w:cstheme="minorHAnsi"/>
          <w:color w:val="000000"/>
          <w:sz w:val="24"/>
          <w:szCs w:val="24"/>
        </w:rPr>
        <w:t>3.9.</w:t>
      </w:r>
      <w:r w:rsidRPr="00FA586B">
        <w:rPr>
          <w:rFonts w:eastAsia="Times New Roman" w:cstheme="minorHAnsi"/>
          <w:color w:val="000000"/>
          <w:sz w:val="14"/>
          <w:szCs w:val="14"/>
        </w:rPr>
        <w:t>         </w:t>
      </w:r>
      <w:r w:rsidRPr="00FA586B">
        <w:rPr>
          <w:rFonts w:eastAsia="Times New Roman" w:cstheme="minorHAnsi"/>
          <w:b/>
          <w:bCs/>
          <w:color w:val="000000"/>
          <w:sz w:val="24"/>
          <w:szCs w:val="24"/>
        </w:rPr>
        <w:t>Collating the results from DNS probes</w:t>
      </w:r>
      <w:r w:rsidRPr="00FA586B">
        <w:rPr>
          <w:rFonts w:eastAsia="Times New Roman" w:cstheme="minorHAnsi"/>
          <w:color w:val="000000"/>
          <w:sz w:val="24"/>
          <w:szCs w:val="24"/>
        </w:rPr>
        <w:t>.  The minimum number of active testing probes to consider a measurement valid is 20 at any given measurement period, otherwise the measurements will be discarded and will be considered inconclusive; during this situation no fault will be flagged against the SLRs.</w:t>
      </w:r>
    </w:p>
    <w:p w14:paraId="1DFB8ACD" w14:textId="77777777" w:rsidR="00831DAE" w:rsidRPr="00FA586B" w:rsidRDefault="00831DAE" w:rsidP="00FA586B">
      <w:pPr>
        <w:spacing w:after="240" w:line="240" w:lineRule="auto"/>
        <w:ind w:left="1440" w:hanging="720"/>
        <w:jc w:val="both"/>
        <w:rPr>
          <w:rFonts w:eastAsia="Times New Roman" w:cstheme="minorHAnsi"/>
          <w:color w:val="000000"/>
        </w:rPr>
      </w:pPr>
      <w:bookmarkStart w:id="27" w:name="_DV_M427"/>
      <w:bookmarkEnd w:id="27"/>
      <w:r w:rsidRPr="00FA586B">
        <w:rPr>
          <w:rFonts w:eastAsia="Times New Roman" w:cstheme="minorHAnsi"/>
          <w:color w:val="000000"/>
          <w:sz w:val="24"/>
          <w:szCs w:val="24"/>
        </w:rPr>
        <w:t>3.10.</w:t>
      </w:r>
      <w:r w:rsidRPr="00FA586B">
        <w:rPr>
          <w:rFonts w:eastAsia="Times New Roman" w:cstheme="minorHAnsi"/>
          <w:color w:val="000000"/>
          <w:sz w:val="14"/>
          <w:szCs w:val="14"/>
        </w:rPr>
        <w:t>      </w:t>
      </w:r>
      <w:r w:rsidRPr="00FA586B">
        <w:rPr>
          <w:rFonts w:eastAsia="Times New Roman" w:cstheme="minorHAnsi"/>
          <w:b/>
          <w:bCs/>
          <w:color w:val="000000"/>
          <w:sz w:val="24"/>
          <w:szCs w:val="24"/>
        </w:rPr>
        <w:t>Distribution of UDP and TCP queries</w:t>
      </w:r>
      <w:r w:rsidRPr="00FA586B">
        <w:rPr>
          <w:rFonts w:eastAsia="Times New Roman" w:cstheme="minorHAnsi"/>
          <w:color w:val="000000"/>
          <w:sz w:val="24"/>
          <w:szCs w:val="24"/>
        </w:rPr>
        <w:t>.  DNS probes will send UDP or TCP “</w:t>
      </w:r>
      <w:r w:rsidRPr="00FA586B">
        <w:rPr>
          <w:rFonts w:eastAsia="Times New Roman" w:cstheme="minorHAnsi"/>
          <w:b/>
          <w:bCs/>
          <w:color w:val="000000"/>
          <w:sz w:val="24"/>
          <w:szCs w:val="24"/>
        </w:rPr>
        <w:t>DNS test</w:t>
      </w:r>
      <w:r w:rsidRPr="00FA586B">
        <w:rPr>
          <w:rFonts w:eastAsia="Times New Roman" w:cstheme="minorHAnsi"/>
          <w:color w:val="000000"/>
          <w:sz w:val="24"/>
          <w:szCs w:val="24"/>
        </w:rPr>
        <w:t>” approximating the distribution of these queries.</w:t>
      </w:r>
    </w:p>
    <w:p w14:paraId="5608A16E" w14:textId="77777777" w:rsidR="00831DAE" w:rsidRPr="00FA586B" w:rsidRDefault="00831DAE" w:rsidP="00FA586B">
      <w:pPr>
        <w:spacing w:after="240" w:line="240" w:lineRule="auto"/>
        <w:ind w:left="1440" w:hanging="720"/>
        <w:jc w:val="both"/>
        <w:rPr>
          <w:rFonts w:eastAsia="Times New Roman" w:cstheme="minorHAnsi"/>
          <w:color w:val="000000"/>
        </w:rPr>
      </w:pPr>
      <w:bookmarkStart w:id="28" w:name="_DV_M428"/>
      <w:bookmarkEnd w:id="28"/>
      <w:r w:rsidRPr="00FA586B">
        <w:rPr>
          <w:rFonts w:eastAsia="Times New Roman" w:cstheme="minorHAnsi"/>
          <w:color w:val="000000"/>
          <w:sz w:val="24"/>
          <w:szCs w:val="24"/>
        </w:rPr>
        <w:t>3.11.</w:t>
      </w:r>
      <w:r w:rsidRPr="00FA586B">
        <w:rPr>
          <w:rFonts w:eastAsia="Times New Roman" w:cstheme="minorHAnsi"/>
          <w:color w:val="000000"/>
          <w:sz w:val="14"/>
          <w:szCs w:val="14"/>
        </w:rPr>
        <w:t>      </w:t>
      </w:r>
      <w:r w:rsidRPr="00FA586B">
        <w:rPr>
          <w:rFonts w:eastAsia="Times New Roman" w:cstheme="minorHAnsi"/>
          <w:b/>
          <w:bCs/>
          <w:color w:val="000000"/>
          <w:sz w:val="24"/>
          <w:szCs w:val="24"/>
        </w:rPr>
        <w:t>Placement of DNS probes</w:t>
      </w:r>
      <w:r w:rsidRPr="00FA586B">
        <w:rPr>
          <w:rFonts w:eastAsia="Times New Roman" w:cstheme="minorHAnsi"/>
          <w:color w:val="000000"/>
          <w:sz w:val="24"/>
          <w:szCs w:val="24"/>
        </w:rPr>
        <w:t>.  Probes for measuring DNS parameters shall be placed as near as possible to the DNS resolvers on the networks with the most users across the different geographic regions; care shall be taken not to deploy probes behind high propagation-delay links, such as satellite links.</w:t>
      </w:r>
    </w:p>
    <w:p w14:paraId="2425EA54" w14:textId="77777777" w:rsidR="00831DAE" w:rsidRPr="00FA586B" w:rsidRDefault="00831DAE" w:rsidP="00FA586B">
      <w:pPr>
        <w:spacing w:after="240" w:line="240" w:lineRule="auto"/>
        <w:ind w:left="720" w:hanging="720"/>
        <w:jc w:val="both"/>
        <w:rPr>
          <w:rFonts w:eastAsia="Times New Roman" w:cstheme="minorHAnsi"/>
          <w:color w:val="000000"/>
        </w:rPr>
      </w:pPr>
      <w:bookmarkStart w:id="29" w:name="specification10.4"/>
      <w:bookmarkStart w:id="30" w:name="_DV_M429"/>
      <w:bookmarkEnd w:id="29"/>
      <w:bookmarkEnd w:id="30"/>
      <w:r w:rsidRPr="00FA586B">
        <w:rPr>
          <w:rFonts w:eastAsia="Times New Roman" w:cstheme="minorHAnsi"/>
          <w:color w:val="000000"/>
          <w:sz w:val="24"/>
          <w:szCs w:val="24"/>
        </w:rPr>
        <w:t>4.</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RDDS</w:t>
      </w:r>
    </w:p>
    <w:p w14:paraId="5D9B6B89" w14:textId="77777777" w:rsidR="00831DAE" w:rsidRPr="00FA586B" w:rsidRDefault="00831DAE" w:rsidP="00FA586B">
      <w:pPr>
        <w:spacing w:after="240" w:line="240" w:lineRule="auto"/>
        <w:ind w:left="1440" w:hanging="720"/>
        <w:jc w:val="both"/>
        <w:rPr>
          <w:rFonts w:eastAsia="Times New Roman" w:cstheme="minorHAnsi"/>
          <w:color w:val="000000"/>
        </w:rPr>
      </w:pPr>
      <w:bookmarkStart w:id="31" w:name="_DV_M430"/>
      <w:bookmarkEnd w:id="31"/>
      <w:r w:rsidRPr="00FA586B">
        <w:rPr>
          <w:rFonts w:eastAsia="Times New Roman" w:cstheme="minorHAnsi"/>
          <w:color w:val="000000"/>
          <w:sz w:val="24"/>
          <w:szCs w:val="24"/>
        </w:rPr>
        <w:lastRenderedPageBreak/>
        <w:t>4.1.</w:t>
      </w:r>
      <w:r w:rsidRPr="00FA586B">
        <w:rPr>
          <w:rFonts w:eastAsia="Times New Roman" w:cstheme="minorHAnsi"/>
          <w:color w:val="000000"/>
          <w:sz w:val="14"/>
          <w:szCs w:val="14"/>
        </w:rPr>
        <w:t>         </w:t>
      </w:r>
      <w:r w:rsidRPr="00FA586B">
        <w:rPr>
          <w:rFonts w:eastAsia="Times New Roman" w:cstheme="minorHAnsi"/>
          <w:b/>
          <w:bCs/>
          <w:color w:val="000000"/>
          <w:sz w:val="24"/>
          <w:szCs w:val="24"/>
        </w:rPr>
        <w:t>RDDS availability</w:t>
      </w:r>
      <w:r w:rsidRPr="00FA586B">
        <w:rPr>
          <w:rFonts w:eastAsia="Times New Roman" w:cstheme="minorHAnsi"/>
          <w:color w:val="000000"/>
          <w:sz w:val="24"/>
          <w:szCs w:val="24"/>
        </w:rPr>
        <w:t>.  Refers to the ability of all the RDDS services for the TLD, to respond to queries from an Internet user with appropriate data from the relevant Registry System.  If 51% or more of the RDDS testing probes see any of the RDDS services as unavailable during a given time, the RDDS will be considered unavailable.</w:t>
      </w:r>
    </w:p>
    <w:p w14:paraId="2E794A80" w14:textId="77777777" w:rsidR="00831DAE" w:rsidRPr="00FA586B" w:rsidRDefault="00831DAE" w:rsidP="00FA586B">
      <w:pPr>
        <w:spacing w:after="240" w:line="240" w:lineRule="auto"/>
        <w:ind w:left="1440" w:hanging="720"/>
        <w:jc w:val="both"/>
        <w:rPr>
          <w:rFonts w:eastAsia="Times New Roman" w:cstheme="minorHAnsi"/>
          <w:color w:val="000000"/>
        </w:rPr>
      </w:pPr>
      <w:bookmarkStart w:id="32" w:name="_DV_M431"/>
      <w:bookmarkEnd w:id="32"/>
      <w:r w:rsidRPr="00FA586B">
        <w:rPr>
          <w:rFonts w:eastAsia="Times New Roman" w:cstheme="minorHAnsi"/>
          <w:color w:val="000000"/>
          <w:sz w:val="24"/>
          <w:szCs w:val="24"/>
        </w:rPr>
        <w:t>4.2.</w:t>
      </w:r>
      <w:r w:rsidRPr="00FA586B">
        <w:rPr>
          <w:rFonts w:eastAsia="Times New Roman" w:cstheme="minorHAnsi"/>
          <w:color w:val="000000"/>
          <w:sz w:val="14"/>
          <w:szCs w:val="14"/>
        </w:rPr>
        <w:t>         </w:t>
      </w:r>
      <w:r w:rsidRPr="00FA586B">
        <w:rPr>
          <w:rFonts w:eastAsia="Times New Roman" w:cstheme="minorHAnsi"/>
          <w:b/>
          <w:bCs/>
          <w:color w:val="000000"/>
          <w:sz w:val="24"/>
          <w:szCs w:val="24"/>
        </w:rPr>
        <w:t>WHOIS query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packets from the start of the TCP connection to its end, including the reception of the WHOIS response.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5-times or more the corresponding SLR,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7E2BE145" w14:textId="77777777" w:rsidR="00831DAE" w:rsidRPr="00FA586B" w:rsidRDefault="00831DAE" w:rsidP="00FA586B">
      <w:pPr>
        <w:spacing w:after="240" w:line="240" w:lineRule="auto"/>
        <w:ind w:left="1440" w:hanging="720"/>
        <w:jc w:val="both"/>
        <w:rPr>
          <w:rFonts w:eastAsia="Times New Roman" w:cstheme="minorHAnsi"/>
          <w:color w:val="000000"/>
        </w:rPr>
      </w:pPr>
      <w:bookmarkStart w:id="33" w:name="_DV_M432"/>
      <w:bookmarkEnd w:id="33"/>
      <w:r w:rsidRPr="00FA586B">
        <w:rPr>
          <w:rFonts w:eastAsia="Times New Roman" w:cstheme="minorHAnsi"/>
          <w:color w:val="000000"/>
          <w:sz w:val="24"/>
          <w:szCs w:val="24"/>
        </w:rPr>
        <w:t>4.3.</w:t>
      </w:r>
      <w:r w:rsidRPr="00FA586B">
        <w:rPr>
          <w:rFonts w:eastAsia="Times New Roman" w:cstheme="minorHAnsi"/>
          <w:color w:val="000000"/>
          <w:sz w:val="14"/>
          <w:szCs w:val="14"/>
        </w:rPr>
        <w:t>         </w:t>
      </w:r>
      <w:r w:rsidRPr="00FA586B">
        <w:rPr>
          <w:rFonts w:eastAsia="Times New Roman" w:cstheme="minorHAnsi"/>
          <w:b/>
          <w:bCs/>
          <w:color w:val="000000"/>
          <w:sz w:val="24"/>
          <w:szCs w:val="24"/>
        </w:rPr>
        <w:t>Web-based-WHOIS query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 </w:t>
      </w:r>
      <w:r w:rsidRPr="00FA586B">
        <w:rPr>
          <w:rFonts w:eastAsia="Times New Roman" w:cstheme="minorHAnsi"/>
          <w:color w:val="000000"/>
          <w:sz w:val="24"/>
          <w:szCs w:val="24"/>
        </w:rPr>
        <w:t>of the sequence of packets from the start of the TCP connection to its end, including the reception of the HTTP response for only one HTTP request.  If Registry Operator implements a multiple-step process to get to the information, only the last step shall be measured.  If the </w:t>
      </w:r>
      <w:proofErr w:type="spellStart"/>
      <w:r w:rsidRPr="00FA586B">
        <w:rPr>
          <w:rFonts w:eastAsia="Times New Roman" w:cstheme="minorHAnsi"/>
          <w:b/>
          <w:bCs/>
          <w:color w:val="000000"/>
          <w:sz w:val="24"/>
          <w:szCs w:val="24"/>
        </w:rPr>
        <w:t>RTT</w:t>
      </w:r>
      <w:r w:rsidRPr="00FA586B">
        <w:rPr>
          <w:rFonts w:eastAsia="Times New Roman" w:cstheme="minorHAnsi"/>
          <w:color w:val="000000"/>
          <w:sz w:val="24"/>
          <w:szCs w:val="24"/>
        </w:rPr>
        <w:t>is</w:t>
      </w:r>
      <w:proofErr w:type="spellEnd"/>
      <w:r w:rsidRPr="00FA586B">
        <w:rPr>
          <w:rFonts w:eastAsia="Times New Roman" w:cstheme="minorHAnsi"/>
          <w:color w:val="000000"/>
          <w:sz w:val="24"/>
          <w:szCs w:val="24"/>
        </w:rPr>
        <w:t xml:space="preserve"> 5-times or more the corresponding SLR, the </w:t>
      </w:r>
      <w:r w:rsidRPr="00FA586B">
        <w:rPr>
          <w:rFonts w:eastAsia="Times New Roman" w:cstheme="minorHAnsi"/>
          <w:b/>
          <w:bCs/>
          <w:color w:val="000000"/>
          <w:sz w:val="24"/>
          <w:szCs w:val="24"/>
        </w:rPr>
        <w:t>RTT </w:t>
      </w:r>
      <w:r w:rsidRPr="00FA586B">
        <w:rPr>
          <w:rFonts w:eastAsia="Times New Roman" w:cstheme="minorHAnsi"/>
          <w:color w:val="000000"/>
          <w:sz w:val="24"/>
          <w:szCs w:val="24"/>
        </w:rPr>
        <w:t>will be considered undefined.</w:t>
      </w:r>
    </w:p>
    <w:p w14:paraId="746E0CEC" w14:textId="77777777" w:rsidR="00831DAE" w:rsidRPr="00FA586B" w:rsidRDefault="00831DAE" w:rsidP="00FA586B">
      <w:pPr>
        <w:spacing w:after="240" w:line="240" w:lineRule="auto"/>
        <w:ind w:left="1440" w:hanging="720"/>
        <w:jc w:val="both"/>
        <w:rPr>
          <w:rFonts w:eastAsia="Times New Roman" w:cstheme="minorHAnsi"/>
          <w:color w:val="000000"/>
        </w:rPr>
      </w:pPr>
      <w:bookmarkStart w:id="34" w:name="_DV_M433"/>
      <w:bookmarkEnd w:id="34"/>
      <w:r w:rsidRPr="00FA586B">
        <w:rPr>
          <w:rFonts w:eastAsia="Times New Roman" w:cstheme="minorHAnsi"/>
          <w:color w:val="000000"/>
          <w:sz w:val="24"/>
          <w:szCs w:val="24"/>
        </w:rPr>
        <w:t>4.4.</w:t>
      </w:r>
      <w:r w:rsidRPr="00FA586B">
        <w:rPr>
          <w:rFonts w:eastAsia="Times New Roman" w:cstheme="minorHAnsi"/>
          <w:color w:val="000000"/>
          <w:sz w:val="14"/>
          <w:szCs w:val="14"/>
        </w:rPr>
        <w:t>         </w:t>
      </w:r>
      <w:r w:rsidRPr="00FA586B">
        <w:rPr>
          <w:rFonts w:eastAsia="Times New Roman" w:cstheme="minorHAnsi"/>
          <w:b/>
          <w:bCs/>
          <w:color w:val="000000"/>
          <w:sz w:val="24"/>
          <w:szCs w:val="24"/>
        </w:rPr>
        <w:t>RDDS query RTT</w:t>
      </w:r>
      <w:r w:rsidRPr="00FA586B">
        <w:rPr>
          <w:rFonts w:eastAsia="Times New Roman" w:cstheme="minorHAnsi"/>
          <w:color w:val="000000"/>
          <w:sz w:val="24"/>
          <w:szCs w:val="24"/>
        </w:rPr>
        <w:t>.  Refers to the collective of “</w:t>
      </w:r>
      <w:r w:rsidRPr="00FA586B">
        <w:rPr>
          <w:rFonts w:eastAsia="Times New Roman" w:cstheme="minorHAnsi"/>
          <w:b/>
          <w:bCs/>
          <w:color w:val="000000"/>
          <w:sz w:val="24"/>
          <w:szCs w:val="24"/>
        </w:rPr>
        <w:t>WHOIS query RTT</w:t>
      </w:r>
      <w:r w:rsidRPr="00FA586B">
        <w:rPr>
          <w:rFonts w:eastAsia="Times New Roman" w:cstheme="minorHAnsi"/>
          <w:color w:val="000000"/>
          <w:sz w:val="24"/>
          <w:szCs w:val="24"/>
        </w:rPr>
        <w:t>” and “</w:t>
      </w:r>
      <w:r w:rsidRPr="00FA586B">
        <w:rPr>
          <w:rFonts w:eastAsia="Times New Roman" w:cstheme="minorHAnsi"/>
          <w:b/>
          <w:bCs/>
          <w:color w:val="000000"/>
          <w:sz w:val="24"/>
          <w:szCs w:val="24"/>
        </w:rPr>
        <w:t>Web-based- WHOIS query RTT</w:t>
      </w:r>
      <w:r w:rsidRPr="00FA586B">
        <w:rPr>
          <w:rFonts w:eastAsia="Times New Roman" w:cstheme="minorHAnsi"/>
          <w:color w:val="000000"/>
          <w:sz w:val="24"/>
          <w:szCs w:val="24"/>
        </w:rPr>
        <w:t>”.</w:t>
      </w:r>
    </w:p>
    <w:p w14:paraId="3CF2B97D" w14:textId="77777777" w:rsidR="00831DAE" w:rsidRPr="00FA586B" w:rsidRDefault="00831DAE" w:rsidP="00FA586B">
      <w:pPr>
        <w:spacing w:after="240" w:line="240" w:lineRule="auto"/>
        <w:ind w:left="1440" w:hanging="720"/>
        <w:jc w:val="both"/>
        <w:rPr>
          <w:rFonts w:eastAsia="Times New Roman" w:cstheme="minorHAnsi"/>
          <w:color w:val="000000"/>
        </w:rPr>
      </w:pPr>
      <w:bookmarkStart w:id="35" w:name="_DV_M434"/>
      <w:bookmarkEnd w:id="35"/>
      <w:r w:rsidRPr="00FA586B">
        <w:rPr>
          <w:rFonts w:eastAsia="Times New Roman" w:cstheme="minorHAnsi"/>
          <w:color w:val="000000"/>
          <w:sz w:val="24"/>
          <w:szCs w:val="24"/>
        </w:rPr>
        <w:t>4.5.</w:t>
      </w:r>
      <w:r w:rsidRPr="00FA586B">
        <w:rPr>
          <w:rFonts w:eastAsia="Times New Roman" w:cstheme="minorHAnsi"/>
          <w:color w:val="000000"/>
          <w:sz w:val="14"/>
          <w:szCs w:val="14"/>
        </w:rPr>
        <w:t>         </w:t>
      </w:r>
      <w:r w:rsidRPr="00FA586B">
        <w:rPr>
          <w:rFonts w:eastAsia="Times New Roman" w:cstheme="minorHAnsi"/>
          <w:b/>
          <w:bCs/>
          <w:color w:val="000000"/>
          <w:sz w:val="24"/>
          <w:szCs w:val="24"/>
        </w:rPr>
        <w:t>RDDS update time</w:t>
      </w:r>
      <w:r w:rsidRPr="00FA586B">
        <w:rPr>
          <w:rFonts w:eastAsia="Times New Roman" w:cstheme="minorHAnsi"/>
          <w:color w:val="000000"/>
          <w:sz w:val="24"/>
          <w:szCs w:val="24"/>
        </w:rPr>
        <w:t>.  Refers to the time measured from the reception of an EPP confirmation to a transform command on a domain name, host or contact, up until the servers of the RDDS services reflect the changes made.</w:t>
      </w:r>
    </w:p>
    <w:p w14:paraId="46C2BEB6" w14:textId="77777777" w:rsidR="00831DAE" w:rsidRPr="00FA586B" w:rsidRDefault="00831DAE" w:rsidP="00FA586B">
      <w:pPr>
        <w:spacing w:after="240" w:line="240" w:lineRule="auto"/>
        <w:ind w:left="1440" w:hanging="720"/>
        <w:jc w:val="both"/>
        <w:rPr>
          <w:rFonts w:eastAsia="Times New Roman" w:cstheme="minorHAnsi"/>
          <w:color w:val="000000"/>
        </w:rPr>
      </w:pPr>
      <w:bookmarkStart w:id="36" w:name="_DV_M435"/>
      <w:bookmarkEnd w:id="36"/>
      <w:r w:rsidRPr="00FA586B">
        <w:rPr>
          <w:rFonts w:eastAsia="Times New Roman" w:cstheme="minorHAnsi"/>
          <w:color w:val="000000"/>
          <w:sz w:val="24"/>
          <w:szCs w:val="24"/>
        </w:rPr>
        <w:t>4.6.</w:t>
      </w:r>
      <w:r w:rsidRPr="00FA586B">
        <w:rPr>
          <w:rFonts w:eastAsia="Times New Roman" w:cstheme="minorHAnsi"/>
          <w:color w:val="000000"/>
          <w:sz w:val="14"/>
          <w:szCs w:val="14"/>
        </w:rPr>
        <w:t>         </w:t>
      </w:r>
      <w:r w:rsidRPr="00FA586B">
        <w:rPr>
          <w:rFonts w:eastAsia="Times New Roman" w:cstheme="minorHAnsi"/>
          <w:b/>
          <w:bCs/>
          <w:color w:val="000000"/>
          <w:sz w:val="24"/>
          <w:szCs w:val="24"/>
        </w:rPr>
        <w:t>RDDS test</w:t>
      </w:r>
      <w:r w:rsidRPr="00FA586B">
        <w:rPr>
          <w:rFonts w:eastAsia="Times New Roman" w:cstheme="minorHAnsi"/>
          <w:color w:val="000000"/>
          <w:sz w:val="24"/>
          <w:szCs w:val="24"/>
        </w:rPr>
        <w:t>.  Means one query sent to a particular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of one of the servers of one of the RDDS services.  Queries shall be about existing objects in the Registry System and the responses must contain the corresponding information otherwise the query will be considered unanswered.  Queries with an </w:t>
      </w:r>
      <w:r w:rsidRPr="00FA586B">
        <w:rPr>
          <w:rFonts w:eastAsia="Times New Roman" w:cstheme="minorHAnsi"/>
          <w:b/>
          <w:bCs/>
          <w:color w:val="000000"/>
          <w:sz w:val="24"/>
          <w:szCs w:val="24"/>
        </w:rPr>
        <w:t>RTT</w:t>
      </w:r>
      <w:r w:rsidRPr="00FA586B">
        <w:rPr>
          <w:rFonts w:eastAsia="Times New Roman" w:cstheme="minorHAnsi"/>
          <w:color w:val="000000"/>
          <w:sz w:val="24"/>
          <w:szCs w:val="24"/>
        </w:rPr>
        <w:t> 5 times higher than the corresponding SLR will be considered as unanswered.  The possible results to an RDDS test are:  a number in milliseconds corresponding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or undefined/unanswered.</w:t>
      </w:r>
    </w:p>
    <w:p w14:paraId="381B1ED7" w14:textId="77777777" w:rsidR="00831DAE" w:rsidRPr="00FA586B" w:rsidRDefault="00831DAE" w:rsidP="00FA586B">
      <w:pPr>
        <w:spacing w:after="240" w:line="240" w:lineRule="auto"/>
        <w:ind w:left="1440" w:hanging="720"/>
        <w:jc w:val="both"/>
        <w:rPr>
          <w:rFonts w:eastAsia="Times New Roman" w:cstheme="minorHAnsi"/>
          <w:color w:val="000000"/>
        </w:rPr>
      </w:pPr>
      <w:bookmarkStart w:id="37" w:name="_DV_M436"/>
      <w:bookmarkEnd w:id="37"/>
      <w:r w:rsidRPr="00FA586B">
        <w:rPr>
          <w:rFonts w:eastAsia="Times New Roman" w:cstheme="minorHAnsi"/>
          <w:color w:val="000000"/>
          <w:sz w:val="24"/>
          <w:szCs w:val="24"/>
        </w:rPr>
        <w:t>4.7.</w:t>
      </w:r>
      <w:r w:rsidRPr="00FA586B">
        <w:rPr>
          <w:rFonts w:eastAsia="Times New Roman" w:cstheme="minorHAnsi"/>
          <w:color w:val="000000"/>
          <w:sz w:val="14"/>
          <w:szCs w:val="14"/>
        </w:rPr>
        <w:t>         </w:t>
      </w:r>
      <w:r w:rsidRPr="00FA586B">
        <w:rPr>
          <w:rFonts w:eastAsia="Times New Roman" w:cstheme="minorHAnsi"/>
          <w:b/>
          <w:bCs/>
          <w:color w:val="000000"/>
          <w:sz w:val="24"/>
          <w:szCs w:val="24"/>
        </w:rPr>
        <w:t>Measuring RDDS parameters</w:t>
      </w:r>
      <w:r w:rsidRPr="00FA586B">
        <w:rPr>
          <w:rFonts w:eastAsia="Times New Roman" w:cstheme="minorHAnsi"/>
          <w:color w:val="000000"/>
          <w:sz w:val="24"/>
          <w:szCs w:val="24"/>
        </w:rPr>
        <w:t>.  Every 5 minutes, RDDS probes will select one IP address from all the public-DNS registered “</w:t>
      </w:r>
      <w:r w:rsidRPr="00FA586B">
        <w:rPr>
          <w:rFonts w:eastAsia="Times New Roman" w:cstheme="minorHAnsi"/>
          <w:b/>
          <w:bCs/>
          <w:color w:val="000000"/>
          <w:sz w:val="24"/>
          <w:szCs w:val="24"/>
        </w:rPr>
        <w:t>IP addresses</w:t>
      </w:r>
      <w:r w:rsidRPr="00FA586B">
        <w:rPr>
          <w:rFonts w:eastAsia="Times New Roman" w:cstheme="minorHAnsi"/>
          <w:color w:val="000000"/>
          <w:sz w:val="24"/>
          <w:szCs w:val="24"/>
        </w:rPr>
        <w:t>” of the servers for each RDDS service of the TLD being monitored and make an “</w:t>
      </w:r>
      <w:r w:rsidRPr="00FA586B">
        <w:rPr>
          <w:rFonts w:eastAsia="Times New Roman" w:cstheme="minorHAnsi"/>
          <w:b/>
          <w:bCs/>
          <w:color w:val="000000"/>
          <w:sz w:val="24"/>
          <w:szCs w:val="24"/>
        </w:rPr>
        <w:t>RDDS test</w:t>
      </w:r>
      <w:r w:rsidRPr="00FA586B">
        <w:rPr>
          <w:rFonts w:eastAsia="Times New Roman" w:cstheme="minorHAnsi"/>
          <w:color w:val="000000"/>
          <w:sz w:val="24"/>
          <w:szCs w:val="24"/>
        </w:rPr>
        <w:t>” to each one.  If an “</w:t>
      </w:r>
      <w:r w:rsidRPr="00FA586B">
        <w:rPr>
          <w:rFonts w:eastAsia="Times New Roman" w:cstheme="minorHAnsi"/>
          <w:b/>
          <w:bCs/>
          <w:color w:val="000000"/>
          <w:sz w:val="24"/>
          <w:szCs w:val="24"/>
        </w:rPr>
        <w:t>RDDS test</w:t>
      </w:r>
      <w:r w:rsidRPr="00FA586B">
        <w:rPr>
          <w:rFonts w:eastAsia="Times New Roman" w:cstheme="minorHAnsi"/>
          <w:color w:val="000000"/>
          <w:sz w:val="24"/>
          <w:szCs w:val="24"/>
        </w:rPr>
        <w:t>” result is undefined/unanswered, the corresponding RDDS service will be considered as unavailable from that probe until it is time to make a new test.</w:t>
      </w:r>
    </w:p>
    <w:p w14:paraId="037AE5F7" w14:textId="77777777" w:rsidR="00831DAE" w:rsidRPr="00FA586B" w:rsidRDefault="00831DAE" w:rsidP="00FA586B">
      <w:pPr>
        <w:spacing w:after="240" w:line="240" w:lineRule="auto"/>
        <w:ind w:left="1440" w:hanging="720"/>
        <w:jc w:val="both"/>
        <w:rPr>
          <w:rFonts w:eastAsia="Times New Roman" w:cstheme="minorHAnsi"/>
          <w:color w:val="000000"/>
        </w:rPr>
      </w:pPr>
      <w:bookmarkStart w:id="38" w:name="_DV_M437"/>
      <w:bookmarkEnd w:id="38"/>
      <w:r w:rsidRPr="00FA586B">
        <w:rPr>
          <w:rFonts w:eastAsia="Times New Roman" w:cstheme="minorHAnsi"/>
          <w:color w:val="000000"/>
          <w:sz w:val="24"/>
          <w:szCs w:val="24"/>
        </w:rPr>
        <w:t>4.8.</w:t>
      </w:r>
      <w:r w:rsidRPr="00FA586B">
        <w:rPr>
          <w:rFonts w:eastAsia="Times New Roman" w:cstheme="minorHAnsi"/>
          <w:color w:val="000000"/>
          <w:sz w:val="14"/>
          <w:szCs w:val="14"/>
        </w:rPr>
        <w:t>         </w:t>
      </w:r>
      <w:r w:rsidRPr="00FA586B">
        <w:rPr>
          <w:rFonts w:eastAsia="Times New Roman" w:cstheme="minorHAnsi"/>
          <w:b/>
          <w:bCs/>
          <w:color w:val="000000"/>
          <w:sz w:val="24"/>
          <w:szCs w:val="24"/>
        </w:rPr>
        <w:t>Collating the results from RDDS probes</w:t>
      </w:r>
      <w:r w:rsidRPr="00FA586B">
        <w:rPr>
          <w:rFonts w:eastAsia="Times New Roman" w:cstheme="minorHAnsi"/>
          <w:color w:val="000000"/>
          <w:sz w:val="24"/>
          <w:szCs w:val="24"/>
        </w:rPr>
        <w:t>.  The minimum number of active testing probes to consider a measurement valid is 10 at any given measurement period, otherwise the measurements will be discarded and will be considered inconclusive; during this situation no fault will be flagged against the SLRs.</w:t>
      </w:r>
    </w:p>
    <w:p w14:paraId="1CD4EFA0" w14:textId="77777777" w:rsidR="00831DAE" w:rsidRPr="00FA586B" w:rsidRDefault="00831DAE" w:rsidP="00FA586B">
      <w:pPr>
        <w:spacing w:after="240" w:line="240" w:lineRule="auto"/>
        <w:ind w:left="1440" w:hanging="720"/>
        <w:jc w:val="both"/>
        <w:rPr>
          <w:rFonts w:eastAsia="Times New Roman" w:cstheme="minorHAnsi"/>
          <w:color w:val="000000"/>
        </w:rPr>
      </w:pPr>
      <w:bookmarkStart w:id="39" w:name="_DV_M438"/>
      <w:bookmarkEnd w:id="39"/>
      <w:r w:rsidRPr="00FA586B">
        <w:rPr>
          <w:rFonts w:eastAsia="Times New Roman" w:cstheme="minorHAnsi"/>
          <w:color w:val="000000"/>
          <w:sz w:val="24"/>
          <w:szCs w:val="24"/>
        </w:rPr>
        <w:lastRenderedPageBreak/>
        <w:t>4.9.</w:t>
      </w:r>
      <w:r w:rsidRPr="00FA586B">
        <w:rPr>
          <w:rFonts w:eastAsia="Times New Roman" w:cstheme="minorHAnsi"/>
          <w:color w:val="000000"/>
          <w:sz w:val="14"/>
          <w:szCs w:val="14"/>
        </w:rPr>
        <w:t>         </w:t>
      </w:r>
      <w:r w:rsidRPr="00FA586B">
        <w:rPr>
          <w:rFonts w:eastAsia="Times New Roman" w:cstheme="minorHAnsi"/>
          <w:b/>
          <w:bCs/>
          <w:color w:val="000000"/>
          <w:sz w:val="24"/>
          <w:szCs w:val="24"/>
        </w:rPr>
        <w:t>Placement of RDDS probes</w:t>
      </w:r>
      <w:r w:rsidRPr="00FA586B">
        <w:rPr>
          <w:rFonts w:eastAsia="Times New Roman" w:cstheme="minorHAnsi"/>
          <w:color w:val="000000"/>
          <w:sz w:val="24"/>
          <w:szCs w:val="24"/>
        </w:rPr>
        <w:t>.  Probes for measuring RDDS parameters shall be placed inside the networks with the most users across the different geographic regions; care shall be taken not to deploy probes behind high propagation-delay links, such as satellite links.</w:t>
      </w:r>
    </w:p>
    <w:p w14:paraId="2FF99E20" w14:textId="77777777" w:rsidR="00831DAE" w:rsidRPr="00FA586B" w:rsidRDefault="00831DAE" w:rsidP="00FA586B">
      <w:pPr>
        <w:spacing w:after="240" w:line="240" w:lineRule="auto"/>
        <w:ind w:left="720" w:hanging="720"/>
        <w:jc w:val="both"/>
        <w:rPr>
          <w:rFonts w:eastAsia="Times New Roman" w:cstheme="minorHAnsi"/>
          <w:color w:val="000000"/>
        </w:rPr>
      </w:pPr>
      <w:bookmarkStart w:id="40" w:name="specification10.5"/>
      <w:bookmarkStart w:id="41" w:name="_DV_M439"/>
      <w:bookmarkEnd w:id="40"/>
      <w:bookmarkEnd w:id="41"/>
      <w:r w:rsidRPr="00FA586B">
        <w:rPr>
          <w:rFonts w:eastAsia="Times New Roman" w:cstheme="minorHAnsi"/>
          <w:color w:val="000000"/>
          <w:sz w:val="24"/>
          <w:szCs w:val="24"/>
        </w:rPr>
        <w:t>5.</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EPP</w:t>
      </w:r>
    </w:p>
    <w:p w14:paraId="1633F2AA" w14:textId="77777777" w:rsidR="00831DAE" w:rsidRPr="00FA586B" w:rsidRDefault="00831DAE" w:rsidP="00FA586B">
      <w:pPr>
        <w:spacing w:after="240" w:line="240" w:lineRule="auto"/>
        <w:ind w:left="1440" w:hanging="720"/>
        <w:jc w:val="both"/>
        <w:rPr>
          <w:rFonts w:eastAsia="Times New Roman" w:cstheme="minorHAnsi"/>
          <w:color w:val="000000"/>
        </w:rPr>
      </w:pPr>
      <w:bookmarkStart w:id="42" w:name="_DV_M440"/>
      <w:bookmarkEnd w:id="42"/>
      <w:r w:rsidRPr="00FA586B">
        <w:rPr>
          <w:rFonts w:eastAsia="Times New Roman" w:cstheme="minorHAnsi"/>
          <w:color w:val="000000"/>
          <w:sz w:val="24"/>
          <w:szCs w:val="24"/>
        </w:rPr>
        <w:t>5.1.</w:t>
      </w:r>
      <w:r w:rsidRPr="00FA586B">
        <w:rPr>
          <w:rFonts w:eastAsia="Times New Roman" w:cstheme="minorHAnsi"/>
          <w:color w:val="000000"/>
          <w:sz w:val="14"/>
          <w:szCs w:val="14"/>
        </w:rPr>
        <w:t>         </w:t>
      </w:r>
      <w:r w:rsidRPr="00FA586B">
        <w:rPr>
          <w:rFonts w:eastAsia="Times New Roman" w:cstheme="minorHAnsi"/>
          <w:b/>
          <w:bCs/>
          <w:color w:val="000000"/>
          <w:sz w:val="24"/>
          <w:szCs w:val="24"/>
        </w:rPr>
        <w:t>EPP service availability</w:t>
      </w:r>
      <w:r w:rsidRPr="00FA586B">
        <w:rPr>
          <w:rFonts w:eastAsia="Times New Roman" w:cstheme="minorHAnsi"/>
          <w:color w:val="000000"/>
          <w:sz w:val="24"/>
          <w:szCs w:val="24"/>
        </w:rPr>
        <w:t>.  Refers to the ability of the TLD EPP servers as a group, to respond to commands from the Registry accredited Registrars, who already have credentials to the servers.  The response shall include appropriate data from the Registry System.  An EPP command with “</w:t>
      </w:r>
      <w:r w:rsidRPr="00FA586B">
        <w:rPr>
          <w:rFonts w:eastAsia="Times New Roman" w:cstheme="minorHAnsi"/>
          <w:b/>
          <w:bCs/>
          <w:color w:val="000000"/>
          <w:sz w:val="24"/>
          <w:szCs w:val="24"/>
        </w:rPr>
        <w:t>EPP command RTT</w:t>
      </w:r>
      <w:r w:rsidRPr="00FA586B">
        <w:rPr>
          <w:rFonts w:eastAsia="Times New Roman" w:cstheme="minorHAnsi"/>
          <w:color w:val="000000"/>
          <w:sz w:val="24"/>
          <w:szCs w:val="24"/>
        </w:rPr>
        <w:t>” 5 times higher than the corresponding SLR will be considered as unanswered.  If 51% or more of the EPP testing probes see the EPP service as unavailable during a given time, the EPP service will be considered unavailable.</w:t>
      </w:r>
    </w:p>
    <w:p w14:paraId="61F130B5" w14:textId="77777777" w:rsidR="00831DAE" w:rsidRPr="00FA586B" w:rsidRDefault="00831DAE" w:rsidP="00FA586B">
      <w:pPr>
        <w:spacing w:after="240" w:line="240" w:lineRule="auto"/>
        <w:ind w:left="1440" w:hanging="720"/>
        <w:jc w:val="both"/>
        <w:rPr>
          <w:rFonts w:eastAsia="Times New Roman" w:cstheme="minorHAnsi"/>
          <w:color w:val="000000"/>
        </w:rPr>
      </w:pPr>
      <w:bookmarkStart w:id="43" w:name="_DV_M441"/>
      <w:bookmarkEnd w:id="43"/>
      <w:r w:rsidRPr="00FA586B">
        <w:rPr>
          <w:rFonts w:eastAsia="Times New Roman" w:cstheme="minorHAnsi"/>
          <w:color w:val="000000"/>
          <w:sz w:val="24"/>
          <w:szCs w:val="24"/>
        </w:rPr>
        <w:t>5.2.</w:t>
      </w:r>
      <w:r w:rsidRPr="00FA586B">
        <w:rPr>
          <w:rFonts w:eastAsia="Times New Roman" w:cstheme="minorHAnsi"/>
          <w:color w:val="000000"/>
          <w:sz w:val="14"/>
          <w:szCs w:val="14"/>
        </w:rPr>
        <w:t>         </w:t>
      </w:r>
      <w:r w:rsidRPr="00FA586B">
        <w:rPr>
          <w:rFonts w:eastAsia="Times New Roman" w:cstheme="minorHAnsi"/>
          <w:b/>
          <w:bCs/>
          <w:color w:val="000000"/>
          <w:sz w:val="24"/>
          <w:szCs w:val="24"/>
        </w:rPr>
        <w:t>EPP session-command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packets that includes the sending of a session command plus the reception of the EPP response for only one EPP session command.  For the login command it will include packets needed for starting the TCP session.  For the logout command it will include packets needed for closing the TCP session.  EPP session commands are those described in section 2.9.1 of EPP RFC 5730.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 times or more the corresponding SLR,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7CE67E7F" w14:textId="77777777" w:rsidR="00831DAE" w:rsidRPr="00FA586B" w:rsidRDefault="00831DAE" w:rsidP="00FA586B">
      <w:pPr>
        <w:spacing w:after="240" w:line="240" w:lineRule="auto"/>
        <w:ind w:left="1440" w:hanging="720"/>
        <w:jc w:val="both"/>
        <w:rPr>
          <w:rFonts w:eastAsia="Times New Roman" w:cstheme="minorHAnsi"/>
          <w:color w:val="000000"/>
        </w:rPr>
      </w:pPr>
      <w:bookmarkStart w:id="44" w:name="_DV_M442"/>
      <w:bookmarkEnd w:id="44"/>
      <w:r w:rsidRPr="00FA586B">
        <w:rPr>
          <w:rFonts w:eastAsia="Times New Roman" w:cstheme="minorHAnsi"/>
          <w:color w:val="000000"/>
          <w:sz w:val="24"/>
          <w:szCs w:val="24"/>
        </w:rPr>
        <w:t>5.3.</w:t>
      </w:r>
      <w:r w:rsidRPr="00FA586B">
        <w:rPr>
          <w:rFonts w:eastAsia="Times New Roman" w:cstheme="minorHAnsi"/>
          <w:color w:val="000000"/>
          <w:sz w:val="14"/>
          <w:szCs w:val="14"/>
        </w:rPr>
        <w:t>         </w:t>
      </w:r>
      <w:r w:rsidRPr="00FA586B">
        <w:rPr>
          <w:rFonts w:eastAsia="Times New Roman" w:cstheme="minorHAnsi"/>
          <w:b/>
          <w:bCs/>
          <w:color w:val="000000"/>
          <w:sz w:val="24"/>
          <w:szCs w:val="24"/>
        </w:rPr>
        <w:t>EPP query-command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packets that includes the sending of a query command plus the reception of the EPP response for only one EPP query command.  It does not include packets needed for the start or close of either the EPP or the TCP session.  EPP query commands are those described in section 2.9.2 of EPP RFC 5730.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5-times or more the corresponding SLR,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318FB9CF" w14:textId="77777777" w:rsidR="00831DAE" w:rsidRPr="00FA586B" w:rsidRDefault="00831DAE" w:rsidP="00FA586B">
      <w:pPr>
        <w:spacing w:after="240" w:line="240" w:lineRule="auto"/>
        <w:ind w:left="1440" w:hanging="720"/>
        <w:jc w:val="both"/>
        <w:rPr>
          <w:rFonts w:eastAsia="Times New Roman" w:cstheme="minorHAnsi"/>
          <w:color w:val="000000"/>
        </w:rPr>
      </w:pPr>
      <w:bookmarkStart w:id="45" w:name="_DV_M443"/>
      <w:bookmarkEnd w:id="45"/>
      <w:r w:rsidRPr="00FA586B">
        <w:rPr>
          <w:rFonts w:eastAsia="Times New Roman" w:cstheme="minorHAnsi"/>
          <w:color w:val="000000"/>
          <w:sz w:val="24"/>
          <w:szCs w:val="24"/>
        </w:rPr>
        <w:t>5.4.</w:t>
      </w:r>
      <w:r w:rsidRPr="00FA586B">
        <w:rPr>
          <w:rFonts w:eastAsia="Times New Roman" w:cstheme="minorHAnsi"/>
          <w:color w:val="000000"/>
          <w:sz w:val="14"/>
          <w:szCs w:val="14"/>
        </w:rPr>
        <w:t>         </w:t>
      </w:r>
      <w:r w:rsidRPr="00FA586B">
        <w:rPr>
          <w:rFonts w:eastAsia="Times New Roman" w:cstheme="minorHAnsi"/>
          <w:b/>
          <w:bCs/>
          <w:color w:val="000000"/>
          <w:sz w:val="24"/>
          <w:szCs w:val="24"/>
        </w:rPr>
        <w:t>EPP transform-command RTT</w:t>
      </w:r>
      <w:r w:rsidRPr="00FA586B">
        <w:rPr>
          <w:rFonts w:eastAsia="Times New Roman" w:cstheme="minorHAnsi"/>
          <w:color w:val="000000"/>
          <w:sz w:val="24"/>
          <w:szCs w:val="24"/>
        </w:rPr>
        <w:t>.  Refers to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of the sequence of packets that includes the sending of a transform command plus the reception of the EPP response for only one EPP transform command.  It does not include packets needed for the start or close of either the EPP or the TCP session.  EPP transform commands are those described in section 2.9.3 of EPP RFC 5730.  If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is 5 times or more the corresponding SLR, the </w:t>
      </w:r>
      <w:r w:rsidRPr="00FA586B">
        <w:rPr>
          <w:rFonts w:eastAsia="Times New Roman" w:cstheme="minorHAnsi"/>
          <w:b/>
          <w:bCs/>
          <w:color w:val="000000"/>
          <w:sz w:val="24"/>
          <w:szCs w:val="24"/>
        </w:rPr>
        <w:t>RTT</w:t>
      </w:r>
      <w:r w:rsidRPr="00FA586B">
        <w:rPr>
          <w:rFonts w:eastAsia="Times New Roman" w:cstheme="minorHAnsi"/>
          <w:color w:val="000000"/>
          <w:sz w:val="24"/>
          <w:szCs w:val="24"/>
        </w:rPr>
        <w:t> will be considered undefined.</w:t>
      </w:r>
    </w:p>
    <w:p w14:paraId="71D814C9" w14:textId="77777777" w:rsidR="00831DAE" w:rsidRPr="00FA586B" w:rsidRDefault="00831DAE" w:rsidP="00FA586B">
      <w:pPr>
        <w:spacing w:after="240" w:line="240" w:lineRule="auto"/>
        <w:ind w:left="1440" w:hanging="720"/>
        <w:jc w:val="both"/>
        <w:rPr>
          <w:rFonts w:eastAsia="Times New Roman" w:cstheme="minorHAnsi"/>
          <w:color w:val="000000"/>
        </w:rPr>
      </w:pPr>
      <w:bookmarkStart w:id="46" w:name="_DV_M444"/>
      <w:bookmarkEnd w:id="46"/>
      <w:r w:rsidRPr="00FA586B">
        <w:rPr>
          <w:rFonts w:eastAsia="Times New Roman" w:cstheme="minorHAnsi"/>
          <w:color w:val="000000"/>
          <w:sz w:val="24"/>
          <w:szCs w:val="24"/>
        </w:rPr>
        <w:t>5.5.</w:t>
      </w:r>
      <w:r w:rsidRPr="00FA586B">
        <w:rPr>
          <w:rFonts w:eastAsia="Times New Roman" w:cstheme="minorHAnsi"/>
          <w:color w:val="000000"/>
          <w:sz w:val="14"/>
          <w:szCs w:val="14"/>
        </w:rPr>
        <w:t>         </w:t>
      </w:r>
      <w:r w:rsidRPr="00FA586B">
        <w:rPr>
          <w:rFonts w:eastAsia="Times New Roman" w:cstheme="minorHAnsi"/>
          <w:b/>
          <w:bCs/>
          <w:color w:val="000000"/>
          <w:sz w:val="24"/>
          <w:szCs w:val="24"/>
        </w:rPr>
        <w:t>EPP command RTT</w:t>
      </w:r>
      <w:r w:rsidRPr="00FA586B">
        <w:rPr>
          <w:rFonts w:eastAsia="Times New Roman" w:cstheme="minorHAnsi"/>
          <w:color w:val="000000"/>
          <w:sz w:val="24"/>
          <w:szCs w:val="24"/>
        </w:rPr>
        <w:t>.  Refers to “</w:t>
      </w:r>
      <w:r w:rsidRPr="00FA586B">
        <w:rPr>
          <w:rFonts w:eastAsia="Times New Roman" w:cstheme="minorHAnsi"/>
          <w:b/>
          <w:bCs/>
          <w:color w:val="000000"/>
          <w:sz w:val="24"/>
          <w:szCs w:val="24"/>
        </w:rPr>
        <w:t>EPP session-command RTT</w:t>
      </w:r>
      <w:r w:rsidRPr="00FA586B">
        <w:rPr>
          <w:rFonts w:eastAsia="Times New Roman" w:cstheme="minorHAnsi"/>
          <w:color w:val="000000"/>
          <w:sz w:val="24"/>
          <w:szCs w:val="24"/>
        </w:rPr>
        <w:t>”, “</w:t>
      </w:r>
      <w:r w:rsidRPr="00FA586B">
        <w:rPr>
          <w:rFonts w:eastAsia="Times New Roman" w:cstheme="minorHAnsi"/>
          <w:b/>
          <w:bCs/>
          <w:color w:val="000000"/>
          <w:sz w:val="24"/>
          <w:szCs w:val="24"/>
        </w:rPr>
        <w:t>EPP query-command RTT</w:t>
      </w:r>
      <w:r w:rsidRPr="00FA586B">
        <w:rPr>
          <w:rFonts w:eastAsia="Times New Roman" w:cstheme="minorHAnsi"/>
          <w:color w:val="000000"/>
          <w:sz w:val="24"/>
          <w:szCs w:val="24"/>
        </w:rPr>
        <w:t>” or “</w:t>
      </w:r>
      <w:r w:rsidRPr="00FA586B">
        <w:rPr>
          <w:rFonts w:eastAsia="Times New Roman" w:cstheme="minorHAnsi"/>
          <w:b/>
          <w:bCs/>
          <w:color w:val="000000"/>
          <w:sz w:val="24"/>
          <w:szCs w:val="24"/>
        </w:rPr>
        <w:t>EPP transform-command RTT</w:t>
      </w:r>
      <w:r w:rsidRPr="00FA586B">
        <w:rPr>
          <w:rFonts w:eastAsia="Times New Roman" w:cstheme="minorHAnsi"/>
          <w:color w:val="000000"/>
          <w:sz w:val="24"/>
          <w:szCs w:val="24"/>
        </w:rPr>
        <w:t>”.</w:t>
      </w:r>
    </w:p>
    <w:p w14:paraId="09A25404" w14:textId="77777777" w:rsidR="00831DAE" w:rsidRPr="00FA586B" w:rsidRDefault="00831DAE" w:rsidP="00FA586B">
      <w:pPr>
        <w:spacing w:after="240" w:line="240" w:lineRule="auto"/>
        <w:ind w:left="1440" w:hanging="720"/>
        <w:jc w:val="both"/>
        <w:rPr>
          <w:rFonts w:eastAsia="Times New Roman" w:cstheme="minorHAnsi"/>
          <w:color w:val="000000"/>
        </w:rPr>
      </w:pPr>
      <w:bookmarkStart w:id="47" w:name="_DV_M445"/>
      <w:bookmarkEnd w:id="47"/>
      <w:r w:rsidRPr="00FA586B">
        <w:rPr>
          <w:rFonts w:eastAsia="Times New Roman" w:cstheme="minorHAnsi"/>
          <w:color w:val="000000"/>
          <w:sz w:val="24"/>
          <w:szCs w:val="24"/>
        </w:rPr>
        <w:t>5.6.</w:t>
      </w:r>
      <w:r w:rsidRPr="00FA586B">
        <w:rPr>
          <w:rFonts w:eastAsia="Times New Roman" w:cstheme="minorHAnsi"/>
          <w:color w:val="000000"/>
          <w:sz w:val="14"/>
          <w:szCs w:val="14"/>
        </w:rPr>
        <w:t>         </w:t>
      </w:r>
      <w:r w:rsidRPr="00FA586B">
        <w:rPr>
          <w:rFonts w:eastAsia="Times New Roman" w:cstheme="minorHAnsi"/>
          <w:b/>
          <w:bCs/>
          <w:color w:val="000000"/>
          <w:sz w:val="24"/>
          <w:szCs w:val="24"/>
        </w:rPr>
        <w:t>EPP test</w:t>
      </w:r>
      <w:r w:rsidRPr="00FA586B">
        <w:rPr>
          <w:rFonts w:eastAsia="Times New Roman" w:cstheme="minorHAnsi"/>
          <w:color w:val="000000"/>
          <w:sz w:val="24"/>
          <w:szCs w:val="24"/>
        </w:rPr>
        <w:t>.  Means one EPP command sent to a particular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xml:space="preserve">” for one of the EPP servers.  Query and transform commands, with the exception of “create”, shall be about existing objects in the Registry System.  The response shall include appropriate data from the Registry System.  The possible results to an EPP test </w:t>
      </w:r>
      <w:r w:rsidRPr="00FA586B">
        <w:rPr>
          <w:rFonts w:eastAsia="Times New Roman" w:cstheme="minorHAnsi"/>
          <w:color w:val="000000"/>
          <w:sz w:val="24"/>
          <w:szCs w:val="24"/>
        </w:rPr>
        <w:lastRenderedPageBreak/>
        <w:t>are:  a number in milliseconds corresponding to the “</w:t>
      </w:r>
      <w:r w:rsidRPr="00FA586B">
        <w:rPr>
          <w:rFonts w:eastAsia="Times New Roman" w:cstheme="minorHAnsi"/>
          <w:b/>
          <w:bCs/>
          <w:color w:val="000000"/>
          <w:sz w:val="24"/>
          <w:szCs w:val="24"/>
        </w:rPr>
        <w:t>EPP command RTT</w:t>
      </w:r>
      <w:r w:rsidRPr="00FA586B">
        <w:rPr>
          <w:rFonts w:eastAsia="Times New Roman" w:cstheme="minorHAnsi"/>
          <w:color w:val="000000"/>
          <w:sz w:val="24"/>
          <w:szCs w:val="24"/>
        </w:rPr>
        <w:t>” or undefined/unanswered.</w:t>
      </w:r>
    </w:p>
    <w:p w14:paraId="337DCDA2" w14:textId="77777777" w:rsidR="00831DAE" w:rsidRPr="00FA586B" w:rsidRDefault="00831DAE" w:rsidP="00FA586B">
      <w:pPr>
        <w:spacing w:after="240" w:line="240" w:lineRule="auto"/>
        <w:ind w:left="1440" w:hanging="720"/>
        <w:jc w:val="both"/>
        <w:rPr>
          <w:rFonts w:eastAsia="Times New Roman" w:cstheme="minorHAnsi"/>
          <w:color w:val="000000"/>
        </w:rPr>
      </w:pPr>
      <w:bookmarkStart w:id="48" w:name="_DV_M446"/>
      <w:bookmarkEnd w:id="48"/>
      <w:r w:rsidRPr="00FA586B">
        <w:rPr>
          <w:rFonts w:eastAsia="Times New Roman" w:cstheme="minorHAnsi"/>
          <w:color w:val="000000"/>
          <w:sz w:val="24"/>
          <w:szCs w:val="24"/>
        </w:rPr>
        <w:t>5.7.</w:t>
      </w:r>
      <w:r w:rsidRPr="00FA586B">
        <w:rPr>
          <w:rFonts w:eastAsia="Times New Roman" w:cstheme="minorHAnsi"/>
          <w:color w:val="000000"/>
          <w:sz w:val="14"/>
          <w:szCs w:val="14"/>
        </w:rPr>
        <w:t>         </w:t>
      </w:r>
      <w:r w:rsidRPr="00FA586B">
        <w:rPr>
          <w:rFonts w:eastAsia="Times New Roman" w:cstheme="minorHAnsi"/>
          <w:b/>
          <w:bCs/>
          <w:color w:val="000000"/>
          <w:sz w:val="24"/>
          <w:szCs w:val="24"/>
        </w:rPr>
        <w:t>Measuring EPP parameters</w:t>
      </w:r>
      <w:r w:rsidRPr="00FA586B">
        <w:rPr>
          <w:rFonts w:eastAsia="Times New Roman" w:cstheme="minorHAnsi"/>
          <w:color w:val="000000"/>
          <w:sz w:val="24"/>
          <w:szCs w:val="24"/>
        </w:rPr>
        <w:t>.  Every 5 minutes, EPP probes will select one “</w:t>
      </w:r>
      <w:r w:rsidRPr="00FA586B">
        <w:rPr>
          <w:rFonts w:eastAsia="Times New Roman" w:cstheme="minorHAnsi"/>
          <w:b/>
          <w:bCs/>
          <w:color w:val="000000"/>
          <w:sz w:val="24"/>
          <w:szCs w:val="24"/>
        </w:rPr>
        <w:t>IP address</w:t>
      </w:r>
      <w:r w:rsidRPr="00FA586B">
        <w:rPr>
          <w:rFonts w:eastAsia="Times New Roman" w:cstheme="minorHAnsi"/>
          <w:color w:val="000000"/>
          <w:sz w:val="24"/>
          <w:szCs w:val="24"/>
        </w:rPr>
        <w:t>” of the EPP servers of the TLD being monitored and make an “</w:t>
      </w:r>
      <w:r w:rsidRPr="00FA586B">
        <w:rPr>
          <w:rFonts w:eastAsia="Times New Roman" w:cstheme="minorHAnsi"/>
          <w:b/>
          <w:bCs/>
          <w:color w:val="000000"/>
          <w:sz w:val="24"/>
          <w:szCs w:val="24"/>
        </w:rPr>
        <w:t>EPP test</w:t>
      </w:r>
      <w:r w:rsidRPr="00FA586B">
        <w:rPr>
          <w:rFonts w:eastAsia="Times New Roman" w:cstheme="minorHAnsi"/>
          <w:color w:val="000000"/>
          <w:sz w:val="24"/>
          <w:szCs w:val="24"/>
        </w:rPr>
        <w:t>”; every time they should alternate between the 3 different types of commands and between the commands inside each category.  If an “</w:t>
      </w:r>
      <w:r w:rsidRPr="00FA586B">
        <w:rPr>
          <w:rFonts w:eastAsia="Times New Roman" w:cstheme="minorHAnsi"/>
          <w:b/>
          <w:bCs/>
          <w:color w:val="000000"/>
          <w:sz w:val="24"/>
          <w:szCs w:val="24"/>
        </w:rPr>
        <w:t>EPP test</w:t>
      </w:r>
      <w:r w:rsidRPr="00FA586B">
        <w:rPr>
          <w:rFonts w:eastAsia="Times New Roman" w:cstheme="minorHAnsi"/>
          <w:color w:val="000000"/>
          <w:sz w:val="24"/>
          <w:szCs w:val="24"/>
        </w:rPr>
        <w:t>” result is undefined/unanswered, the EPP service will be considered as unavailable from that probe until it is time to make a new test.</w:t>
      </w:r>
    </w:p>
    <w:p w14:paraId="7C4691D2" w14:textId="77777777" w:rsidR="00831DAE" w:rsidRPr="00FA586B" w:rsidRDefault="00831DAE" w:rsidP="00FA586B">
      <w:pPr>
        <w:spacing w:after="240" w:line="240" w:lineRule="auto"/>
        <w:ind w:left="1440" w:hanging="720"/>
        <w:jc w:val="both"/>
        <w:rPr>
          <w:rFonts w:eastAsia="Times New Roman" w:cstheme="minorHAnsi"/>
          <w:color w:val="000000"/>
        </w:rPr>
      </w:pPr>
      <w:bookmarkStart w:id="49" w:name="_DV_M449"/>
      <w:bookmarkEnd w:id="49"/>
      <w:r w:rsidRPr="00FA586B">
        <w:rPr>
          <w:rFonts w:eastAsia="Times New Roman" w:cstheme="minorHAnsi"/>
          <w:color w:val="000000"/>
          <w:sz w:val="24"/>
          <w:szCs w:val="24"/>
        </w:rPr>
        <w:t>5.8.</w:t>
      </w:r>
      <w:r w:rsidRPr="00FA586B">
        <w:rPr>
          <w:rFonts w:eastAsia="Times New Roman" w:cstheme="minorHAnsi"/>
          <w:color w:val="000000"/>
          <w:sz w:val="14"/>
          <w:szCs w:val="14"/>
        </w:rPr>
        <w:t>         </w:t>
      </w:r>
      <w:r w:rsidRPr="00FA586B">
        <w:rPr>
          <w:rFonts w:eastAsia="Times New Roman" w:cstheme="minorHAnsi"/>
          <w:b/>
          <w:bCs/>
          <w:color w:val="000000"/>
          <w:sz w:val="24"/>
          <w:szCs w:val="24"/>
        </w:rPr>
        <w:t>Collating the results from EPP probes</w:t>
      </w:r>
      <w:r w:rsidRPr="00FA586B">
        <w:rPr>
          <w:rFonts w:eastAsia="Times New Roman" w:cstheme="minorHAnsi"/>
          <w:color w:val="000000"/>
          <w:sz w:val="24"/>
          <w:szCs w:val="24"/>
        </w:rPr>
        <w:t>.  The minimum number of active testing probes to consider a measurement valid is 5 at any given measurement period, otherwise the measurements will be discarded and will be considered inconclusive; during this situation no fault will be flagged against the SLRs.</w:t>
      </w:r>
    </w:p>
    <w:p w14:paraId="3A551A8D" w14:textId="77777777" w:rsidR="00831DAE" w:rsidRPr="00FA586B" w:rsidRDefault="00831DAE" w:rsidP="00FA586B">
      <w:pPr>
        <w:spacing w:after="240" w:line="240" w:lineRule="auto"/>
        <w:ind w:left="1440" w:hanging="720"/>
        <w:jc w:val="both"/>
        <w:rPr>
          <w:rFonts w:eastAsia="Times New Roman" w:cstheme="minorHAnsi"/>
          <w:color w:val="000000"/>
        </w:rPr>
      </w:pPr>
      <w:bookmarkStart w:id="50" w:name="_DV_M450"/>
      <w:bookmarkEnd w:id="50"/>
      <w:r w:rsidRPr="00FA586B">
        <w:rPr>
          <w:rFonts w:eastAsia="Times New Roman" w:cstheme="minorHAnsi"/>
          <w:color w:val="000000"/>
          <w:sz w:val="24"/>
          <w:szCs w:val="24"/>
        </w:rPr>
        <w:t>5.9.</w:t>
      </w:r>
      <w:r w:rsidRPr="00FA586B">
        <w:rPr>
          <w:rFonts w:eastAsia="Times New Roman" w:cstheme="minorHAnsi"/>
          <w:color w:val="000000"/>
          <w:sz w:val="14"/>
          <w:szCs w:val="14"/>
        </w:rPr>
        <w:t>         </w:t>
      </w:r>
      <w:r w:rsidRPr="00FA586B">
        <w:rPr>
          <w:rFonts w:eastAsia="Times New Roman" w:cstheme="minorHAnsi"/>
          <w:b/>
          <w:bCs/>
          <w:color w:val="000000"/>
          <w:sz w:val="24"/>
          <w:szCs w:val="24"/>
        </w:rPr>
        <w:t>Placement of EPP probes</w:t>
      </w:r>
      <w:r w:rsidRPr="00FA586B">
        <w:rPr>
          <w:rFonts w:eastAsia="Times New Roman" w:cstheme="minorHAnsi"/>
          <w:color w:val="000000"/>
          <w:sz w:val="24"/>
          <w:szCs w:val="24"/>
        </w:rPr>
        <w:t>.  Probes for measuring EPP parameters shall be placed inside or close to Registrars points of access to the Internet across the different geographic regions; care shall be taken not to deploy probes behind high propagation-delay links, such as satellite links.</w:t>
      </w:r>
    </w:p>
    <w:p w14:paraId="6DE87766" w14:textId="77777777" w:rsidR="00831DAE" w:rsidRPr="00FA586B" w:rsidRDefault="00831DAE" w:rsidP="00FA586B">
      <w:pPr>
        <w:spacing w:after="240" w:line="240" w:lineRule="auto"/>
        <w:ind w:left="720" w:hanging="720"/>
        <w:jc w:val="both"/>
        <w:rPr>
          <w:rFonts w:eastAsia="Times New Roman" w:cstheme="minorHAnsi"/>
          <w:color w:val="000000"/>
        </w:rPr>
      </w:pPr>
      <w:bookmarkStart w:id="51" w:name="specification10.6"/>
      <w:bookmarkStart w:id="52" w:name="_DV_M451"/>
      <w:bookmarkEnd w:id="51"/>
      <w:bookmarkEnd w:id="52"/>
      <w:r w:rsidRPr="00FA586B">
        <w:rPr>
          <w:rFonts w:eastAsia="Times New Roman" w:cstheme="minorHAnsi"/>
          <w:color w:val="000000"/>
          <w:sz w:val="24"/>
          <w:szCs w:val="24"/>
        </w:rPr>
        <w:t>6.</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Emergency Thresholds</w:t>
      </w:r>
    </w:p>
    <w:p w14:paraId="0A397EA4" w14:textId="77777777" w:rsidR="00831DAE" w:rsidRPr="00FA586B" w:rsidRDefault="00831DAE" w:rsidP="00FA586B">
      <w:pPr>
        <w:spacing w:after="240" w:line="240" w:lineRule="auto"/>
        <w:jc w:val="both"/>
        <w:rPr>
          <w:rFonts w:eastAsia="Times New Roman" w:cstheme="minorHAnsi"/>
          <w:color w:val="000000"/>
        </w:rPr>
      </w:pPr>
      <w:bookmarkStart w:id="53" w:name="_DV_M452"/>
      <w:bookmarkEnd w:id="53"/>
      <w:r w:rsidRPr="00FA586B">
        <w:rPr>
          <w:rFonts w:eastAsia="Times New Roman" w:cstheme="minorHAnsi"/>
          <w:color w:val="000000"/>
          <w:sz w:val="24"/>
          <w:szCs w:val="24"/>
        </w:rPr>
        <w:t>The following matrix presents the emergency thresholds that, if reached by any of the services mentioned above for a TLD, would cause the emergency transition of the Registry for the TLD as specified in Section 2.13 of this Agreement.</w:t>
      </w:r>
    </w:p>
    <w:tbl>
      <w:tblPr>
        <w:tblW w:w="0" w:type="auto"/>
        <w:tblCellMar>
          <w:left w:w="0" w:type="dxa"/>
          <w:right w:w="0" w:type="dxa"/>
        </w:tblCellMar>
        <w:tblLook w:val="04A0" w:firstRow="1" w:lastRow="0" w:firstColumn="1" w:lastColumn="0" w:noHBand="0" w:noVBand="1"/>
      </w:tblPr>
      <w:tblGrid>
        <w:gridCol w:w="2753"/>
        <w:gridCol w:w="6587"/>
      </w:tblGrid>
      <w:tr w:rsidR="00831DAE" w:rsidRPr="00FA586B" w14:paraId="1BAAE1AF" w14:textId="77777777" w:rsidTr="00831DAE">
        <w:trPr>
          <w:trHeight w:val="432"/>
        </w:trPr>
        <w:tc>
          <w:tcPr>
            <w:tcW w:w="2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BC1359"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Critical Function</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3F18E4" w14:textId="77777777" w:rsidR="00831DAE" w:rsidRPr="00FA586B" w:rsidRDefault="00831DAE" w:rsidP="00FA586B">
            <w:pPr>
              <w:spacing w:after="0" w:line="240" w:lineRule="auto"/>
              <w:jc w:val="both"/>
              <w:rPr>
                <w:rFonts w:eastAsia="Times New Roman" w:cstheme="minorHAnsi"/>
              </w:rPr>
            </w:pPr>
            <w:r w:rsidRPr="00FA586B">
              <w:rPr>
                <w:rFonts w:eastAsia="Times New Roman" w:cstheme="minorHAnsi"/>
                <w:b/>
                <w:bCs/>
                <w:sz w:val="24"/>
                <w:szCs w:val="24"/>
              </w:rPr>
              <w:t>Emergency Threshold</w:t>
            </w:r>
          </w:p>
        </w:tc>
      </w:tr>
      <w:tr w:rsidR="00831DAE" w:rsidRPr="00FA586B" w14:paraId="1462B100" w14:textId="77777777" w:rsidTr="00831DAE">
        <w:trPr>
          <w:trHeight w:val="144"/>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A0BDFC"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DNS Service</w:t>
            </w:r>
          </w:p>
        </w:tc>
        <w:tc>
          <w:tcPr>
            <w:tcW w:w="6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A523FF"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4-hour total downtime / week</w:t>
            </w:r>
          </w:p>
        </w:tc>
      </w:tr>
      <w:tr w:rsidR="00831DAE" w:rsidRPr="00FA586B" w14:paraId="2F84EC74" w14:textId="77777777" w:rsidTr="00831DAE">
        <w:trPr>
          <w:trHeight w:val="144"/>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2D0BCB"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DNSSEC proper resolution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2A3D78"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4-hour total downtime / week</w:t>
            </w:r>
          </w:p>
        </w:tc>
      </w:tr>
      <w:tr w:rsidR="00831DAE" w:rsidRPr="00FA586B" w14:paraId="7C7EBB1A" w14:textId="77777777" w:rsidTr="00831DAE">
        <w:trPr>
          <w:trHeight w:val="144"/>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6FD909"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EPP</w:t>
            </w:r>
          </w:p>
        </w:tc>
        <w:tc>
          <w:tcPr>
            <w:tcW w:w="6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E5FF44"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24-hour total downtime / week</w:t>
            </w:r>
          </w:p>
        </w:tc>
      </w:tr>
      <w:tr w:rsidR="00831DAE" w:rsidRPr="00FA586B" w14:paraId="1EC3CBE4" w14:textId="77777777" w:rsidTr="00831DAE">
        <w:trPr>
          <w:trHeight w:val="144"/>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DCC7C3"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RDDS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44E84C4C"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24-hour total downtime / week</w:t>
            </w:r>
          </w:p>
        </w:tc>
      </w:tr>
      <w:tr w:rsidR="00831DAE" w:rsidRPr="00FA586B" w14:paraId="3AB69E25" w14:textId="77777777" w:rsidTr="00831DAE">
        <w:trPr>
          <w:trHeight w:val="144"/>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7199DB"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Data Escrow</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192850F6" w14:textId="77777777" w:rsidR="00831DAE" w:rsidRPr="00FA586B" w:rsidRDefault="00831DAE" w:rsidP="00FA586B">
            <w:pPr>
              <w:spacing w:before="40" w:after="40" w:line="240" w:lineRule="auto"/>
              <w:jc w:val="both"/>
              <w:rPr>
                <w:rFonts w:eastAsia="Times New Roman" w:cstheme="minorHAnsi"/>
              </w:rPr>
            </w:pPr>
            <w:r w:rsidRPr="00FA586B">
              <w:rPr>
                <w:rFonts w:eastAsia="Times New Roman" w:cstheme="minorHAnsi"/>
                <w:sz w:val="24"/>
                <w:szCs w:val="24"/>
              </w:rPr>
              <w:t>Reaching any of the criteria for the release of deposits described in Specification 2, Part B, Section 6.2 through Section 6.6.</w:t>
            </w:r>
          </w:p>
        </w:tc>
      </w:tr>
    </w:tbl>
    <w:p w14:paraId="0ADDD4CD" w14:textId="77777777" w:rsidR="00831DAE" w:rsidRPr="00FA586B" w:rsidRDefault="00831DAE" w:rsidP="00FA586B">
      <w:pPr>
        <w:spacing w:after="0" w:line="240" w:lineRule="auto"/>
        <w:jc w:val="both"/>
        <w:rPr>
          <w:rFonts w:eastAsia="Times New Roman" w:cstheme="minorHAnsi"/>
          <w:color w:val="000000"/>
        </w:rPr>
      </w:pPr>
      <w:r w:rsidRPr="00FA586B">
        <w:rPr>
          <w:rFonts w:eastAsia="Times New Roman" w:cstheme="minorHAnsi"/>
          <w:color w:val="000000"/>
          <w:sz w:val="24"/>
          <w:szCs w:val="24"/>
        </w:rPr>
        <w:t> </w:t>
      </w:r>
    </w:p>
    <w:p w14:paraId="7B396A67" w14:textId="77777777" w:rsidR="00831DAE" w:rsidRPr="00FA586B" w:rsidRDefault="00831DAE" w:rsidP="00FA586B">
      <w:pPr>
        <w:spacing w:after="240" w:line="240" w:lineRule="auto"/>
        <w:ind w:left="720" w:hanging="720"/>
        <w:jc w:val="both"/>
        <w:rPr>
          <w:rFonts w:eastAsia="Times New Roman" w:cstheme="minorHAnsi"/>
          <w:color w:val="000000"/>
        </w:rPr>
      </w:pPr>
      <w:bookmarkStart w:id="54" w:name="specification10.7"/>
      <w:bookmarkStart w:id="55" w:name="_DV_M453"/>
      <w:bookmarkEnd w:id="54"/>
      <w:bookmarkEnd w:id="55"/>
      <w:r w:rsidRPr="00FA586B">
        <w:rPr>
          <w:rFonts w:eastAsia="Times New Roman" w:cstheme="minorHAnsi"/>
          <w:color w:val="000000"/>
          <w:sz w:val="24"/>
          <w:szCs w:val="24"/>
        </w:rPr>
        <w:t>7.</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Emergency Escalation</w:t>
      </w:r>
    </w:p>
    <w:p w14:paraId="64B3D884" w14:textId="77777777" w:rsidR="00831DAE" w:rsidRPr="00FA586B" w:rsidRDefault="00831DAE" w:rsidP="00FA586B">
      <w:pPr>
        <w:spacing w:after="240" w:line="240" w:lineRule="auto"/>
        <w:jc w:val="both"/>
        <w:rPr>
          <w:rFonts w:eastAsia="Times New Roman" w:cstheme="minorHAnsi"/>
          <w:color w:val="000000"/>
        </w:rPr>
      </w:pPr>
      <w:bookmarkStart w:id="56" w:name="_DV_M454"/>
      <w:bookmarkEnd w:id="56"/>
      <w:r w:rsidRPr="00FA586B">
        <w:rPr>
          <w:rFonts w:eastAsia="Times New Roman" w:cstheme="minorHAnsi"/>
          <w:color w:val="000000"/>
          <w:sz w:val="24"/>
          <w:szCs w:val="24"/>
        </w:rPr>
        <w:t>Escalation is strictly for purposes of notifying and investigating possible or potential issues in relation to monitored services.  The initiation of any escalation and the subsequent cooperative investigations do not in themselves imply that a monitored service has failed its performance requirements.</w:t>
      </w:r>
    </w:p>
    <w:p w14:paraId="62863DC2" w14:textId="77777777" w:rsidR="00831DAE" w:rsidRPr="00FA586B" w:rsidRDefault="00831DAE" w:rsidP="00FA586B">
      <w:pPr>
        <w:spacing w:after="240" w:line="240" w:lineRule="auto"/>
        <w:jc w:val="both"/>
        <w:rPr>
          <w:rFonts w:eastAsia="Times New Roman" w:cstheme="minorHAnsi"/>
          <w:color w:val="000000"/>
        </w:rPr>
      </w:pPr>
      <w:bookmarkStart w:id="57" w:name="_DV_M455"/>
      <w:bookmarkEnd w:id="57"/>
      <w:r w:rsidRPr="00FA586B">
        <w:rPr>
          <w:rFonts w:eastAsia="Times New Roman" w:cstheme="minorHAnsi"/>
          <w:color w:val="000000"/>
          <w:sz w:val="24"/>
          <w:szCs w:val="24"/>
        </w:rPr>
        <w:t xml:space="preserve">Escalations shall be carried out between ICANN and Registry Operators, Registrars and Registry Operator, and Registrars and ICANN.  Registry Operators and ICANN must provide said </w:t>
      </w:r>
      <w:r w:rsidRPr="00FA586B">
        <w:rPr>
          <w:rFonts w:eastAsia="Times New Roman" w:cstheme="minorHAnsi"/>
          <w:color w:val="000000"/>
          <w:sz w:val="24"/>
          <w:szCs w:val="24"/>
        </w:rPr>
        <w:lastRenderedPageBreak/>
        <w:t>emergency operations departments.  Current contacts must be maintained between ICANN and Registry Operators and published to Registrars, where relevant to their role in escalations, prior to any processing of an Emergency Escalation by all related parties, and kept current at all times.</w:t>
      </w:r>
    </w:p>
    <w:p w14:paraId="52FC1457" w14:textId="77777777" w:rsidR="00831DAE" w:rsidRPr="00FA586B" w:rsidRDefault="00831DAE" w:rsidP="00FA586B">
      <w:pPr>
        <w:spacing w:after="240" w:line="240" w:lineRule="auto"/>
        <w:ind w:left="1440" w:hanging="720"/>
        <w:jc w:val="both"/>
        <w:rPr>
          <w:rFonts w:eastAsia="Times New Roman" w:cstheme="minorHAnsi"/>
          <w:color w:val="000000"/>
        </w:rPr>
      </w:pPr>
      <w:bookmarkStart w:id="58" w:name="_DV_M456"/>
      <w:bookmarkEnd w:id="58"/>
      <w:r w:rsidRPr="00FA586B">
        <w:rPr>
          <w:rFonts w:eastAsia="Times New Roman" w:cstheme="minorHAnsi"/>
          <w:color w:val="000000"/>
          <w:sz w:val="24"/>
          <w:szCs w:val="24"/>
        </w:rPr>
        <w:t>7.1.</w:t>
      </w:r>
      <w:r w:rsidRPr="00FA586B">
        <w:rPr>
          <w:rFonts w:eastAsia="Times New Roman" w:cstheme="minorHAnsi"/>
          <w:color w:val="000000"/>
          <w:sz w:val="14"/>
          <w:szCs w:val="14"/>
        </w:rPr>
        <w:t>         </w:t>
      </w:r>
      <w:r w:rsidRPr="00FA586B">
        <w:rPr>
          <w:rFonts w:eastAsia="Times New Roman" w:cstheme="minorHAnsi"/>
          <w:b/>
          <w:bCs/>
          <w:color w:val="000000"/>
          <w:sz w:val="24"/>
          <w:szCs w:val="24"/>
        </w:rPr>
        <w:t>Emergency Escalation initiated by ICANN</w:t>
      </w:r>
    </w:p>
    <w:p w14:paraId="2BA537C8" w14:textId="77777777" w:rsidR="00831DAE" w:rsidRPr="00FA586B" w:rsidRDefault="00831DAE" w:rsidP="00FA586B">
      <w:pPr>
        <w:spacing w:after="240" w:line="240" w:lineRule="auto"/>
        <w:jc w:val="both"/>
        <w:rPr>
          <w:rFonts w:eastAsia="Times New Roman" w:cstheme="minorHAnsi"/>
          <w:color w:val="000000"/>
        </w:rPr>
      </w:pPr>
      <w:bookmarkStart w:id="59" w:name="_DV_M457"/>
      <w:bookmarkEnd w:id="59"/>
      <w:r w:rsidRPr="00FA586B">
        <w:rPr>
          <w:rFonts w:eastAsia="Times New Roman" w:cstheme="minorHAnsi"/>
          <w:color w:val="000000"/>
          <w:sz w:val="24"/>
          <w:szCs w:val="24"/>
        </w:rPr>
        <w:t>Upon reaching 10% of the Emergency thresholds as described in Section 6 of this Specification, ICANN’s emergency operations will initiate an Emergency Escalation with the relevant Registry Operator.  An Emergency Escalation consists of the following minimum elements:  electronic (i.e., email or SMS) and/or voice contact notification to the Registry Operator’s emergency operations department with detailed information concerning the issue being escalated, including evidence of monitoring failures, cooperative trouble-shooting of the monitoring failure between ICANN staff and the Registry Operator, and the commitment to begin the process of rectifying issues with either the monitoring service or the service being monitoring.</w:t>
      </w:r>
    </w:p>
    <w:p w14:paraId="7C59B5E4" w14:textId="77777777" w:rsidR="00831DAE" w:rsidRPr="00FA586B" w:rsidRDefault="00831DAE" w:rsidP="00FA586B">
      <w:pPr>
        <w:spacing w:after="240" w:line="240" w:lineRule="auto"/>
        <w:ind w:left="1440" w:hanging="720"/>
        <w:jc w:val="both"/>
        <w:rPr>
          <w:rFonts w:eastAsia="Times New Roman" w:cstheme="minorHAnsi"/>
          <w:color w:val="000000"/>
        </w:rPr>
      </w:pPr>
      <w:bookmarkStart w:id="60" w:name="_DV_M458"/>
      <w:bookmarkEnd w:id="60"/>
      <w:r w:rsidRPr="00FA586B">
        <w:rPr>
          <w:rFonts w:eastAsia="Times New Roman" w:cstheme="minorHAnsi"/>
          <w:color w:val="000000"/>
          <w:sz w:val="24"/>
          <w:szCs w:val="24"/>
        </w:rPr>
        <w:t>7.2.</w:t>
      </w:r>
      <w:r w:rsidRPr="00FA586B">
        <w:rPr>
          <w:rFonts w:eastAsia="Times New Roman" w:cstheme="minorHAnsi"/>
          <w:color w:val="000000"/>
          <w:sz w:val="14"/>
          <w:szCs w:val="14"/>
        </w:rPr>
        <w:t>         </w:t>
      </w:r>
      <w:r w:rsidRPr="00FA586B">
        <w:rPr>
          <w:rFonts w:eastAsia="Times New Roman" w:cstheme="minorHAnsi"/>
          <w:b/>
          <w:bCs/>
          <w:color w:val="000000"/>
          <w:sz w:val="24"/>
          <w:szCs w:val="24"/>
        </w:rPr>
        <w:t>Emergency Escalation initiated by Registrars</w:t>
      </w:r>
    </w:p>
    <w:p w14:paraId="18A3DB8D" w14:textId="77777777" w:rsidR="00831DAE" w:rsidRPr="00FA586B" w:rsidRDefault="00831DAE" w:rsidP="00FA586B">
      <w:pPr>
        <w:spacing w:after="240" w:line="240" w:lineRule="auto"/>
        <w:jc w:val="both"/>
        <w:rPr>
          <w:rFonts w:eastAsia="Times New Roman" w:cstheme="minorHAnsi"/>
          <w:color w:val="000000"/>
        </w:rPr>
      </w:pPr>
      <w:bookmarkStart w:id="61" w:name="_DV_M459"/>
      <w:bookmarkEnd w:id="61"/>
      <w:r w:rsidRPr="00FA586B">
        <w:rPr>
          <w:rFonts w:eastAsia="Times New Roman" w:cstheme="minorHAnsi"/>
          <w:color w:val="000000"/>
          <w:sz w:val="24"/>
          <w:szCs w:val="24"/>
        </w:rPr>
        <w:t>Registry Operator will maintain an emergency operations department prepared to handle emergency requests from registrars.  In the event that a registrar is unable to conduct EPP transactions with the registry for the TLD because of a fault with the Registry Service and is unable to either contact (through ICANN mandated methods of communication) the Registry Operator, or the Registry Operator is unable or unwilling to address the fault, the registrar may initiate an emergency escalation to the emergency operations department of ICANN.  ICANN then may initiate an emergency escalation with the Registry Operator as explained above.</w:t>
      </w:r>
    </w:p>
    <w:p w14:paraId="612A5D1A" w14:textId="77777777" w:rsidR="00831DAE" w:rsidRPr="00FA586B" w:rsidRDefault="00831DAE" w:rsidP="00FA586B">
      <w:pPr>
        <w:spacing w:after="240" w:line="240" w:lineRule="auto"/>
        <w:ind w:left="1440" w:hanging="720"/>
        <w:jc w:val="both"/>
        <w:rPr>
          <w:rFonts w:eastAsia="Times New Roman" w:cstheme="minorHAnsi"/>
          <w:color w:val="000000"/>
        </w:rPr>
      </w:pPr>
      <w:bookmarkStart w:id="62" w:name="_DV_M460"/>
      <w:bookmarkEnd w:id="62"/>
      <w:r w:rsidRPr="00FA586B">
        <w:rPr>
          <w:rFonts w:eastAsia="Times New Roman" w:cstheme="minorHAnsi"/>
          <w:color w:val="000000"/>
          <w:sz w:val="24"/>
          <w:szCs w:val="24"/>
        </w:rPr>
        <w:t>7.3.</w:t>
      </w:r>
      <w:r w:rsidRPr="00FA586B">
        <w:rPr>
          <w:rFonts w:eastAsia="Times New Roman" w:cstheme="minorHAnsi"/>
          <w:color w:val="000000"/>
          <w:sz w:val="14"/>
          <w:szCs w:val="14"/>
        </w:rPr>
        <w:t>         </w:t>
      </w:r>
      <w:r w:rsidRPr="00FA586B">
        <w:rPr>
          <w:rFonts w:eastAsia="Times New Roman" w:cstheme="minorHAnsi"/>
          <w:b/>
          <w:bCs/>
          <w:color w:val="000000"/>
          <w:sz w:val="24"/>
          <w:szCs w:val="24"/>
        </w:rPr>
        <w:t>Notifications of Outages and Maintenance</w:t>
      </w:r>
    </w:p>
    <w:p w14:paraId="3142A715" w14:textId="77777777" w:rsidR="00831DAE" w:rsidRPr="00FA586B" w:rsidRDefault="00831DAE" w:rsidP="00FA586B">
      <w:pPr>
        <w:spacing w:after="240" w:line="240" w:lineRule="auto"/>
        <w:jc w:val="both"/>
        <w:rPr>
          <w:rFonts w:eastAsia="Times New Roman" w:cstheme="minorHAnsi"/>
          <w:color w:val="000000"/>
        </w:rPr>
      </w:pPr>
      <w:bookmarkStart w:id="63" w:name="_DV_M461"/>
      <w:bookmarkEnd w:id="63"/>
      <w:r w:rsidRPr="00FA586B">
        <w:rPr>
          <w:rFonts w:eastAsia="Times New Roman" w:cstheme="minorHAnsi"/>
          <w:color w:val="000000"/>
          <w:sz w:val="24"/>
          <w:szCs w:val="24"/>
        </w:rPr>
        <w:t>In the event that a Registry Operator plans maintenance, it will provide notice to the ICANN emergency operations department, at least, twenty-four (24) hours ahead of that maintenance.  ICANN’s emergency operations department will note planned maintenance times, and suspend Emergency Escalation services for the monitored services during the expected maintenance outage period.</w:t>
      </w:r>
    </w:p>
    <w:p w14:paraId="65109509" w14:textId="77777777" w:rsidR="00831DAE" w:rsidRPr="00FA586B" w:rsidRDefault="00831DAE" w:rsidP="00FA586B">
      <w:pPr>
        <w:spacing w:after="240" w:line="240" w:lineRule="auto"/>
        <w:jc w:val="both"/>
        <w:rPr>
          <w:rFonts w:eastAsia="Times New Roman" w:cstheme="minorHAnsi"/>
          <w:color w:val="000000"/>
        </w:rPr>
      </w:pPr>
      <w:bookmarkStart w:id="64" w:name="_DV_M462"/>
      <w:bookmarkEnd w:id="64"/>
      <w:r w:rsidRPr="00FA586B">
        <w:rPr>
          <w:rFonts w:eastAsia="Times New Roman" w:cstheme="minorHAnsi"/>
          <w:color w:val="000000"/>
          <w:sz w:val="24"/>
          <w:szCs w:val="24"/>
        </w:rPr>
        <w:t>If Registry Operator declares an outage, as per its contractual obligations with ICANN, on services under a service level agreement and performance requirements, it will notify the ICANN emergency operations department.  During that declared outage, ICANN’s emergency operations department will note and suspend emergency escalation services for the monitored services involved.</w:t>
      </w:r>
    </w:p>
    <w:p w14:paraId="48327441" w14:textId="77777777" w:rsidR="00831DAE" w:rsidRPr="00FA586B" w:rsidRDefault="00831DAE" w:rsidP="00FA586B">
      <w:pPr>
        <w:spacing w:after="240" w:line="240" w:lineRule="auto"/>
        <w:ind w:left="720" w:hanging="720"/>
        <w:jc w:val="both"/>
        <w:rPr>
          <w:rFonts w:eastAsia="Times New Roman" w:cstheme="minorHAnsi"/>
          <w:color w:val="000000"/>
        </w:rPr>
      </w:pPr>
      <w:bookmarkStart w:id="65" w:name="specification10.8"/>
      <w:bookmarkStart w:id="66" w:name="_DV_M463"/>
      <w:bookmarkEnd w:id="65"/>
      <w:bookmarkEnd w:id="66"/>
      <w:r w:rsidRPr="00FA586B">
        <w:rPr>
          <w:rFonts w:eastAsia="Times New Roman" w:cstheme="minorHAnsi"/>
          <w:color w:val="000000"/>
          <w:sz w:val="24"/>
          <w:szCs w:val="24"/>
        </w:rPr>
        <w:t>8.</w:t>
      </w:r>
      <w:r w:rsidRPr="00FA586B">
        <w:rPr>
          <w:rFonts w:eastAsia="Times New Roman" w:cstheme="minorHAnsi"/>
          <w:color w:val="000000"/>
          <w:sz w:val="14"/>
          <w:szCs w:val="14"/>
        </w:rPr>
        <w:t>              </w:t>
      </w:r>
      <w:r w:rsidRPr="00FA586B">
        <w:rPr>
          <w:rFonts w:eastAsia="Times New Roman" w:cstheme="minorHAnsi"/>
          <w:b/>
          <w:bCs/>
          <w:color w:val="000000"/>
          <w:sz w:val="24"/>
          <w:szCs w:val="24"/>
          <w:u w:val="single"/>
        </w:rPr>
        <w:t>Covenants of Performance Measurement</w:t>
      </w:r>
    </w:p>
    <w:p w14:paraId="52A2B05D" w14:textId="77777777" w:rsidR="00831DAE" w:rsidRPr="00FA586B" w:rsidRDefault="00831DAE" w:rsidP="00FA586B">
      <w:pPr>
        <w:spacing w:after="240" w:line="240" w:lineRule="auto"/>
        <w:ind w:left="1440" w:hanging="720"/>
        <w:jc w:val="both"/>
        <w:rPr>
          <w:rFonts w:eastAsia="Times New Roman" w:cstheme="minorHAnsi"/>
          <w:color w:val="000000"/>
        </w:rPr>
      </w:pPr>
      <w:bookmarkStart w:id="67" w:name="_DV_M464"/>
      <w:bookmarkEnd w:id="67"/>
      <w:r w:rsidRPr="00FA586B">
        <w:rPr>
          <w:rFonts w:eastAsia="Times New Roman" w:cstheme="minorHAnsi"/>
          <w:color w:val="000000"/>
          <w:sz w:val="24"/>
          <w:szCs w:val="24"/>
        </w:rPr>
        <w:t>8.1.</w:t>
      </w:r>
      <w:r w:rsidRPr="00FA586B">
        <w:rPr>
          <w:rFonts w:eastAsia="Times New Roman" w:cstheme="minorHAnsi"/>
          <w:color w:val="000000"/>
          <w:sz w:val="14"/>
          <w:szCs w:val="14"/>
        </w:rPr>
        <w:t>         </w:t>
      </w:r>
      <w:r w:rsidRPr="00FA586B">
        <w:rPr>
          <w:rFonts w:eastAsia="Times New Roman" w:cstheme="minorHAnsi"/>
          <w:b/>
          <w:bCs/>
          <w:color w:val="000000"/>
          <w:sz w:val="24"/>
          <w:szCs w:val="24"/>
        </w:rPr>
        <w:t>No interference</w:t>
      </w:r>
      <w:r w:rsidRPr="00FA586B">
        <w:rPr>
          <w:rFonts w:eastAsia="Times New Roman" w:cstheme="minorHAnsi"/>
          <w:color w:val="000000"/>
          <w:sz w:val="24"/>
          <w:szCs w:val="24"/>
        </w:rPr>
        <w:t>.  Registry Operator shall not interfere with measurement </w:t>
      </w:r>
      <w:r w:rsidRPr="00FA586B">
        <w:rPr>
          <w:rFonts w:eastAsia="Times New Roman" w:cstheme="minorHAnsi"/>
          <w:b/>
          <w:bCs/>
          <w:color w:val="000000"/>
          <w:sz w:val="24"/>
          <w:szCs w:val="24"/>
        </w:rPr>
        <w:t>Probes</w:t>
      </w:r>
      <w:r w:rsidRPr="00FA586B">
        <w:rPr>
          <w:rFonts w:eastAsia="Times New Roman" w:cstheme="minorHAnsi"/>
          <w:color w:val="000000"/>
          <w:sz w:val="24"/>
          <w:szCs w:val="24"/>
        </w:rPr>
        <w:t xml:space="preserve">, including any form of preferential treatment of the requests for the monitored services.  Registry Operator shall respond to the measurement tests described in </w:t>
      </w:r>
      <w:r w:rsidRPr="00FA586B">
        <w:rPr>
          <w:rFonts w:eastAsia="Times New Roman" w:cstheme="minorHAnsi"/>
          <w:color w:val="000000"/>
          <w:sz w:val="24"/>
          <w:szCs w:val="24"/>
        </w:rPr>
        <w:lastRenderedPageBreak/>
        <w:t>this Specification as it would to any other request from an Internet user (for DNS and RDDS) or registrar (for EPP).</w:t>
      </w:r>
    </w:p>
    <w:p w14:paraId="4654B5F4" w14:textId="77777777" w:rsidR="00831DAE" w:rsidRPr="00FA586B" w:rsidRDefault="00831DAE" w:rsidP="00FA586B">
      <w:pPr>
        <w:spacing w:after="240" w:line="240" w:lineRule="auto"/>
        <w:ind w:left="1440" w:hanging="720"/>
        <w:jc w:val="both"/>
        <w:rPr>
          <w:rFonts w:eastAsia="Times New Roman" w:cstheme="minorHAnsi"/>
          <w:color w:val="000000"/>
        </w:rPr>
      </w:pPr>
      <w:bookmarkStart w:id="68" w:name="_DV_M465"/>
      <w:bookmarkEnd w:id="68"/>
      <w:r w:rsidRPr="00FA586B">
        <w:rPr>
          <w:rFonts w:eastAsia="Times New Roman" w:cstheme="minorHAnsi"/>
          <w:color w:val="000000"/>
          <w:sz w:val="24"/>
          <w:szCs w:val="24"/>
        </w:rPr>
        <w:t>8.2.</w:t>
      </w:r>
      <w:r w:rsidRPr="00FA586B">
        <w:rPr>
          <w:rFonts w:eastAsia="Times New Roman" w:cstheme="minorHAnsi"/>
          <w:color w:val="000000"/>
          <w:sz w:val="14"/>
          <w:szCs w:val="14"/>
        </w:rPr>
        <w:t>         </w:t>
      </w:r>
      <w:r w:rsidRPr="00FA586B">
        <w:rPr>
          <w:rFonts w:eastAsia="Times New Roman" w:cstheme="minorHAnsi"/>
          <w:b/>
          <w:bCs/>
          <w:color w:val="000000"/>
          <w:sz w:val="24"/>
          <w:szCs w:val="24"/>
        </w:rPr>
        <w:t>ICANN testing registrar</w:t>
      </w:r>
      <w:r w:rsidRPr="00FA586B">
        <w:rPr>
          <w:rFonts w:eastAsia="Times New Roman" w:cstheme="minorHAnsi"/>
          <w:color w:val="000000"/>
          <w:sz w:val="24"/>
          <w:szCs w:val="24"/>
        </w:rPr>
        <w:t>.  Registry Operator agrees that ICANN will have a testing registrar used for purposes of measuring the </w:t>
      </w:r>
      <w:r w:rsidRPr="00FA586B">
        <w:rPr>
          <w:rFonts w:eastAsia="Times New Roman" w:cstheme="minorHAnsi"/>
          <w:b/>
          <w:bCs/>
          <w:color w:val="000000"/>
          <w:sz w:val="24"/>
          <w:szCs w:val="24"/>
        </w:rPr>
        <w:t>SLR</w:t>
      </w:r>
      <w:r w:rsidRPr="00FA586B">
        <w:rPr>
          <w:rFonts w:eastAsia="Times New Roman" w:cstheme="minorHAnsi"/>
          <w:color w:val="000000"/>
          <w:sz w:val="24"/>
          <w:szCs w:val="24"/>
        </w:rPr>
        <w:t>s described above.  Registry Operator agrees to not provide any differentiated treatment for the testing registrar other than no billing of the transactions.  ICANN shall not use the registrar for registering domain names (or other registry objects) for itself or others, except for the purposes of verifying contractual compliance with the conditions described in this Agreement.  Registry Operator shall identify these transactions using Registrar ID 9997.</w:t>
      </w:r>
    </w:p>
    <w:p w14:paraId="15645CAB" w14:textId="1E09B08A" w:rsidR="0083088C" w:rsidRPr="00FA586B" w:rsidRDefault="0083088C" w:rsidP="00FA586B">
      <w:pPr>
        <w:jc w:val="both"/>
        <w:rPr>
          <w:rFonts w:cstheme="minorHAnsi"/>
        </w:rPr>
      </w:pPr>
      <w:r w:rsidRPr="00FA586B">
        <w:rPr>
          <w:rFonts w:cstheme="minorHAnsi"/>
        </w:rPr>
        <w:br w:type="page"/>
      </w:r>
    </w:p>
    <w:p w14:paraId="74C66071" w14:textId="5BA2B091" w:rsidR="002E7EA4" w:rsidRPr="00F85584" w:rsidRDefault="0083088C" w:rsidP="00F85584">
      <w:pPr>
        <w:pStyle w:val="Heading1"/>
        <w:rPr>
          <w:b/>
        </w:rPr>
      </w:pPr>
      <w:r w:rsidRPr="00F85584">
        <w:rPr>
          <w:b/>
        </w:rPr>
        <w:lastRenderedPageBreak/>
        <w:t>ANNEX II</w:t>
      </w:r>
    </w:p>
    <w:p w14:paraId="57F004B5" w14:textId="36B0D0DF" w:rsidR="0083088C" w:rsidRDefault="0083088C" w:rsidP="00831DAE">
      <w:r>
        <w:t>QUESTIONS AND ANSWERS (listed in no particular order)</w:t>
      </w:r>
    </w:p>
    <w:p w14:paraId="3849C198" w14:textId="0094C21C" w:rsidR="0083088C" w:rsidRDefault="0083088C" w:rsidP="00831DAE"/>
    <w:p w14:paraId="267AD6C0" w14:textId="77777777" w:rsidR="0083088C" w:rsidRDefault="0083088C" w:rsidP="0083088C">
      <w:pPr>
        <w:rPr>
          <w:rFonts w:ascii="Calibri" w:hAnsi="Calibri" w:cs="Calibri"/>
          <w:sz w:val="24"/>
          <w:szCs w:val="24"/>
        </w:rPr>
      </w:pPr>
      <w:r>
        <w:rPr>
          <w:rFonts w:ascii="Calibri" w:hAnsi="Calibri" w:cs="Calibri"/>
          <w:b/>
          <w:bCs/>
        </w:rPr>
        <w:t>Review Team volunteers: </w:t>
      </w:r>
      <w:r>
        <w:rPr>
          <w:rFonts w:ascii="Calibri" w:hAnsi="Calibri" w:cs="Calibri"/>
          <w:b/>
          <w:bCs/>
          <w:shd w:val="clear" w:color="auto" w:fill="FFFF00"/>
        </w:rPr>
        <w:t>Denise, Kerry-Ann</w:t>
      </w:r>
    </w:p>
    <w:p w14:paraId="518D3FC4" w14:textId="77777777" w:rsidR="0083088C" w:rsidRDefault="0083088C" w:rsidP="0083088C">
      <w:pPr>
        <w:rPr>
          <w:rFonts w:ascii="Calibri" w:hAnsi="Calibri" w:cs="Calibri"/>
          <w:sz w:val="24"/>
          <w:szCs w:val="24"/>
        </w:rPr>
      </w:pPr>
      <w:r>
        <w:rPr>
          <w:rFonts w:ascii="Calibri" w:hAnsi="Calibri" w:cs="Calibri"/>
          <w:b/>
          <w:bCs/>
        </w:rPr>
        <w:t>Workstream: ICANN SSR</w:t>
      </w:r>
    </w:p>
    <w:p w14:paraId="32D42F00" w14:textId="77777777" w:rsidR="0083088C" w:rsidRDefault="0083088C" w:rsidP="0083088C">
      <w:pPr>
        <w:rPr>
          <w:rFonts w:ascii="Calibri" w:hAnsi="Calibri" w:cs="Calibri"/>
          <w:sz w:val="24"/>
          <w:szCs w:val="24"/>
        </w:rPr>
      </w:pPr>
      <w:r>
        <w:rPr>
          <w:rFonts w:ascii="Calibri" w:hAnsi="Calibri" w:cs="Calibri"/>
          <w:b/>
          <w:bCs/>
        </w:rPr>
        <w:t xml:space="preserve">Topic: Perform an assessment how effectively ICANN has implemented its processes to ensure compliance regarding registrar agreements and the consensus policies. </w:t>
      </w:r>
    </w:p>
    <w:p w14:paraId="111BE2F4" w14:textId="77777777" w:rsidR="0083088C" w:rsidRDefault="0083088C" w:rsidP="0083088C">
      <w:pPr>
        <w:rPr>
          <w:rFonts w:ascii="Calibri" w:hAnsi="Calibri" w:cs="Calibri"/>
          <w:sz w:val="24"/>
          <w:szCs w:val="24"/>
        </w:rPr>
      </w:pPr>
      <w:r>
        <w:rPr>
          <w:rFonts w:ascii="Calibri" w:hAnsi="Calibri" w:cs="Calibri"/>
          <w:b/>
          <w:bCs/>
        </w:rPr>
        <w:t>Subtopic: OCTO, open data initiative, and GDPR</w:t>
      </w:r>
    </w:p>
    <w:p w14:paraId="75DE56D8" w14:textId="77777777" w:rsidR="0083088C" w:rsidRDefault="0083088C" w:rsidP="0083088C">
      <w:pPr>
        <w:rPr>
          <w:rFonts w:ascii="Calibri" w:hAnsi="Calibri" w:cs="Calibri"/>
          <w:sz w:val="24"/>
          <w:szCs w:val="24"/>
        </w:rPr>
      </w:pPr>
      <w:r>
        <w:rPr>
          <w:rFonts w:ascii="Calibri" w:hAnsi="Calibri" w:cs="Calibri"/>
        </w:rPr>
        <w:t> </w:t>
      </w:r>
    </w:p>
    <w:p w14:paraId="6DB6A31D" w14:textId="77777777" w:rsidR="0083088C" w:rsidRDefault="0083088C" w:rsidP="00F85584">
      <w:pPr>
        <w:jc w:val="both"/>
        <w:rPr>
          <w:rFonts w:ascii="Calibri" w:hAnsi="Calibri" w:cs="Calibri"/>
          <w:sz w:val="24"/>
          <w:szCs w:val="24"/>
        </w:rPr>
      </w:pPr>
      <w:r>
        <w:rPr>
          <w:rFonts w:ascii="Calibri" w:hAnsi="Calibri" w:cs="Calibri"/>
        </w:rPr>
        <w:t>Q: Is OCTO going to provide public information on DAAR and its findings and how much will that cost?</w:t>
      </w:r>
    </w:p>
    <w:p w14:paraId="129C791D" w14:textId="77777777" w:rsidR="0083088C" w:rsidRDefault="0083088C" w:rsidP="00F85584">
      <w:pPr>
        <w:jc w:val="both"/>
        <w:rPr>
          <w:rFonts w:ascii="Calibri" w:hAnsi="Calibri" w:cs="Calibri"/>
          <w:sz w:val="24"/>
          <w:szCs w:val="24"/>
        </w:rPr>
      </w:pPr>
      <w:r>
        <w:rPr>
          <w:rFonts w:ascii="Calibri" w:hAnsi="Calibri" w:cs="Calibri"/>
        </w:rPr>
        <w:t xml:space="preserve">A: ICANN started in February 2019, by publishing monthly reports from DAAR. We also intend to publish back dated reports. (Currently published back to June 2018. </w:t>
      </w:r>
      <w:hyperlink r:id="rId10" w:anchor="_blank" w:history="1">
        <w:r>
          <w:rPr>
            <w:rStyle w:val="Hyperlink"/>
            <w:rFonts w:ascii="Calibri" w:hAnsi="Calibri" w:cs="Calibri"/>
          </w:rPr>
          <w:t>https://www.icann.org/octo-ssr/daar</w:t>
        </w:r>
      </w:hyperlink>
      <w:r>
        <w:rPr>
          <w:rFonts w:ascii="Calibri" w:hAnsi="Calibri" w:cs="Calibri"/>
        </w:rPr>
        <w:t>).  Further publications may be possible and will be part of discussions with the community. Note, the answer to the cost part of this question is outstanding.</w:t>
      </w:r>
    </w:p>
    <w:p w14:paraId="5A8120E2" w14:textId="77777777" w:rsidR="000B1AE5" w:rsidRDefault="000B1AE5" w:rsidP="00F85584">
      <w:pPr>
        <w:pStyle w:val="NormalWeb"/>
        <w:spacing w:before="0" w:beforeAutospacing="0" w:after="0" w:afterAutospacing="0"/>
        <w:jc w:val="both"/>
        <w:rPr>
          <w:rFonts w:ascii="Calibri" w:hAnsi="Calibri" w:cs="Calibri"/>
          <w:b/>
          <w:bCs/>
          <w:color w:val="000000"/>
        </w:rPr>
      </w:pPr>
    </w:p>
    <w:p w14:paraId="1DDBF8B7" w14:textId="3AA802D3" w:rsidR="000B1AE5" w:rsidRDefault="000B1AE5" w:rsidP="00F85584">
      <w:pPr>
        <w:pStyle w:val="NormalWeb"/>
        <w:spacing w:before="0" w:beforeAutospacing="0" w:after="0" w:afterAutospacing="0"/>
        <w:jc w:val="both"/>
      </w:pPr>
      <w:r>
        <w:rPr>
          <w:rFonts w:ascii="Calibri" w:hAnsi="Calibri" w:cs="Calibri"/>
          <w:b/>
          <w:bCs/>
          <w:color w:val="000000"/>
        </w:rPr>
        <w:t>Contractual compliance, EBERO and SLA Monitoring</w:t>
      </w:r>
    </w:p>
    <w:p w14:paraId="1AE1417A" w14:textId="77777777" w:rsidR="000B1AE5" w:rsidRDefault="000B1AE5" w:rsidP="00F85584">
      <w:pPr>
        <w:pStyle w:val="NormalWeb"/>
        <w:numPr>
          <w:ilvl w:val="0"/>
          <w:numId w:val="2"/>
        </w:numPr>
        <w:spacing w:before="0" w:beforeAutospacing="0" w:after="0" w:afterAutospacing="0"/>
        <w:jc w:val="both"/>
        <w:textAlignment w:val="baseline"/>
        <w:rPr>
          <w:rFonts w:ascii="Calibri" w:hAnsi="Calibri" w:cs="Calibri"/>
          <w:color w:val="000000"/>
        </w:rPr>
      </w:pPr>
      <w:r>
        <w:rPr>
          <w:rFonts w:ascii="Calibri" w:hAnsi="Calibri" w:cs="Calibri"/>
          <w:color w:val="000000"/>
        </w:rPr>
        <w:t>ICANN was not monitoring EPP.  Is this still the case?</w:t>
      </w:r>
    </w:p>
    <w:p w14:paraId="4E999340" w14:textId="77777777" w:rsidR="000B1AE5" w:rsidRDefault="000B1AE5" w:rsidP="00F85584">
      <w:pPr>
        <w:pStyle w:val="NormalWeb"/>
        <w:numPr>
          <w:ilvl w:val="1"/>
          <w:numId w:val="3"/>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p>
    <w:p w14:paraId="74B2E559" w14:textId="77777777" w:rsidR="000B1AE5" w:rsidRDefault="000B1AE5" w:rsidP="00F85584">
      <w:pPr>
        <w:pStyle w:val="NormalWeb"/>
        <w:numPr>
          <w:ilvl w:val="0"/>
          <w:numId w:val="4"/>
        </w:numPr>
        <w:spacing w:before="0" w:beforeAutospacing="0" w:after="0" w:afterAutospacing="0"/>
        <w:jc w:val="both"/>
        <w:textAlignment w:val="baseline"/>
        <w:rPr>
          <w:rFonts w:ascii="Calibri" w:hAnsi="Calibri" w:cs="Calibri"/>
          <w:color w:val="000000"/>
        </w:rPr>
      </w:pPr>
      <w:r>
        <w:rPr>
          <w:rFonts w:ascii="Calibri" w:hAnsi="Calibri" w:cs="Calibri"/>
          <w:color w:val="000000"/>
        </w:rPr>
        <w:t>As of Oct 2017, no action had been taken in relation to 32 RSPs which have reached emergency thresholds in 2017.  Is this correct? Please provide updates on action taken (if any) in relation to RSPs that have reached emergency thresholds before and since October 2017.</w:t>
      </w:r>
    </w:p>
    <w:p w14:paraId="0E158524" w14:textId="77777777" w:rsidR="000B1AE5" w:rsidRPr="00F85584" w:rsidRDefault="000B1AE5" w:rsidP="00E45108">
      <w:pPr>
        <w:pStyle w:val="NormalWeb"/>
        <w:numPr>
          <w:ilvl w:val="1"/>
          <w:numId w:val="5"/>
        </w:numPr>
        <w:spacing w:before="0" w:beforeAutospacing="0" w:after="0" w:afterAutospacing="0"/>
        <w:jc w:val="both"/>
        <w:textAlignment w:val="baseline"/>
        <w:rPr>
          <w:rFonts w:ascii="Calibri" w:hAnsi="Calibri" w:cs="Calibri"/>
          <w:color w:val="000000"/>
          <w:highlight w:val="yellow"/>
        </w:rPr>
      </w:pPr>
      <w:r>
        <w:rPr>
          <w:rFonts w:ascii="Calibri" w:hAnsi="Calibri" w:cs="Calibri"/>
          <w:color w:val="000000"/>
          <w:sz w:val="22"/>
          <w:szCs w:val="22"/>
        </w:rPr>
        <w:t xml:space="preserve">Registry operators are required to meet the obligations of the registry agreement (RA), including the five critical registry technical functions which are subject to emergency thresholds in Specification 10 of the RA (RDDS, DNS, DNSSEC, EPP and Data Escrow). ICANN Contractual Compliance enforces Specification 10 of the RA directly with the registry operators, </w:t>
      </w:r>
      <w:r w:rsidRPr="00F85584">
        <w:rPr>
          <w:rFonts w:ascii="Calibri" w:hAnsi="Calibri" w:cs="Calibri"/>
          <w:color w:val="000000"/>
          <w:sz w:val="22"/>
          <w:szCs w:val="22"/>
          <w:highlight w:val="yellow"/>
        </w:rPr>
        <w:t>as Registry Service Providers (RSPs) are not ICANN contracted parties and, therefore, out of ICANN’s contractual authority for enforcement of RA obligations. Registry operators are subject to Service Level Agreement monitoring and, for RDDS, DNS and DNSSEC failures, will receive automated compliance Escalated Notices when certain downtime thresholds are met, as well as compliance notices when data escrow failures occur. Upon resolution of the downtime, ICANN Contractual Compliance follows up with the registry operator for additional information and preventative actions. Registry operators often provide information from their RSPs in support of their responses. Failure to remediate noncompliance for these functions can result in a notice of breach being issued against the registry operator and transition of the top-level domain to an emergency back-end registry operator.</w:t>
      </w:r>
    </w:p>
    <w:p w14:paraId="6AA168A7" w14:textId="77777777" w:rsidR="000B1AE5" w:rsidRDefault="000B1AE5" w:rsidP="00E45108">
      <w:pPr>
        <w:jc w:val="both"/>
        <w:rPr>
          <w:rFonts w:ascii="Times New Roman" w:hAnsi="Times New Roman" w:cs="Times New Roman"/>
        </w:rPr>
      </w:pPr>
    </w:p>
    <w:p w14:paraId="4D38BFCF" w14:textId="77777777" w:rsidR="000B1AE5" w:rsidRDefault="000B1AE5" w:rsidP="00E45108">
      <w:pPr>
        <w:pStyle w:val="NormalWeb"/>
        <w:numPr>
          <w:ilvl w:val="0"/>
          <w:numId w:val="6"/>
        </w:numPr>
        <w:spacing w:before="0" w:beforeAutospacing="0" w:after="0" w:afterAutospacing="0"/>
        <w:jc w:val="both"/>
        <w:textAlignment w:val="baseline"/>
        <w:rPr>
          <w:rFonts w:ascii="Calibri" w:hAnsi="Calibri" w:cs="Calibri"/>
          <w:color w:val="000000"/>
        </w:rPr>
      </w:pPr>
      <w:r>
        <w:rPr>
          <w:rFonts w:ascii="Calibri" w:hAnsi="Calibri" w:cs="Calibri"/>
          <w:color w:val="000000"/>
        </w:rPr>
        <w:t>In your experience, are the emergence thresholds fit for purpose?  If not, are there any plans to revisit them with the community?</w:t>
      </w:r>
    </w:p>
    <w:p w14:paraId="15234CAE" w14:textId="77777777" w:rsidR="000B1AE5" w:rsidRDefault="000B1AE5" w:rsidP="00E45108">
      <w:pPr>
        <w:pStyle w:val="NormalWeb"/>
        <w:numPr>
          <w:ilvl w:val="1"/>
          <w:numId w:val="7"/>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p>
    <w:p w14:paraId="064178F2" w14:textId="77777777" w:rsidR="000B1AE5" w:rsidRDefault="000B1AE5" w:rsidP="00E45108">
      <w:pPr>
        <w:pStyle w:val="NormalWeb"/>
        <w:numPr>
          <w:ilvl w:val="0"/>
          <w:numId w:val="8"/>
        </w:numPr>
        <w:spacing w:before="0" w:beforeAutospacing="0" w:after="0" w:afterAutospacing="0"/>
        <w:jc w:val="both"/>
        <w:textAlignment w:val="baseline"/>
        <w:rPr>
          <w:rFonts w:ascii="Calibri" w:hAnsi="Calibri" w:cs="Calibri"/>
          <w:color w:val="000000"/>
        </w:rPr>
      </w:pPr>
      <w:r>
        <w:rPr>
          <w:rFonts w:ascii="Calibri" w:hAnsi="Calibri" w:cs="Calibri"/>
          <w:color w:val="000000"/>
        </w:rPr>
        <w:lastRenderedPageBreak/>
        <w:t>Francisco referred to internal procedures to deal with SLA monitoring cases that require follow up, please provide SSR2 with a copy?</w:t>
      </w:r>
    </w:p>
    <w:p w14:paraId="18C98534" w14:textId="77777777" w:rsidR="000B1AE5" w:rsidRDefault="000B1AE5" w:rsidP="00E45108">
      <w:pPr>
        <w:pStyle w:val="NormalWeb"/>
        <w:numPr>
          <w:ilvl w:val="1"/>
          <w:numId w:val="9"/>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p>
    <w:p w14:paraId="0607D298" w14:textId="77777777" w:rsidR="000B1AE5" w:rsidRDefault="000B1AE5" w:rsidP="00E45108">
      <w:pPr>
        <w:pStyle w:val="NormalWeb"/>
        <w:numPr>
          <w:ilvl w:val="0"/>
          <w:numId w:val="10"/>
        </w:numPr>
        <w:spacing w:before="0" w:beforeAutospacing="0" w:after="0" w:afterAutospacing="0"/>
        <w:jc w:val="both"/>
        <w:textAlignment w:val="baseline"/>
        <w:rPr>
          <w:rFonts w:ascii="Calibri" w:hAnsi="Calibri" w:cs="Calibri"/>
          <w:color w:val="000000"/>
        </w:rPr>
      </w:pPr>
      <w:r>
        <w:rPr>
          <w:rFonts w:ascii="Calibri" w:hAnsi="Calibri" w:cs="Calibri"/>
          <w:color w:val="000000"/>
        </w:rPr>
        <w:t>To what extent are the EBERO processes part of ICANN’s risk management framework?</w:t>
      </w:r>
    </w:p>
    <w:p w14:paraId="7526B542" w14:textId="77777777" w:rsidR="000B1AE5" w:rsidRDefault="000B1AE5" w:rsidP="00E45108">
      <w:pPr>
        <w:pStyle w:val="NormalWeb"/>
        <w:numPr>
          <w:ilvl w:val="1"/>
          <w:numId w:val="11"/>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r>
        <w:rPr>
          <w:rStyle w:val="apple-tab-span"/>
          <w:rFonts w:ascii="Calibri" w:hAnsi="Calibri" w:cs="Calibri"/>
          <w:color w:val="000000"/>
        </w:rPr>
        <w:tab/>
      </w:r>
    </w:p>
    <w:p w14:paraId="69048CFA" w14:textId="77777777" w:rsidR="000B1AE5" w:rsidRDefault="000B1AE5" w:rsidP="00E45108">
      <w:pPr>
        <w:pStyle w:val="NormalWeb"/>
        <w:numPr>
          <w:ilvl w:val="0"/>
          <w:numId w:val="12"/>
        </w:numPr>
        <w:spacing w:before="0" w:beforeAutospacing="0" w:after="0" w:afterAutospacing="0"/>
        <w:jc w:val="both"/>
        <w:textAlignment w:val="baseline"/>
        <w:rPr>
          <w:rFonts w:ascii="Calibri" w:hAnsi="Calibri" w:cs="Calibri"/>
          <w:color w:val="000000"/>
        </w:rPr>
      </w:pPr>
      <w:r>
        <w:rPr>
          <w:rFonts w:ascii="Calibri" w:hAnsi="Calibri" w:cs="Calibri"/>
          <w:color w:val="000000"/>
        </w:rPr>
        <w:t>What is the status of the registry service provider certification program?  Is ICANN Org recommending any changes? What is the status of this issue within the Subsequent Procedures PDP?</w:t>
      </w:r>
    </w:p>
    <w:p w14:paraId="6EA13127" w14:textId="77777777" w:rsidR="000B1AE5" w:rsidRDefault="000B1AE5" w:rsidP="00E45108">
      <w:pPr>
        <w:pStyle w:val="NormalWeb"/>
        <w:numPr>
          <w:ilvl w:val="1"/>
          <w:numId w:val="13"/>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p>
    <w:p w14:paraId="38E7994F" w14:textId="77777777" w:rsidR="000B1AE5" w:rsidRDefault="000B1AE5" w:rsidP="00E45108">
      <w:pPr>
        <w:pStyle w:val="NormalWeb"/>
        <w:numPr>
          <w:ilvl w:val="0"/>
          <w:numId w:val="14"/>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To what extent have the relationships or contracts with EBERO providers been updated to take into account the changing security landscapes, information security requirements? </w:t>
      </w:r>
    </w:p>
    <w:p w14:paraId="27F13428" w14:textId="77777777" w:rsidR="000B1AE5" w:rsidRDefault="000B1AE5" w:rsidP="00E45108">
      <w:pPr>
        <w:pStyle w:val="NormalWeb"/>
        <w:numPr>
          <w:ilvl w:val="1"/>
          <w:numId w:val="15"/>
        </w:numPr>
        <w:spacing w:before="0" w:beforeAutospacing="0" w:after="0" w:afterAutospacing="0"/>
        <w:jc w:val="both"/>
        <w:textAlignment w:val="baseline"/>
        <w:rPr>
          <w:rFonts w:ascii="Calibri" w:hAnsi="Calibri" w:cs="Calibri"/>
          <w:color w:val="000000"/>
        </w:rPr>
      </w:pPr>
      <w:r>
        <w:rPr>
          <w:rFonts w:ascii="Calibri" w:hAnsi="Calibri" w:cs="Calibri"/>
          <w:i/>
          <w:iCs/>
          <w:color w:val="FF0000"/>
        </w:rPr>
        <w:t>Estimated response date: 31 March 2019</w:t>
      </w:r>
    </w:p>
    <w:p w14:paraId="6B6AAECE" w14:textId="77777777" w:rsidR="000B1AE5" w:rsidRDefault="000B1AE5" w:rsidP="00E45108">
      <w:pPr>
        <w:pStyle w:val="NormalWeb"/>
        <w:spacing w:before="0" w:beforeAutospacing="0" w:after="0" w:afterAutospacing="0"/>
        <w:jc w:val="both"/>
      </w:pPr>
      <w:r>
        <w:rPr>
          <w:rFonts w:ascii="Calibri" w:hAnsi="Calibri" w:cs="Calibri"/>
          <w:color w:val="000000"/>
        </w:rPr>
        <w:t xml:space="preserve"> </w:t>
      </w:r>
    </w:p>
    <w:p w14:paraId="76C11197" w14:textId="77777777" w:rsidR="000B1AE5" w:rsidRDefault="000B1AE5" w:rsidP="00E45108">
      <w:pPr>
        <w:pStyle w:val="NormalWeb"/>
        <w:spacing w:before="0" w:beforeAutospacing="0" w:after="0" w:afterAutospacing="0"/>
        <w:jc w:val="both"/>
      </w:pPr>
      <w:r>
        <w:rPr>
          <w:rFonts w:ascii="Calibri" w:hAnsi="Calibri" w:cs="Calibri"/>
          <w:b/>
          <w:bCs/>
          <w:color w:val="000000"/>
        </w:rPr>
        <w:t>OCTO, open data initiative, and GDPR</w:t>
      </w:r>
    </w:p>
    <w:p w14:paraId="67CCB854" w14:textId="77777777" w:rsidR="000B1AE5" w:rsidRDefault="000B1AE5" w:rsidP="00E45108">
      <w:pPr>
        <w:pStyle w:val="NormalWeb"/>
        <w:numPr>
          <w:ilvl w:val="0"/>
          <w:numId w:val="16"/>
        </w:numPr>
        <w:spacing w:before="0" w:beforeAutospacing="0" w:after="0" w:afterAutospacing="0"/>
        <w:jc w:val="both"/>
        <w:textAlignment w:val="baseline"/>
        <w:rPr>
          <w:rFonts w:ascii="Calibri" w:hAnsi="Calibri" w:cs="Calibri"/>
          <w:color w:val="000000"/>
        </w:rPr>
      </w:pPr>
      <w:r>
        <w:rPr>
          <w:rFonts w:ascii="Calibri" w:hAnsi="Calibri" w:cs="Calibri"/>
          <w:color w:val="000000"/>
        </w:rPr>
        <w:t>Specifically, to what extent and how has the work of OCTO and Compliance been affected by the coming into force of GDPR?  Please provide details.</w:t>
      </w:r>
    </w:p>
    <w:p w14:paraId="33C84CB4" w14:textId="77777777" w:rsidR="000B1AE5" w:rsidRDefault="000B1AE5" w:rsidP="00E45108">
      <w:pPr>
        <w:pStyle w:val="NormalWeb"/>
        <w:numPr>
          <w:ilvl w:val="1"/>
          <w:numId w:val="17"/>
        </w:numPr>
        <w:spacing w:before="0" w:beforeAutospacing="0" w:after="0" w:afterAutospacing="0"/>
        <w:jc w:val="both"/>
        <w:textAlignment w:val="baseline"/>
        <w:rPr>
          <w:rFonts w:ascii="Calibri" w:hAnsi="Calibri" w:cs="Calibri"/>
          <w:color w:val="000000"/>
        </w:rPr>
      </w:pPr>
      <w:r>
        <w:rPr>
          <w:rFonts w:ascii="Calibri" w:hAnsi="Calibri" w:cs="Calibri"/>
          <w:color w:val="000000"/>
          <w:sz w:val="22"/>
          <w:szCs w:val="22"/>
        </w:rPr>
        <w:t>For OCTO SRR our research has so far not been negatively impacted by GDPR.  However, there are possible future studies involving relational connections between registration data that "may" no longer be possible using publicly available WHOIS data. The main, positive, effect has been to ensure that we think more clearly about what data we need and how we process and that store data.</w:t>
      </w:r>
    </w:p>
    <w:p w14:paraId="2633553B" w14:textId="77777777" w:rsidR="000B1AE5" w:rsidRDefault="000B1AE5" w:rsidP="00E45108">
      <w:pPr>
        <w:jc w:val="both"/>
        <w:rPr>
          <w:rFonts w:ascii="Times New Roman" w:hAnsi="Times New Roman" w:cs="Times New Roman"/>
        </w:rPr>
      </w:pPr>
    </w:p>
    <w:p w14:paraId="1A5988FC" w14:textId="77777777" w:rsidR="000B1AE5" w:rsidRDefault="000B1AE5" w:rsidP="00E45108">
      <w:pPr>
        <w:pStyle w:val="NormalWeb"/>
        <w:spacing w:before="0" w:beforeAutospacing="0" w:after="0" w:afterAutospacing="0"/>
        <w:ind w:left="1440"/>
        <w:jc w:val="both"/>
      </w:pPr>
      <w:r>
        <w:rPr>
          <w:rFonts w:ascii="Calibri" w:hAnsi="Calibri" w:cs="Calibri"/>
          <w:color w:val="000000"/>
        </w:rPr>
        <w:t xml:space="preserve">Contractual Compliance has adjusted the review of complaints to account for the changes in registration data made as a result of GDPR and the Temporary Specification for gTLD Registration Data. For any complaint review that requires unredacted registration data, ICANN requests specific data from the contracted party; it is an additional step in the review of the complaint. In some cases, complaints can be resolved without access to non-public registration data. In other </w:t>
      </w:r>
      <w:proofErr w:type="gramStart"/>
      <w:r>
        <w:rPr>
          <w:rFonts w:ascii="Calibri" w:hAnsi="Calibri" w:cs="Calibri"/>
          <w:color w:val="000000"/>
        </w:rPr>
        <w:t>cases</w:t>
      </w:r>
      <w:proofErr w:type="gramEnd"/>
      <w:r>
        <w:rPr>
          <w:rFonts w:ascii="Calibri" w:hAnsi="Calibri" w:cs="Calibri"/>
          <w:color w:val="000000"/>
        </w:rPr>
        <w:t xml:space="preserve"> in which this data is necessary and the contracted party declines to provide it, compliance will take enforcement action against the contracted party.</w:t>
      </w:r>
    </w:p>
    <w:p w14:paraId="77E8E923" w14:textId="77777777" w:rsidR="000B1AE5" w:rsidRDefault="000B1AE5" w:rsidP="00E45108">
      <w:pPr>
        <w:jc w:val="both"/>
      </w:pPr>
    </w:p>
    <w:p w14:paraId="3D44C965" w14:textId="77777777" w:rsidR="000B1AE5" w:rsidRDefault="000B1AE5" w:rsidP="00E45108">
      <w:pPr>
        <w:pStyle w:val="NormalWeb"/>
        <w:spacing w:before="0" w:beforeAutospacing="0" w:after="0" w:afterAutospacing="0"/>
        <w:ind w:left="1440"/>
        <w:jc w:val="both"/>
      </w:pPr>
      <w:r>
        <w:rPr>
          <w:rFonts w:ascii="Calibri" w:hAnsi="Calibri" w:cs="Calibri"/>
          <w:color w:val="000000"/>
        </w:rPr>
        <w:t xml:space="preserve">Information regarding the number of complaints received by ICANN Contractual Compliance from May 2018 that are related to changes made as a result of GDPR and the Temporary Specification is published in the ICANN 64 Prep Week presentation of 27 February 2019 at </w:t>
      </w:r>
      <w:proofErr w:type="gramStart"/>
      <w:r>
        <w:rPr>
          <w:rFonts w:ascii="Calibri" w:hAnsi="Calibri" w:cs="Calibri"/>
          <w:color w:val="000000"/>
        </w:rPr>
        <w:t>https://www.icann.org/en/system/files/files/presentation-compliance-27feb19-en.pdf .</w:t>
      </w:r>
      <w:proofErr w:type="gramEnd"/>
    </w:p>
    <w:p w14:paraId="12EEEDE7" w14:textId="77777777" w:rsidR="000B1AE5" w:rsidRDefault="000B1AE5" w:rsidP="000B1AE5"/>
    <w:p w14:paraId="732971F5" w14:textId="77777777" w:rsidR="000B1AE5" w:rsidRDefault="000B1AE5" w:rsidP="00AC3D4A">
      <w:pPr>
        <w:pStyle w:val="NormalWeb"/>
        <w:numPr>
          <w:ilvl w:val="0"/>
          <w:numId w:val="18"/>
        </w:numPr>
        <w:spacing w:before="0" w:beforeAutospacing="0" w:after="0" w:afterAutospacing="0"/>
        <w:textAlignment w:val="baseline"/>
        <w:rPr>
          <w:rFonts w:ascii="Calibri" w:hAnsi="Calibri" w:cs="Calibri"/>
          <w:color w:val="000000"/>
        </w:rPr>
      </w:pPr>
      <w:r>
        <w:rPr>
          <w:rFonts w:ascii="Calibri" w:hAnsi="Calibri" w:cs="Calibri"/>
          <w:color w:val="000000"/>
        </w:rPr>
        <w:t>Is OCTO going to provide public information on DAAR and its findings and how much will that cost?</w:t>
      </w:r>
    </w:p>
    <w:p w14:paraId="1805C94E" w14:textId="77777777" w:rsidR="000B1AE5" w:rsidRPr="00E45108" w:rsidRDefault="000B1AE5" w:rsidP="00E45108">
      <w:pPr>
        <w:pStyle w:val="NormalWeb"/>
        <w:numPr>
          <w:ilvl w:val="1"/>
          <w:numId w:val="19"/>
        </w:numPr>
        <w:spacing w:before="0" w:beforeAutospacing="0" w:after="0" w:afterAutospacing="0"/>
        <w:jc w:val="both"/>
        <w:textAlignment w:val="baseline"/>
        <w:rPr>
          <w:rFonts w:asciiTheme="minorHAnsi" w:hAnsiTheme="minorHAnsi" w:cstheme="minorHAnsi"/>
          <w:color w:val="000000"/>
        </w:rPr>
      </w:pPr>
      <w:r>
        <w:rPr>
          <w:rFonts w:ascii="Calibri" w:hAnsi="Calibri" w:cs="Calibri"/>
          <w:color w:val="000000"/>
          <w:sz w:val="22"/>
          <w:szCs w:val="22"/>
        </w:rPr>
        <w:t xml:space="preserve">ICANN started in February 2019, by publishing monthly reports from DAAR. We also intend to </w:t>
      </w:r>
      <w:r w:rsidRPr="00E45108">
        <w:rPr>
          <w:rFonts w:asciiTheme="minorHAnsi" w:hAnsiTheme="minorHAnsi" w:cstheme="minorHAnsi"/>
          <w:color w:val="000000"/>
          <w:sz w:val="22"/>
          <w:szCs w:val="22"/>
        </w:rPr>
        <w:t>publish back dated reports. (Currently published back to June 2018.</w:t>
      </w:r>
      <w:hyperlink r:id="rId11" w:history="1">
        <w:r w:rsidRPr="00E45108">
          <w:rPr>
            <w:rStyle w:val="Hyperlink"/>
            <w:rFonts w:asciiTheme="minorHAnsi" w:hAnsiTheme="minorHAnsi" w:cstheme="minorHAnsi"/>
            <w:color w:val="000000"/>
            <w:sz w:val="22"/>
            <w:szCs w:val="22"/>
          </w:rPr>
          <w:t xml:space="preserve"> </w:t>
        </w:r>
        <w:r w:rsidRPr="00E45108">
          <w:rPr>
            <w:rStyle w:val="Hyperlink"/>
            <w:rFonts w:asciiTheme="minorHAnsi" w:hAnsiTheme="minorHAnsi" w:cstheme="minorHAnsi"/>
            <w:color w:val="1155CC"/>
            <w:sz w:val="22"/>
            <w:szCs w:val="22"/>
          </w:rPr>
          <w:t>https://www.icann.org/octo-ssr/daar</w:t>
        </w:r>
      </w:hyperlink>
      <w:r w:rsidRPr="00E45108">
        <w:rPr>
          <w:rFonts w:asciiTheme="minorHAnsi" w:hAnsiTheme="minorHAnsi" w:cstheme="minorHAnsi"/>
          <w:color w:val="000000"/>
          <w:sz w:val="22"/>
          <w:szCs w:val="22"/>
        </w:rPr>
        <w:t xml:space="preserve">).  Further publications may be possible and will be part of discussions with the community. </w:t>
      </w:r>
    </w:p>
    <w:p w14:paraId="31086E35" w14:textId="77777777" w:rsidR="000B1AE5" w:rsidRPr="00E45108" w:rsidRDefault="000B1AE5" w:rsidP="00E45108">
      <w:pPr>
        <w:pStyle w:val="NormalWeb"/>
        <w:numPr>
          <w:ilvl w:val="1"/>
          <w:numId w:val="19"/>
        </w:numPr>
        <w:spacing w:before="0" w:beforeAutospacing="0" w:after="0" w:afterAutospacing="0"/>
        <w:jc w:val="both"/>
        <w:textAlignment w:val="baseline"/>
        <w:rPr>
          <w:rFonts w:asciiTheme="minorHAnsi" w:hAnsiTheme="minorHAnsi" w:cstheme="minorHAnsi"/>
          <w:i/>
          <w:iCs/>
          <w:color w:val="FF0000"/>
        </w:rPr>
      </w:pPr>
      <w:r w:rsidRPr="00E45108">
        <w:rPr>
          <w:rFonts w:asciiTheme="minorHAnsi" w:hAnsiTheme="minorHAnsi" w:cstheme="minorHAnsi"/>
          <w:i/>
          <w:iCs/>
          <w:color w:val="FF0000"/>
          <w:sz w:val="22"/>
          <w:szCs w:val="22"/>
        </w:rPr>
        <w:t>Note, the answer to the cost part of this question is outstanding.</w:t>
      </w:r>
    </w:p>
    <w:p w14:paraId="2B78BBED" w14:textId="77777777" w:rsidR="000B1AE5" w:rsidRPr="00E45108" w:rsidRDefault="000B1AE5" w:rsidP="00E45108">
      <w:pPr>
        <w:pStyle w:val="NormalWeb"/>
        <w:numPr>
          <w:ilvl w:val="0"/>
          <w:numId w:val="20"/>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color w:val="000000"/>
        </w:rPr>
        <w:lastRenderedPageBreak/>
        <w:t>To what extent are there correlations between certain types of contracted party business models and certain types of abuse? Please provide details</w:t>
      </w:r>
    </w:p>
    <w:p w14:paraId="51CE3050" w14:textId="77777777" w:rsidR="000B1AE5" w:rsidRPr="00E45108" w:rsidRDefault="000B1AE5" w:rsidP="00E45108">
      <w:pPr>
        <w:pStyle w:val="NormalWeb"/>
        <w:numPr>
          <w:ilvl w:val="1"/>
          <w:numId w:val="21"/>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color w:val="000000"/>
          <w:sz w:val="22"/>
          <w:szCs w:val="22"/>
        </w:rPr>
        <w:t>ICANN Contractual Compliance is not able to respond to this question as we do not have nor collect business model information.</w:t>
      </w:r>
    </w:p>
    <w:p w14:paraId="6E205642" w14:textId="77777777" w:rsidR="000B1AE5" w:rsidRPr="00E45108" w:rsidRDefault="000B1AE5" w:rsidP="00E45108">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color w:val="000000"/>
        </w:rPr>
        <w:t>Is there a plan to make the information from DAAR actionable by registries and registrars?  Please provide details.</w:t>
      </w:r>
    </w:p>
    <w:p w14:paraId="699A2313" w14:textId="77777777" w:rsidR="000B1AE5" w:rsidRPr="00E45108" w:rsidRDefault="000B1AE5" w:rsidP="00E45108">
      <w:pPr>
        <w:pStyle w:val="NormalWeb"/>
        <w:numPr>
          <w:ilvl w:val="1"/>
          <w:numId w:val="23"/>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color w:val="000000"/>
          <w:sz w:val="22"/>
          <w:szCs w:val="22"/>
        </w:rPr>
        <w:t>As stated in the Frequently Asked Questions on DAAR at this link -</w:t>
      </w:r>
      <w:hyperlink r:id="rId12" w:history="1">
        <w:r w:rsidRPr="00E45108">
          <w:rPr>
            <w:rStyle w:val="Hyperlink"/>
            <w:rFonts w:asciiTheme="minorHAnsi" w:hAnsiTheme="minorHAnsi" w:cstheme="minorHAnsi"/>
            <w:color w:val="000000"/>
            <w:sz w:val="22"/>
            <w:szCs w:val="22"/>
          </w:rPr>
          <w:t xml:space="preserve"> </w:t>
        </w:r>
        <w:r w:rsidRPr="00E45108">
          <w:rPr>
            <w:rStyle w:val="Hyperlink"/>
            <w:rFonts w:asciiTheme="minorHAnsi" w:hAnsiTheme="minorHAnsi" w:cstheme="minorHAnsi"/>
            <w:color w:val="1155CC"/>
            <w:sz w:val="22"/>
            <w:szCs w:val="22"/>
          </w:rPr>
          <w:t>https://www.icann.org/octo-ssr/daar-faqs</w:t>
        </w:r>
      </w:hyperlink>
      <w:r w:rsidRPr="00E45108">
        <w:rPr>
          <w:rFonts w:asciiTheme="minorHAnsi" w:hAnsiTheme="minorHAnsi" w:cstheme="minorHAnsi"/>
          <w:color w:val="000000"/>
          <w:sz w:val="22"/>
          <w:szCs w:val="22"/>
        </w:rPr>
        <w:t xml:space="preserve"> - the data collected by this system could serve as a platform for studying daily or historical registration or abuse activities and for reporting activity and to assist the ICANN organization's Contractual Compliance department in obtaining additional information relating to Domain Name System (DNS) abuse for an accredited registrar or TLD registry operator.</w:t>
      </w:r>
    </w:p>
    <w:p w14:paraId="59408EE8" w14:textId="77777777" w:rsidR="000B1AE5" w:rsidRPr="00E45108" w:rsidRDefault="000B1AE5" w:rsidP="00E45108">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color w:val="000000"/>
        </w:rPr>
        <w:t>Is there a plan to continue research on the abuse of and possible safeguards in the DNS, and in particular with reference to New gTLDs, following the report on DNS abuse (commissioned by CCT Review Team)?</w:t>
      </w:r>
    </w:p>
    <w:p w14:paraId="1CB72F8D" w14:textId="77777777" w:rsidR="000B1AE5" w:rsidRPr="00E45108" w:rsidRDefault="000B1AE5" w:rsidP="00E45108">
      <w:pPr>
        <w:pStyle w:val="NormalWeb"/>
        <w:numPr>
          <w:ilvl w:val="1"/>
          <w:numId w:val="25"/>
        </w:numPr>
        <w:spacing w:before="0" w:beforeAutospacing="0" w:after="0" w:afterAutospacing="0"/>
        <w:jc w:val="both"/>
        <w:textAlignment w:val="baseline"/>
        <w:rPr>
          <w:rFonts w:asciiTheme="minorHAnsi" w:hAnsiTheme="minorHAnsi" w:cstheme="minorHAnsi"/>
          <w:color w:val="000000"/>
        </w:rPr>
      </w:pPr>
      <w:r w:rsidRPr="00E45108">
        <w:rPr>
          <w:rFonts w:asciiTheme="minorHAnsi" w:hAnsiTheme="minorHAnsi" w:cstheme="minorHAnsi"/>
          <w:i/>
          <w:iCs/>
          <w:color w:val="FF0000"/>
        </w:rPr>
        <w:t>Estimated response date: 31 March 2019</w:t>
      </w:r>
    </w:p>
    <w:p w14:paraId="65E75023" w14:textId="17CD1E7D" w:rsidR="0083088C" w:rsidRPr="00E45108" w:rsidRDefault="0083088C" w:rsidP="00E45108">
      <w:pPr>
        <w:jc w:val="both"/>
        <w:rPr>
          <w:rFonts w:cstheme="minorHAnsi"/>
        </w:rPr>
      </w:pPr>
    </w:p>
    <w:p w14:paraId="2C4DA71E" w14:textId="77777777" w:rsidR="000B1AE5" w:rsidRPr="00E45108" w:rsidRDefault="000B1AE5" w:rsidP="00E45108">
      <w:pPr>
        <w:pStyle w:val="NormalWeb"/>
        <w:spacing w:before="0" w:beforeAutospacing="0" w:after="0" w:afterAutospacing="0"/>
        <w:jc w:val="both"/>
        <w:rPr>
          <w:rFonts w:asciiTheme="minorHAnsi" w:hAnsiTheme="minorHAnsi" w:cstheme="minorHAnsi"/>
        </w:rPr>
      </w:pPr>
      <w:r w:rsidRPr="00E45108">
        <w:rPr>
          <w:rFonts w:asciiTheme="minorHAnsi" w:hAnsiTheme="minorHAnsi" w:cstheme="minorHAnsi"/>
          <w:color w:val="000000"/>
          <w:sz w:val="22"/>
          <w:szCs w:val="22"/>
        </w:rPr>
        <w:t>WHOIS</w:t>
      </w:r>
    </w:p>
    <w:p w14:paraId="3A10F726" w14:textId="77777777" w:rsidR="000B1AE5" w:rsidRPr="00E45108" w:rsidRDefault="000B1AE5" w:rsidP="00E45108">
      <w:pPr>
        <w:pStyle w:val="NormalWeb"/>
        <w:numPr>
          <w:ilvl w:val="0"/>
          <w:numId w:val="27"/>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For the new gTLDs and registrars that have the highest inaccuracy rates – what processes do you follow, what actions do you take to address? (See SADAG, DAAR) For example, does Compliance treat registrars with higher accuracy rates to greater scrutiny &amp; compliance activity? If not, why?</w:t>
      </w:r>
    </w:p>
    <w:p w14:paraId="37E6510F" w14:textId="77777777" w:rsidR="000B1AE5" w:rsidRPr="00E45108" w:rsidRDefault="000B1AE5" w:rsidP="00E45108">
      <w:pPr>
        <w:pStyle w:val="NormalWeb"/>
        <w:numPr>
          <w:ilvl w:val="1"/>
          <w:numId w:val="28"/>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Contractual Compliance has a standard Approach and Process (https://www.icann.org/resources/pages/approach-processes-2012-02-25-en) that applies across the registrar, registry and audit program. </w:t>
      </w:r>
    </w:p>
    <w:p w14:paraId="19C087A4" w14:textId="77777777" w:rsidR="000B1AE5" w:rsidRPr="00E45108" w:rsidRDefault="000B1AE5" w:rsidP="00E45108">
      <w:pPr>
        <w:jc w:val="both"/>
        <w:rPr>
          <w:rFonts w:cstheme="minorHAnsi"/>
          <w:sz w:val="24"/>
          <w:szCs w:val="24"/>
        </w:rPr>
      </w:pPr>
    </w:p>
    <w:p w14:paraId="0A20543B"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 xml:space="preserve">Contractual Compliance monitors complaints to identify patterns and systemic issues of noncompliance within and across the complaint types and the contracted </w:t>
      </w:r>
      <w:proofErr w:type="spellStart"/>
      <w:proofErr w:type="gramStart"/>
      <w:r w:rsidRPr="00E45108">
        <w:rPr>
          <w:rFonts w:asciiTheme="minorHAnsi" w:hAnsiTheme="minorHAnsi" w:cstheme="minorHAnsi"/>
          <w:color w:val="000000"/>
          <w:sz w:val="22"/>
          <w:szCs w:val="22"/>
        </w:rPr>
        <w:t>parties.This</w:t>
      </w:r>
      <w:proofErr w:type="spellEnd"/>
      <w:proofErr w:type="gramEnd"/>
      <w:r w:rsidRPr="00E45108">
        <w:rPr>
          <w:rFonts w:asciiTheme="minorHAnsi" w:hAnsiTheme="minorHAnsi" w:cstheme="minorHAnsi"/>
          <w:color w:val="000000"/>
          <w:sz w:val="22"/>
          <w:szCs w:val="22"/>
        </w:rPr>
        <w:t xml:space="preserve"> effort is useful in identifying trends of issues and most importantly in identifying opportunities to conduct outreach or additional proactive monitoring.</w:t>
      </w:r>
    </w:p>
    <w:p w14:paraId="154C1103" w14:textId="77777777" w:rsidR="000B1AE5" w:rsidRPr="00E45108" w:rsidRDefault="000B1AE5" w:rsidP="00E45108">
      <w:pPr>
        <w:jc w:val="both"/>
        <w:rPr>
          <w:rFonts w:cstheme="minorHAnsi"/>
        </w:rPr>
      </w:pPr>
    </w:p>
    <w:p w14:paraId="22354EB3"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For example, based on trends identified by Contractual Compliance (including review of WHOIS inaccuracy complaints submitted by the public and generated as a result of the WHOIS ARS), Contractual Compliance launched a WHOIS Inquiry effort in 2016 that focused on registrars in China and Korea. These inquiries focused on issues with the 2013 RAA WHOIS Accuracy Specification Program (WAPS) requirements. These efforts continued for registrars in China, United States and other regions. Please refer to the annual update published at this link:  </w:t>
      </w:r>
      <w:proofErr w:type="gramStart"/>
      <w:r w:rsidRPr="00E45108">
        <w:rPr>
          <w:rFonts w:asciiTheme="minorHAnsi" w:hAnsiTheme="minorHAnsi" w:cstheme="minorHAnsi"/>
          <w:color w:val="000000"/>
          <w:sz w:val="22"/>
          <w:szCs w:val="22"/>
        </w:rPr>
        <w:t>https://www.icann.org/en/system/files/files/annual-2016-31jan17-en.pdf .</w:t>
      </w:r>
      <w:proofErr w:type="gramEnd"/>
      <w:r w:rsidRPr="00E45108">
        <w:rPr>
          <w:rFonts w:asciiTheme="minorHAnsi" w:hAnsiTheme="minorHAnsi" w:cstheme="minorHAnsi"/>
          <w:color w:val="000000"/>
          <w:sz w:val="22"/>
          <w:szCs w:val="22"/>
        </w:rPr>
        <w:t xml:space="preserve"> Outreach efforts are ongoing; please refer to Outreach page (https://www.icann.org/resources/compliance-reporting-performance) for more information.</w:t>
      </w:r>
    </w:p>
    <w:p w14:paraId="7218DBC0" w14:textId="77777777" w:rsidR="000B1AE5" w:rsidRPr="00E45108" w:rsidRDefault="000B1AE5" w:rsidP="00E45108">
      <w:pPr>
        <w:pStyle w:val="NormalWeb"/>
        <w:numPr>
          <w:ilvl w:val="0"/>
          <w:numId w:val="2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What trends is Compliance seeing in the Periodic Reporting-- are accuracy rates going up or down? If the rates are going down-- how does Compliance change its activities to determine the root cause?</w:t>
      </w:r>
    </w:p>
    <w:p w14:paraId="3EB353D4" w14:textId="77777777" w:rsidR="000B1AE5" w:rsidRPr="00E45108" w:rsidRDefault="000B1AE5" w:rsidP="00E45108">
      <w:pPr>
        <w:pStyle w:val="NormalWeb"/>
        <w:numPr>
          <w:ilvl w:val="1"/>
          <w:numId w:val="30"/>
        </w:numPr>
        <w:spacing w:before="0" w:beforeAutospacing="0" w:after="0" w:afterAutospacing="0"/>
        <w:jc w:val="both"/>
        <w:textAlignment w:val="baseline"/>
        <w:rPr>
          <w:rFonts w:asciiTheme="minorHAnsi" w:hAnsiTheme="minorHAnsi" w:cstheme="minorHAnsi"/>
          <w:color w:val="000000"/>
          <w:sz w:val="22"/>
          <w:szCs w:val="22"/>
          <w:highlight w:val="yellow"/>
        </w:rPr>
      </w:pPr>
      <w:r w:rsidRPr="00E45108">
        <w:rPr>
          <w:rFonts w:asciiTheme="minorHAnsi" w:hAnsiTheme="minorHAnsi" w:cstheme="minorHAnsi"/>
          <w:color w:val="000000"/>
          <w:sz w:val="22"/>
          <w:szCs w:val="22"/>
        </w:rPr>
        <w:t xml:space="preserve">Contractual Compliance has observed a reduction in WHOIS Inaccuracy complaints being filed over the course of 2018 (https://features.icann.org/compliance/prevention-stats). This could be due to limited access to WHOIS data. </w:t>
      </w:r>
      <w:r w:rsidRPr="00E45108">
        <w:rPr>
          <w:rFonts w:asciiTheme="minorHAnsi" w:hAnsiTheme="minorHAnsi" w:cstheme="minorHAnsi"/>
          <w:color w:val="000000"/>
          <w:sz w:val="22"/>
          <w:szCs w:val="22"/>
          <w:highlight w:val="yellow"/>
        </w:rPr>
        <w:t xml:space="preserve">The General Data Protection Regulation (GDPR) and the Temporary </w:t>
      </w:r>
      <w:r w:rsidRPr="00E45108">
        <w:rPr>
          <w:rFonts w:asciiTheme="minorHAnsi" w:hAnsiTheme="minorHAnsi" w:cstheme="minorHAnsi"/>
          <w:color w:val="000000"/>
          <w:sz w:val="22"/>
          <w:szCs w:val="22"/>
          <w:highlight w:val="yellow"/>
        </w:rPr>
        <w:lastRenderedPageBreak/>
        <w:t xml:space="preserve">Specification for gTLD Registration Data has limited the amount of </w:t>
      </w:r>
      <w:proofErr w:type="spellStart"/>
      <w:r w:rsidRPr="00E45108">
        <w:rPr>
          <w:rFonts w:asciiTheme="minorHAnsi" w:hAnsiTheme="minorHAnsi" w:cstheme="minorHAnsi"/>
          <w:color w:val="000000"/>
          <w:sz w:val="22"/>
          <w:szCs w:val="22"/>
          <w:highlight w:val="yellow"/>
        </w:rPr>
        <w:t>Whois</w:t>
      </w:r>
      <w:proofErr w:type="spellEnd"/>
      <w:r w:rsidRPr="00E45108">
        <w:rPr>
          <w:rFonts w:asciiTheme="minorHAnsi" w:hAnsiTheme="minorHAnsi" w:cstheme="minorHAnsi"/>
          <w:color w:val="000000"/>
          <w:sz w:val="22"/>
          <w:szCs w:val="22"/>
          <w:highlight w:val="yellow"/>
        </w:rPr>
        <w:t xml:space="preserve"> data that is published. Contractual Compliance has adjusted the review of complaints to account for the changes in registration data. For any complaint review that requires unredacted registration data, ICANN requests specific data from contracted party; it is an additional step in the review of the complaint. The Expedited Policy Development Process (EPDP) work that is currently ongoing will be key to future </w:t>
      </w:r>
      <w:proofErr w:type="spellStart"/>
      <w:r w:rsidRPr="00E45108">
        <w:rPr>
          <w:rFonts w:asciiTheme="minorHAnsi" w:hAnsiTheme="minorHAnsi" w:cstheme="minorHAnsi"/>
          <w:color w:val="000000"/>
          <w:sz w:val="22"/>
          <w:szCs w:val="22"/>
          <w:highlight w:val="yellow"/>
        </w:rPr>
        <w:t>Whois</w:t>
      </w:r>
      <w:proofErr w:type="spellEnd"/>
      <w:r w:rsidRPr="00E45108">
        <w:rPr>
          <w:rFonts w:asciiTheme="minorHAnsi" w:hAnsiTheme="minorHAnsi" w:cstheme="minorHAnsi"/>
          <w:color w:val="000000"/>
          <w:sz w:val="22"/>
          <w:szCs w:val="22"/>
          <w:highlight w:val="yellow"/>
        </w:rPr>
        <w:t xml:space="preserve"> data reviews and analysis.</w:t>
      </w:r>
    </w:p>
    <w:p w14:paraId="00A3C842"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 xml:space="preserve">Please note the volume of received complaints only represent the number of complaints that were reported and does not mean that all complaints are valid. For </w:t>
      </w:r>
      <w:proofErr w:type="gramStart"/>
      <w:r w:rsidRPr="00E45108">
        <w:rPr>
          <w:rFonts w:asciiTheme="minorHAnsi" w:hAnsiTheme="minorHAnsi" w:cstheme="minorHAnsi"/>
          <w:color w:val="000000"/>
          <w:sz w:val="22"/>
          <w:szCs w:val="22"/>
        </w:rPr>
        <w:t>example</w:t>
      </w:r>
      <w:proofErr w:type="gramEnd"/>
      <w:r w:rsidRPr="00E45108">
        <w:rPr>
          <w:rFonts w:asciiTheme="minorHAnsi" w:hAnsiTheme="minorHAnsi" w:cstheme="minorHAnsi"/>
          <w:color w:val="000000"/>
          <w:sz w:val="22"/>
          <w:szCs w:val="22"/>
        </w:rPr>
        <w:t xml:space="preserve"> for the month of October 2018, ICANN received 1255 WHOIS Inaccuracy complaints, closed 962 before sending to the registrar and processed 293. Please refer to the quarterly Registrar Closed Complaints by Closure Code to learn more about the reasons. Generally speaking, most are closed before sending to a registrar for reasons like, duplicate complaint, domain name is suspended already.</w:t>
      </w:r>
    </w:p>
    <w:p w14:paraId="26463018" w14:textId="77777777" w:rsidR="000B1AE5" w:rsidRPr="00E45108" w:rsidRDefault="000B1AE5" w:rsidP="00E45108">
      <w:pPr>
        <w:pStyle w:val="NormalWeb"/>
        <w:numPr>
          <w:ilvl w:val="0"/>
          <w:numId w:val="31"/>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What contract changes would Compliance like to see to enhance its ability to respond to complaints of inaccurate WHOIS?</w:t>
      </w:r>
    </w:p>
    <w:p w14:paraId="6DAFD153" w14:textId="77777777" w:rsidR="000B1AE5" w:rsidRPr="00E45108" w:rsidRDefault="000B1AE5" w:rsidP="00E45108">
      <w:pPr>
        <w:pStyle w:val="NormalWeb"/>
        <w:numPr>
          <w:ilvl w:val="1"/>
          <w:numId w:val="32"/>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highlight w:val="yellow"/>
        </w:rPr>
        <w:t>Contractual Compliance does not see a need to change the Registrar Accreditation Agreement to respond to complaints of inaccurate WHOIS. Additionally, the Registration Data Access Protocol (https://www.icann.org/rdap) work is underway and should address among other things, standardization, access and security. Contractual Compliance will respond to any complaints of inaccurate WHOIS according to the then-effective agreements and policies</w:t>
      </w:r>
      <w:r w:rsidRPr="00E45108">
        <w:rPr>
          <w:rFonts w:asciiTheme="minorHAnsi" w:hAnsiTheme="minorHAnsi" w:cstheme="minorHAnsi"/>
          <w:color w:val="000000"/>
          <w:sz w:val="22"/>
          <w:szCs w:val="22"/>
        </w:rPr>
        <w:t>.</w:t>
      </w:r>
    </w:p>
    <w:p w14:paraId="0CFE42DF" w14:textId="77777777" w:rsidR="000B1AE5" w:rsidRPr="00E45108" w:rsidRDefault="000B1AE5" w:rsidP="00E45108">
      <w:pPr>
        <w:pStyle w:val="NormalWeb"/>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Does ICANN Compliance treat WHOIS complaints differently if the complaint is coupled with allegations of DNS </w:t>
      </w:r>
      <w:proofErr w:type="gramStart"/>
      <w:r w:rsidRPr="00E45108">
        <w:rPr>
          <w:rFonts w:asciiTheme="minorHAnsi" w:hAnsiTheme="minorHAnsi" w:cstheme="minorHAnsi"/>
          <w:color w:val="000000"/>
          <w:sz w:val="22"/>
          <w:szCs w:val="22"/>
        </w:rPr>
        <w:t>abuse.</w:t>
      </w:r>
      <w:proofErr w:type="gramEnd"/>
      <w:r w:rsidRPr="00E45108">
        <w:rPr>
          <w:rFonts w:asciiTheme="minorHAnsi" w:hAnsiTheme="minorHAnsi" w:cstheme="minorHAnsi"/>
          <w:color w:val="000000"/>
          <w:sz w:val="22"/>
          <w:szCs w:val="22"/>
        </w:rPr>
        <w:t xml:space="preserve"> Why not? Could ICANN Compliance have a different process for responding to WHOIS complaints when coupled with DNS abuse and cybercrime allegations?</w:t>
      </w:r>
    </w:p>
    <w:p w14:paraId="11581B7D" w14:textId="77777777" w:rsidR="000B1AE5" w:rsidRPr="00E45108" w:rsidRDefault="000B1AE5" w:rsidP="00E45108">
      <w:pPr>
        <w:pStyle w:val="NormalWeb"/>
        <w:numPr>
          <w:ilvl w:val="1"/>
          <w:numId w:val="34"/>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Contractual Compliance reviews all complaints from a holistic perspective to determine whether multiple issues may be in scope of the ICANN agreements and policies and need to be addressed by a contracted party. Where appropriate, the contracted party is requested to address multiple issues in a single compliance ticket, and if not (e.g., where different contractual timelines are applicable to each issue), the issues will be addressed separately. However, the standard Contractual Compliance Approach and Process is applied to all compliance matters regardless of topic.  </w:t>
      </w:r>
    </w:p>
    <w:p w14:paraId="7C233FE8" w14:textId="77777777" w:rsidR="000B1AE5" w:rsidRPr="00E45108" w:rsidRDefault="000B1AE5" w:rsidP="00E45108">
      <w:pPr>
        <w:pStyle w:val="NormalWeb"/>
        <w:numPr>
          <w:ilvl w:val="0"/>
          <w:numId w:val="35"/>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How does ICANN Compliance interpret 3.18: Registrar shall take reasonable and prompt steps to investigate and respond appropriately to any reports of </w:t>
      </w:r>
      <w:proofErr w:type="gramStart"/>
      <w:r w:rsidRPr="00E45108">
        <w:rPr>
          <w:rFonts w:asciiTheme="minorHAnsi" w:hAnsiTheme="minorHAnsi" w:cstheme="minorHAnsi"/>
          <w:color w:val="000000"/>
          <w:sz w:val="22"/>
          <w:szCs w:val="22"/>
        </w:rPr>
        <w:t>abuse.</w:t>
      </w:r>
      <w:proofErr w:type="gramEnd"/>
    </w:p>
    <w:p w14:paraId="6F579BA4" w14:textId="77777777" w:rsidR="000B1AE5" w:rsidRPr="00E45108" w:rsidRDefault="000B1AE5" w:rsidP="00E45108">
      <w:pPr>
        <w:pStyle w:val="NormalWeb"/>
        <w:numPr>
          <w:ilvl w:val="0"/>
          <w:numId w:val="36"/>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What are "reasonable steps" and have there been any instances where Compliance has found that the Registrar did not take reasonable steps?</w:t>
      </w:r>
    </w:p>
    <w:p w14:paraId="0EFAE63B" w14:textId="77777777" w:rsidR="000B1AE5" w:rsidRPr="00E45108" w:rsidRDefault="000B1AE5" w:rsidP="00E45108">
      <w:pPr>
        <w:pStyle w:val="NormalWeb"/>
        <w:numPr>
          <w:ilvl w:val="0"/>
          <w:numId w:val="36"/>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Did Compliance seek community input into how to interpret 3.18?</w:t>
      </w:r>
    </w:p>
    <w:p w14:paraId="4A5F1E74" w14:textId="77777777" w:rsidR="000B1AE5" w:rsidRPr="00E45108" w:rsidRDefault="000B1AE5" w:rsidP="00E45108">
      <w:pPr>
        <w:pStyle w:val="NormalWeb"/>
        <w:numPr>
          <w:ilvl w:val="0"/>
          <w:numId w:val="36"/>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What changes would Compliance suggest to enhance its ability to take action under 3.18?</w:t>
      </w:r>
    </w:p>
    <w:p w14:paraId="3E202ABF" w14:textId="77777777" w:rsidR="000B1AE5" w:rsidRPr="00E45108" w:rsidRDefault="000B1AE5" w:rsidP="00E45108">
      <w:pPr>
        <w:pStyle w:val="NormalWeb"/>
        <w:numPr>
          <w:ilvl w:val="1"/>
          <w:numId w:val="37"/>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Contractual Compliance monitors compliance with Section 3.18 of the 2013 RAA through processing abuse complaints submitted through the Registrar Standards Complaint Form (https://forms.icann.org/en/resources/compliance/complaints/registrars/standards-complaint-form) and by conducting the Registrar Audit Program which includes the obligations of Sections 3.18.1, 3.18.2 and 3.18.3 of the 2013 RAA.</w:t>
      </w:r>
    </w:p>
    <w:p w14:paraId="7314BCB9" w14:textId="77777777" w:rsidR="000B1AE5" w:rsidRPr="00E45108" w:rsidRDefault="000B1AE5" w:rsidP="00E45108">
      <w:pPr>
        <w:jc w:val="both"/>
        <w:rPr>
          <w:rFonts w:cstheme="minorHAnsi"/>
          <w:sz w:val="24"/>
          <w:szCs w:val="24"/>
        </w:rPr>
      </w:pPr>
    </w:p>
    <w:p w14:paraId="7D98EF27"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For abuse complaints, ICANN collects evidence from the reporter and confirms that the reporter sent abuse report(s) to the registrar’s abuse contact email address before sending the complaint to registrar. Once confirmed, ICANN could request the registrar to provide:</w:t>
      </w:r>
    </w:p>
    <w:p w14:paraId="6F1BA560"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A description of the steps taken to investigate and respond to abuse report</w:t>
      </w:r>
    </w:p>
    <w:p w14:paraId="12A4379C"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lastRenderedPageBreak/>
        <w:t>The amount of time taken to respond to abuse report</w:t>
      </w:r>
    </w:p>
    <w:p w14:paraId="40F60628"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All correspondence with complainant and registrant</w:t>
      </w:r>
    </w:p>
    <w:p w14:paraId="395705FF"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The link to website’s abuse contact email and handling procedure</w:t>
      </w:r>
    </w:p>
    <w:p w14:paraId="5A8DDCD4"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The location of dedicated abuse email and telephone for law-enforcement reports</w:t>
      </w:r>
    </w:p>
    <w:p w14:paraId="0F5D9F03"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The registrar’s WHOIS abuse contacts, email address and phone number</w:t>
      </w:r>
    </w:p>
    <w:p w14:paraId="15AA0272" w14:textId="77777777" w:rsidR="000B1AE5" w:rsidRPr="00E45108" w:rsidRDefault="000B1AE5" w:rsidP="00E45108">
      <w:pPr>
        <w:pStyle w:val="NormalWeb"/>
        <w:numPr>
          <w:ilvl w:val="0"/>
          <w:numId w:val="38"/>
        </w:numPr>
        <w:spacing w:before="0" w:beforeAutospacing="0" w:after="0" w:afterAutospacing="0"/>
        <w:ind w:left="216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Examples of steps registrars have taken to investigate and respond to abuse reports include:</w:t>
      </w:r>
    </w:p>
    <w:p w14:paraId="362C866A"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Contacting the registrant </w:t>
      </w:r>
      <w:r w:rsidRPr="00E45108">
        <w:rPr>
          <w:rFonts w:ascii="Tahoma" w:hAnsi="Tahoma" w:cs="Tahoma"/>
          <w:color w:val="000000"/>
          <w:sz w:val="22"/>
          <w:szCs w:val="22"/>
        </w:rPr>
        <w:t> </w:t>
      </w:r>
    </w:p>
    <w:p w14:paraId="652D506B"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Requesting and obtaining evidence or licenses </w:t>
      </w:r>
      <w:r w:rsidRPr="00E45108">
        <w:rPr>
          <w:rFonts w:ascii="Tahoma" w:hAnsi="Tahoma" w:cs="Tahoma"/>
          <w:color w:val="000000"/>
          <w:sz w:val="22"/>
          <w:szCs w:val="22"/>
        </w:rPr>
        <w:t> </w:t>
      </w:r>
    </w:p>
    <w:p w14:paraId="167316C1"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Providing hosting provider information to complainant </w:t>
      </w:r>
      <w:r w:rsidRPr="00E45108">
        <w:rPr>
          <w:rFonts w:ascii="Tahoma" w:hAnsi="Tahoma" w:cs="Tahoma"/>
          <w:color w:val="000000"/>
          <w:sz w:val="22"/>
          <w:szCs w:val="22"/>
        </w:rPr>
        <w:t> </w:t>
      </w:r>
    </w:p>
    <w:p w14:paraId="583CA395"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Performing </w:t>
      </w:r>
      <w:proofErr w:type="spellStart"/>
      <w:r w:rsidRPr="00E45108">
        <w:rPr>
          <w:rFonts w:asciiTheme="minorHAnsi" w:hAnsiTheme="minorHAnsi" w:cstheme="minorHAnsi"/>
          <w:color w:val="000000"/>
          <w:sz w:val="22"/>
          <w:szCs w:val="22"/>
        </w:rPr>
        <w:t>Whois</w:t>
      </w:r>
      <w:proofErr w:type="spellEnd"/>
      <w:r w:rsidRPr="00E45108">
        <w:rPr>
          <w:rFonts w:asciiTheme="minorHAnsi" w:hAnsiTheme="minorHAnsi" w:cstheme="minorHAnsi"/>
          <w:color w:val="000000"/>
          <w:sz w:val="22"/>
          <w:szCs w:val="22"/>
        </w:rPr>
        <w:t xml:space="preserve"> verification </w:t>
      </w:r>
      <w:r w:rsidRPr="00E45108">
        <w:rPr>
          <w:rFonts w:ascii="Tahoma" w:hAnsi="Tahoma" w:cs="Tahoma"/>
          <w:color w:val="000000"/>
          <w:sz w:val="22"/>
          <w:szCs w:val="22"/>
        </w:rPr>
        <w:t> </w:t>
      </w:r>
    </w:p>
    <w:p w14:paraId="295C712F"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Performing transfer upon request of registrant </w:t>
      </w:r>
      <w:r w:rsidRPr="00E45108">
        <w:rPr>
          <w:rFonts w:ascii="Tahoma" w:hAnsi="Tahoma" w:cs="Tahoma"/>
          <w:color w:val="000000"/>
          <w:sz w:val="22"/>
          <w:szCs w:val="22"/>
        </w:rPr>
        <w:t> </w:t>
      </w:r>
    </w:p>
    <w:p w14:paraId="5A6EDAAF" w14:textId="77777777" w:rsidR="000B1AE5" w:rsidRPr="00E45108" w:rsidRDefault="000B1AE5" w:rsidP="00E45108">
      <w:pPr>
        <w:pStyle w:val="NormalWeb"/>
        <w:numPr>
          <w:ilvl w:val="1"/>
          <w:numId w:val="3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Suspending domain </w:t>
      </w:r>
      <w:r w:rsidRPr="00E45108">
        <w:rPr>
          <w:rFonts w:ascii="Tahoma" w:hAnsi="Tahoma" w:cs="Tahoma"/>
          <w:color w:val="000000"/>
          <w:sz w:val="22"/>
          <w:szCs w:val="22"/>
        </w:rPr>
        <w:t> </w:t>
      </w:r>
    </w:p>
    <w:p w14:paraId="69C857C5" w14:textId="77777777" w:rsidR="000B1AE5" w:rsidRPr="00E45108" w:rsidRDefault="000B1AE5" w:rsidP="00E45108">
      <w:pPr>
        <w:jc w:val="both"/>
        <w:rPr>
          <w:rFonts w:cstheme="minorHAnsi"/>
          <w:sz w:val="24"/>
          <w:szCs w:val="24"/>
        </w:rPr>
      </w:pPr>
    </w:p>
    <w:p w14:paraId="45DC057F"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Several blogs have been published on this topic; please refer to the ICANN Contractual Compliance Reports &amp; Blogs page dating back to 2015 (https://www.icann.org/resources/compliance-reporting-performance). For more details on the abuse handling and resolution, please refer to slides 19 - 24 in the Registrar Compliance Program material (</w:t>
      </w:r>
      <w:hyperlink r:id="rId13" w:history="1">
        <w:r w:rsidRPr="00E45108">
          <w:rPr>
            <w:rStyle w:val="Hyperlink"/>
            <w:rFonts w:asciiTheme="minorHAnsi" w:hAnsiTheme="minorHAnsi" w:cstheme="minorHAnsi"/>
            <w:color w:val="1155CC"/>
            <w:sz w:val="22"/>
            <w:szCs w:val="22"/>
          </w:rPr>
          <w:t>https://www.icann.org/resources/pages/registrar-2012-02-25-en</w:t>
        </w:r>
      </w:hyperlink>
      <w:r w:rsidRPr="00E45108">
        <w:rPr>
          <w:rFonts w:asciiTheme="minorHAnsi" w:hAnsiTheme="minorHAnsi" w:cstheme="minorHAnsi"/>
          <w:color w:val="000000"/>
          <w:sz w:val="22"/>
          <w:szCs w:val="22"/>
        </w:rPr>
        <w:t xml:space="preserve">). Contractual Compliance does not seek community input into contract interpretation. Contractual Compliance has taken action to enforce Section 3.18. The challenge and delays in enforcing in most cases have been where reporters did not provide sufficient information in their abuse report to the registrar, including information regarding alleged violations of laws/regulations in one or more applicable jurisdictions. </w:t>
      </w:r>
    </w:p>
    <w:p w14:paraId="24CBA651" w14:textId="77777777" w:rsidR="000B1AE5" w:rsidRPr="00E45108" w:rsidRDefault="000B1AE5" w:rsidP="00E45108">
      <w:pPr>
        <w:pStyle w:val="NormalWeb"/>
        <w:numPr>
          <w:ilvl w:val="0"/>
          <w:numId w:val="40"/>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Is Compliance auditing the requirement under the RAA to: Validate that all postal address fields are consistent across fields (for example: street exists in city, city exists in state/province, city matches postal code) where such information is technically and commercially feasible for the applicable country or territory.</w:t>
      </w:r>
    </w:p>
    <w:p w14:paraId="33B82859" w14:textId="77777777" w:rsidR="000B1AE5" w:rsidRPr="00E45108" w:rsidRDefault="000B1AE5" w:rsidP="00E45108">
      <w:pPr>
        <w:pStyle w:val="NormalWeb"/>
        <w:numPr>
          <w:ilvl w:val="1"/>
          <w:numId w:val="41"/>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Cross-validation is not included in the scope of an audit because it is not an effective provision per Section 6 of the Transition Addendum to Registrar Accreditation Agreement in the 2013 RAA.</w:t>
      </w:r>
    </w:p>
    <w:p w14:paraId="3AF0BDA4" w14:textId="77777777" w:rsidR="000B1AE5" w:rsidRPr="00E45108" w:rsidRDefault="000B1AE5" w:rsidP="00E45108">
      <w:pPr>
        <w:pStyle w:val="NormalWeb"/>
        <w:numPr>
          <w:ilvl w:val="0"/>
          <w:numId w:val="42"/>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Is ICANN Compliance auditing the escrow deposits to confirm that the submission matches the total registrations of that registrar, and spot checking for accuracy or that it matches what appears in WHOIS</w:t>
      </w:r>
    </w:p>
    <w:p w14:paraId="40A81837" w14:textId="77777777" w:rsidR="000B1AE5" w:rsidRPr="00E45108" w:rsidRDefault="000B1AE5" w:rsidP="00E45108">
      <w:pPr>
        <w:pStyle w:val="NormalWeb"/>
        <w:numPr>
          <w:ilvl w:val="1"/>
          <w:numId w:val="43"/>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Contractual Compliance conducts proactive monitoring of registrar data escrow deposits. At ICANN’s request, data escrow agents conduct manual reviews of escrow deposits when a registrar receives a 3rd or Escalated Notice (i.e., there is a potential for breach/termination that requires bulk transfer of domains). Manual reviews include comparing deposited domain registration data with publicly available WHOIS information, ensuring that they match.</w:t>
      </w:r>
    </w:p>
    <w:p w14:paraId="0BB5D571"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 xml:space="preserve">Contractual Compliance compares the number of domains escrowed with the number of domains under the registrar’s management, as reported by registry operators. In cases where the numbers are different, ICANN will send inquiries to registrars seeking additional information regarding the discrepancy. </w:t>
      </w:r>
    </w:p>
    <w:p w14:paraId="59CA1343" w14:textId="77777777" w:rsidR="000B1AE5" w:rsidRPr="00E45108" w:rsidRDefault="000B1AE5" w:rsidP="00E45108">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Has ICANN Compliance considered having an "emergency response" submission for egregious instances of DNS Abuse?</w:t>
      </w:r>
    </w:p>
    <w:p w14:paraId="3851C88F" w14:textId="77777777" w:rsidR="000B1AE5" w:rsidRPr="00E45108" w:rsidRDefault="000B1AE5" w:rsidP="00E45108">
      <w:pPr>
        <w:pStyle w:val="NormalWeb"/>
        <w:numPr>
          <w:ilvl w:val="1"/>
          <w:numId w:val="45"/>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lastRenderedPageBreak/>
        <w:t xml:space="preserve">No. The ICANN agreements and policies as currently defined do not authorize ICANN to require registries or registrars to take a specific action in response to DNS abuse (e.g., suspend or delete potentially abusive domain names), let alone on an expedited basis. </w:t>
      </w:r>
    </w:p>
    <w:p w14:paraId="3487D9E9" w14:textId="77777777" w:rsidR="000B1AE5" w:rsidRPr="00E45108" w:rsidRDefault="000B1AE5" w:rsidP="00E45108">
      <w:pPr>
        <w:pStyle w:val="NormalWeb"/>
        <w:numPr>
          <w:ilvl w:val="0"/>
          <w:numId w:val="46"/>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Is ICANN experiencing "rate limiting" in accessing WHOIS for either compliance purposes or for the WHOIS ARS? Does ICANN need unrestricted access to WHOIS to be able to do its compliance activities, WHOIS lookups, and WHOIS ARS?</w:t>
      </w:r>
    </w:p>
    <w:p w14:paraId="5ABF8FD1" w14:textId="77777777" w:rsidR="000B1AE5" w:rsidRPr="00E45108" w:rsidRDefault="000B1AE5" w:rsidP="00E45108">
      <w:pPr>
        <w:pStyle w:val="NormalWeb"/>
        <w:numPr>
          <w:ilvl w:val="1"/>
          <w:numId w:val="47"/>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In situations where “rate limiting” occurs, Contractual Compliance works with the registrars to allow ICANN access to the WHOIS data.  </w:t>
      </w:r>
    </w:p>
    <w:p w14:paraId="01FD2C68" w14:textId="77777777" w:rsidR="000B1AE5" w:rsidRPr="00E45108" w:rsidRDefault="000B1AE5" w:rsidP="00E45108">
      <w:pPr>
        <w:jc w:val="both"/>
        <w:rPr>
          <w:rFonts w:cstheme="minorHAnsi"/>
          <w:sz w:val="24"/>
          <w:szCs w:val="24"/>
        </w:rPr>
      </w:pPr>
    </w:p>
    <w:p w14:paraId="689D3F56" w14:textId="77777777" w:rsidR="000B1AE5" w:rsidRPr="00E45108" w:rsidRDefault="000B1AE5" w:rsidP="00E45108">
      <w:pPr>
        <w:pStyle w:val="NormalWeb"/>
        <w:spacing w:before="0" w:beforeAutospacing="0" w:after="0" w:afterAutospacing="0"/>
        <w:ind w:left="1440"/>
        <w:jc w:val="both"/>
        <w:rPr>
          <w:rFonts w:asciiTheme="minorHAnsi" w:hAnsiTheme="minorHAnsi" w:cstheme="minorHAnsi"/>
        </w:rPr>
      </w:pPr>
      <w:r w:rsidRPr="00E45108">
        <w:rPr>
          <w:rFonts w:asciiTheme="minorHAnsi" w:hAnsiTheme="minorHAnsi" w:cstheme="minorHAnsi"/>
          <w:color w:val="000000"/>
          <w:sz w:val="22"/>
          <w:szCs w:val="22"/>
        </w:rPr>
        <w:t xml:space="preserve">Restricted access to WHOIS limits Contractual Compliance’s ability to perform its function. For </w:t>
      </w:r>
      <w:proofErr w:type="gramStart"/>
      <w:r w:rsidRPr="00E45108">
        <w:rPr>
          <w:rFonts w:asciiTheme="minorHAnsi" w:hAnsiTheme="minorHAnsi" w:cstheme="minorHAnsi"/>
          <w:color w:val="000000"/>
          <w:sz w:val="22"/>
          <w:szCs w:val="22"/>
        </w:rPr>
        <w:t>example</w:t>
      </w:r>
      <w:proofErr w:type="gramEnd"/>
      <w:r w:rsidRPr="00E45108">
        <w:rPr>
          <w:rFonts w:asciiTheme="minorHAnsi" w:hAnsiTheme="minorHAnsi" w:cstheme="minorHAnsi"/>
          <w:color w:val="000000"/>
          <w:sz w:val="22"/>
          <w:szCs w:val="22"/>
        </w:rPr>
        <w:t xml:space="preserve"> in complaint types like Domain Renewals and Transfers where a registrant is affected, Contractual Compliance may not be able to confirm the identity of the registrant when processing complaints. As explained in the response to questions #3 and #4 above (3. What trends is Compliance seeing in the Periodic Reporting-- are accuracy rates going up or down? 4. If the rates are going down-- how does Compliance change its activities to determine the root cause?), Contractual Compliance has adjusted the review of complaints to account for the changes in registration data and is requesting the specific data to address issues, where necessary.</w:t>
      </w:r>
    </w:p>
    <w:p w14:paraId="7393B0DD" w14:textId="77777777" w:rsidR="000B1AE5" w:rsidRPr="00E45108" w:rsidRDefault="000B1AE5" w:rsidP="00E45108">
      <w:pPr>
        <w:pStyle w:val="NormalWeb"/>
        <w:numPr>
          <w:ilvl w:val="0"/>
          <w:numId w:val="48"/>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Does ICANN audit the SLAs for WHOIS availability? How often?</w:t>
      </w:r>
    </w:p>
    <w:p w14:paraId="03F51157" w14:textId="77777777" w:rsidR="000B1AE5" w:rsidRPr="00E45108" w:rsidRDefault="000B1AE5" w:rsidP="00E45108">
      <w:pPr>
        <w:pStyle w:val="NormalWeb"/>
        <w:numPr>
          <w:ilvl w:val="1"/>
          <w:numId w:val="49"/>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The Contractual Compliance audit plan does include a test for registry and registrar WHOIS unavailability. The frequency of an audit of a contracted party varies based on the systemic issues and the audit scope and criteria. Additionally, Contractual Compliance routinely monitors and sends compliance notices to registrars with WHOIS service unavailability. ICANN org also routinely monitors registry operator WHOIS service availability under the requirements of the registry agreement and failures meeting certain defined thresholds will trigger an automated compliance notice.</w:t>
      </w:r>
    </w:p>
    <w:p w14:paraId="6BA6DE3D" w14:textId="77777777" w:rsidR="000B1AE5" w:rsidRPr="00E45108" w:rsidRDefault="000B1AE5" w:rsidP="00E45108">
      <w:pPr>
        <w:pStyle w:val="NormalWeb"/>
        <w:numPr>
          <w:ilvl w:val="0"/>
          <w:numId w:val="50"/>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Which entities can submit bulk WHOIS compliance complaints? Please explain the requirements/restrictions involved in being able to submit bulk complaints.</w:t>
      </w:r>
    </w:p>
    <w:p w14:paraId="7BA8CDBB" w14:textId="77777777" w:rsidR="000B1AE5" w:rsidRPr="00E45108" w:rsidRDefault="000B1AE5" w:rsidP="00E45108">
      <w:pPr>
        <w:pStyle w:val="NormalWeb"/>
        <w:numPr>
          <w:ilvl w:val="1"/>
          <w:numId w:val="51"/>
        </w:numPr>
        <w:spacing w:before="0" w:beforeAutospacing="0" w:after="0" w:afterAutospacing="0"/>
        <w:jc w:val="both"/>
        <w:textAlignment w:val="baseline"/>
        <w:rPr>
          <w:rFonts w:asciiTheme="minorHAnsi" w:hAnsiTheme="minorHAnsi" w:cstheme="minorHAnsi"/>
          <w:color w:val="000000"/>
          <w:sz w:val="22"/>
          <w:szCs w:val="22"/>
        </w:rPr>
      </w:pPr>
      <w:r w:rsidRPr="00E45108">
        <w:rPr>
          <w:rFonts w:asciiTheme="minorHAnsi" w:hAnsiTheme="minorHAnsi" w:cstheme="minorHAnsi"/>
          <w:color w:val="000000"/>
          <w:sz w:val="22"/>
          <w:szCs w:val="22"/>
        </w:rPr>
        <w:t xml:space="preserve">Anyone interested in the bulk WHOIS submission can submit a request to be a bulk submitter. To inquire about access to the bulk </w:t>
      </w:r>
      <w:proofErr w:type="spellStart"/>
      <w:r w:rsidRPr="00E45108">
        <w:rPr>
          <w:rFonts w:asciiTheme="minorHAnsi" w:hAnsiTheme="minorHAnsi" w:cstheme="minorHAnsi"/>
          <w:color w:val="000000"/>
          <w:sz w:val="22"/>
          <w:szCs w:val="22"/>
        </w:rPr>
        <w:t>Whois</w:t>
      </w:r>
      <w:proofErr w:type="spellEnd"/>
      <w:r w:rsidRPr="00E45108">
        <w:rPr>
          <w:rFonts w:asciiTheme="minorHAnsi" w:hAnsiTheme="minorHAnsi" w:cstheme="minorHAnsi"/>
          <w:color w:val="000000"/>
          <w:sz w:val="22"/>
          <w:szCs w:val="22"/>
        </w:rPr>
        <w:t xml:space="preserve"> inaccuracy complaint tool, please email compliance@icann.org with subject: Inquiry about </w:t>
      </w:r>
      <w:proofErr w:type="spellStart"/>
      <w:r w:rsidRPr="00E45108">
        <w:rPr>
          <w:rFonts w:asciiTheme="minorHAnsi" w:hAnsiTheme="minorHAnsi" w:cstheme="minorHAnsi"/>
          <w:color w:val="000000"/>
          <w:sz w:val="22"/>
          <w:szCs w:val="22"/>
        </w:rPr>
        <w:t>Whois</w:t>
      </w:r>
      <w:proofErr w:type="spellEnd"/>
      <w:r w:rsidRPr="00E45108">
        <w:rPr>
          <w:rFonts w:asciiTheme="minorHAnsi" w:hAnsiTheme="minorHAnsi" w:cstheme="minorHAnsi"/>
          <w:color w:val="000000"/>
          <w:sz w:val="22"/>
          <w:szCs w:val="22"/>
        </w:rPr>
        <w:t xml:space="preserve"> Bulk Submission. Detailed instructions will be provided to the requester. Testing ensures the requester’s bulk submission files meet the required format. In addition, requestors are presented with a terms of use document that they have to review and agree to before they are able to submit any complaints.</w:t>
      </w:r>
    </w:p>
    <w:p w14:paraId="33176C1D" w14:textId="77777777" w:rsidR="000B1AE5" w:rsidRDefault="000B1AE5" w:rsidP="00831DAE"/>
    <w:p w14:paraId="32AECE6C" w14:textId="7731D508" w:rsidR="0083088C" w:rsidRDefault="0083088C" w:rsidP="00831DAE"/>
    <w:p w14:paraId="4DC67EE7" w14:textId="77777777" w:rsidR="0083088C" w:rsidRDefault="0083088C" w:rsidP="00831DAE"/>
    <w:sectPr w:rsidR="008308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CA03" w14:textId="77777777" w:rsidR="001119CD" w:rsidRDefault="001119CD" w:rsidP="001978A5">
      <w:pPr>
        <w:spacing w:after="0" w:line="240" w:lineRule="auto"/>
      </w:pPr>
      <w:r>
        <w:separator/>
      </w:r>
    </w:p>
  </w:endnote>
  <w:endnote w:type="continuationSeparator" w:id="0">
    <w:p w14:paraId="293FA4E4" w14:textId="77777777" w:rsidR="001119CD" w:rsidRDefault="001119CD" w:rsidP="0019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426E" w14:textId="77777777" w:rsidR="001119CD" w:rsidRDefault="001119CD" w:rsidP="001978A5">
      <w:pPr>
        <w:spacing w:after="0" w:line="240" w:lineRule="auto"/>
      </w:pPr>
      <w:r>
        <w:separator/>
      </w:r>
    </w:p>
  </w:footnote>
  <w:footnote w:type="continuationSeparator" w:id="0">
    <w:p w14:paraId="71DFD44F" w14:textId="77777777" w:rsidR="001119CD" w:rsidRDefault="001119CD" w:rsidP="001978A5">
      <w:pPr>
        <w:spacing w:after="0" w:line="240" w:lineRule="auto"/>
      </w:pPr>
      <w:r>
        <w:continuationSeparator/>
      </w:r>
    </w:p>
  </w:footnote>
  <w:footnote w:id="1">
    <w:p w14:paraId="2DD5E4B8" w14:textId="77777777" w:rsidR="007A7E25" w:rsidRDefault="007A7E25" w:rsidP="007A7E25">
      <w:pPr>
        <w:pStyle w:val="FootnoteText"/>
      </w:pPr>
      <w:r>
        <w:rPr>
          <w:rStyle w:val="FootnoteReference"/>
        </w:rPr>
        <w:footnoteRef/>
      </w:r>
      <w:r>
        <w:t xml:space="preserve"> </w:t>
      </w:r>
      <w:r w:rsidRPr="002E7EA4">
        <w:t>https://www.icann.org/resources/board-material/resolutions-2016-05-27-en#1.c</w:t>
      </w:r>
    </w:p>
  </w:footnote>
  <w:footnote w:id="2">
    <w:p w14:paraId="6359DE8D" w14:textId="70AE51BA" w:rsidR="001978A5" w:rsidRDefault="001978A5">
      <w:pPr>
        <w:pStyle w:val="FootnoteText"/>
      </w:pPr>
      <w:r>
        <w:rPr>
          <w:rStyle w:val="FootnoteReference"/>
        </w:rPr>
        <w:footnoteRef/>
      </w:r>
      <w:r>
        <w:t xml:space="preserve"> </w:t>
      </w:r>
      <w:hyperlink r:id="rId1" w:history="1">
        <w:r w:rsidRPr="001A61FE">
          <w:rPr>
            <w:rStyle w:val="Hyperlink"/>
          </w:rPr>
          <w:t>https://www.icann.org/resources/pages/registries/registries-agreements-en</w:t>
        </w:r>
      </w:hyperlink>
      <w:r>
        <w:t xml:space="preserve"> </w:t>
      </w:r>
    </w:p>
  </w:footnote>
  <w:footnote w:id="3">
    <w:p w14:paraId="7D1A6C26" w14:textId="11F8BE38" w:rsidR="002E7EA4" w:rsidRDefault="002E7EA4">
      <w:pPr>
        <w:pStyle w:val="FootnoteText"/>
      </w:pPr>
      <w:r>
        <w:rPr>
          <w:rStyle w:val="FootnoteReference"/>
        </w:rPr>
        <w:footnoteRef/>
      </w:r>
      <w:r>
        <w:t xml:space="preserve"> </w:t>
      </w:r>
      <w:hyperlink r:id="rId2" w:history="1">
        <w:r w:rsidRPr="001A61FE">
          <w:rPr>
            <w:rStyle w:val="Hyperlink"/>
          </w:rPr>
          <w:t>https://newgtlds.icann.org/sites/default/files/agreements/agreement-approved-31jul17-en.pdf</w:t>
        </w:r>
      </w:hyperlink>
      <w:r>
        <w:t xml:space="preserve"> </w:t>
      </w:r>
    </w:p>
  </w:footnote>
  <w:footnote w:id="4">
    <w:p w14:paraId="53C7AF7B" w14:textId="6FBB170A" w:rsidR="00531293" w:rsidRDefault="00531293">
      <w:pPr>
        <w:pStyle w:val="FootnoteText"/>
      </w:pPr>
      <w:r>
        <w:rPr>
          <w:rStyle w:val="FootnoteReference"/>
        </w:rPr>
        <w:footnoteRef/>
      </w:r>
      <w:r>
        <w:t xml:space="preserve"> </w:t>
      </w:r>
      <w:hyperlink r:id="rId3" w:history="1">
        <w:r>
          <w:rPr>
            <w:rStyle w:val="Hyperlink"/>
          </w:rPr>
          <w:t>https://www.icann.org/news/blog/enforcing-the-temporary-specification</w:t>
        </w:r>
      </w:hyperlink>
    </w:p>
  </w:footnote>
  <w:footnote w:id="5">
    <w:p w14:paraId="0606F52D" w14:textId="6E445F74" w:rsidR="00C77314" w:rsidRDefault="00C77314">
      <w:pPr>
        <w:pStyle w:val="FootnoteText"/>
      </w:pPr>
      <w:r>
        <w:rPr>
          <w:rStyle w:val="FootnoteReference"/>
        </w:rPr>
        <w:footnoteRef/>
      </w:r>
      <w:r>
        <w:t xml:space="preserve"> </w:t>
      </w:r>
      <w:r w:rsidRPr="00C77314">
        <w:t>https://newgtlds.icann.org/sites/default/files/agreements/agreement-approved-31jul17-en.html#specification10.2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A6D"/>
    <w:multiLevelType w:val="multilevel"/>
    <w:tmpl w:val="6C92B15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2156B"/>
    <w:multiLevelType w:val="multilevel"/>
    <w:tmpl w:val="C93EEF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C3CE9"/>
    <w:multiLevelType w:val="multilevel"/>
    <w:tmpl w:val="123E3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E40EF"/>
    <w:multiLevelType w:val="multilevel"/>
    <w:tmpl w:val="AA6A3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5162C"/>
    <w:multiLevelType w:val="multilevel"/>
    <w:tmpl w:val="9AE00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0005"/>
    <w:multiLevelType w:val="hybridMultilevel"/>
    <w:tmpl w:val="E45C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23EAC"/>
    <w:multiLevelType w:val="multilevel"/>
    <w:tmpl w:val="2E9CA3D4"/>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F37D6"/>
    <w:multiLevelType w:val="multilevel"/>
    <w:tmpl w:val="BC8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21CF4"/>
    <w:multiLevelType w:val="multilevel"/>
    <w:tmpl w:val="E9EEDC7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034699"/>
    <w:multiLevelType w:val="multilevel"/>
    <w:tmpl w:val="636815A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75431"/>
    <w:multiLevelType w:val="multilevel"/>
    <w:tmpl w:val="42DC70D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6051B0"/>
    <w:multiLevelType w:val="multilevel"/>
    <w:tmpl w:val="1A0A5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D70C62"/>
    <w:multiLevelType w:val="hybridMultilevel"/>
    <w:tmpl w:val="62E213C8"/>
    <w:lvl w:ilvl="0" w:tplc="1936997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C22CE"/>
    <w:multiLevelType w:val="multilevel"/>
    <w:tmpl w:val="ED44DC3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F434E4"/>
    <w:multiLevelType w:val="multilevel"/>
    <w:tmpl w:val="A91ABA2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F4D01"/>
    <w:multiLevelType w:val="multilevel"/>
    <w:tmpl w:val="A5C021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F46F9B"/>
    <w:multiLevelType w:val="hybridMultilevel"/>
    <w:tmpl w:val="9714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lvlOverride w:ilvl="0">
      <w:lvl w:ilvl="0">
        <w:numFmt w:val="decimal"/>
        <w:lvlText w:val="%1."/>
        <w:lvlJc w:val="left"/>
      </w:lvl>
    </w:lvlOverride>
  </w:num>
  <w:num w:numId="3">
    <w:abstractNumId w:val="8"/>
    <w:lvlOverride w:ilvl="0">
      <w:lvl w:ilvl="0">
        <w:numFmt w:val="decimal"/>
        <w:lvlText w:val="%1."/>
        <w:lvlJc w:val="left"/>
      </w:lvl>
    </w:lvlOverride>
    <w:lvlOverride w:ilvl="1">
      <w:lvl w:ilvl="1">
        <w:numFmt w:val="lowerLetter"/>
        <w:lvlText w:val="%2."/>
        <w:lvlJc w:val="left"/>
      </w:lvl>
    </w:lvlOverride>
  </w:num>
  <w:num w:numId="4">
    <w:abstractNumId w:val="8"/>
    <w:lvlOverride w:ilvl="0">
      <w:lvl w:ilvl="0">
        <w:numFmt w:val="decimal"/>
        <w:lvlText w:val="%1."/>
        <w:lvlJc w:val="left"/>
      </w:lvl>
    </w:lvlOverride>
    <w:lvlOverride w:ilvl="1">
      <w:lvl w:ilvl="1">
        <w:numFmt w:val="lowerLetter"/>
        <w:lvlText w:val="%2."/>
        <w:lvlJc w:val="left"/>
      </w:lvl>
    </w:lvlOverride>
  </w:num>
  <w:num w:numId="5">
    <w:abstractNumId w:val="8"/>
    <w:lvlOverride w:ilvl="0">
      <w:lvl w:ilvl="0">
        <w:numFmt w:val="decimal"/>
        <w:lvlText w:val="%1."/>
        <w:lvlJc w:val="left"/>
      </w:lvl>
    </w:lvlOverride>
    <w:lvlOverride w:ilvl="1">
      <w:lvl w:ilvl="1">
        <w:numFmt w:val="lowerLetter"/>
        <w:lvlText w:val="%2."/>
        <w:lvlJc w:val="left"/>
      </w:lvl>
    </w:lvlOverride>
  </w:num>
  <w:num w:numId="6">
    <w:abstractNumId w:val="14"/>
    <w:lvlOverride w:ilvl="0">
      <w:lvl w:ilvl="0">
        <w:numFmt w:val="decimal"/>
        <w:lvlText w:val="%1."/>
        <w:lvlJc w:val="left"/>
      </w:lvl>
    </w:lvlOverride>
  </w:num>
  <w:num w:numId="7">
    <w:abstractNumId w:val="14"/>
    <w:lvlOverride w:ilvl="0">
      <w:lvl w:ilvl="0">
        <w:numFmt w:val="decimal"/>
        <w:lvlText w:val="%1."/>
        <w:lvlJc w:val="left"/>
      </w:lvl>
    </w:lvlOverride>
    <w:lvlOverride w:ilvl="1">
      <w:lvl w:ilvl="1">
        <w:numFmt w:val="lowerLetter"/>
        <w:lvlText w:val="%2."/>
        <w:lvlJc w:val="left"/>
      </w:lvl>
    </w:lvlOverride>
  </w:num>
  <w:num w:numId="8">
    <w:abstractNumId w:val="14"/>
    <w:lvlOverride w:ilvl="0">
      <w:lvl w:ilvl="0">
        <w:numFmt w:val="decimal"/>
        <w:lvlText w:val="%1."/>
        <w:lvlJc w:val="left"/>
      </w:lvl>
    </w:lvlOverride>
    <w:lvlOverride w:ilvl="1">
      <w:lvl w:ilvl="1">
        <w:numFmt w:val="lowerLetter"/>
        <w:lvlText w:val="%2."/>
        <w:lvlJc w:val="left"/>
      </w:lvl>
    </w:lvlOverride>
  </w:num>
  <w:num w:numId="9">
    <w:abstractNumId w:val="14"/>
    <w:lvlOverride w:ilvl="0">
      <w:lvl w:ilvl="0">
        <w:numFmt w:val="decimal"/>
        <w:lvlText w:val="%1."/>
        <w:lvlJc w:val="left"/>
      </w:lvl>
    </w:lvlOverride>
    <w:lvlOverride w:ilvl="1">
      <w:lvl w:ilvl="1">
        <w:numFmt w:val="lowerLetter"/>
        <w:lvlText w:val="%2."/>
        <w:lvlJc w:val="left"/>
      </w:lvl>
    </w:lvlOverride>
  </w:num>
  <w:num w:numId="10">
    <w:abstractNumId w:val="14"/>
    <w:lvlOverride w:ilvl="0">
      <w:lvl w:ilvl="0">
        <w:numFmt w:val="decimal"/>
        <w:lvlText w:val="%1."/>
        <w:lvlJc w:val="left"/>
      </w:lvl>
    </w:lvlOverride>
    <w:lvlOverride w:ilvl="1">
      <w:lvl w:ilvl="1">
        <w:numFmt w:val="lowerLetter"/>
        <w:lvlText w:val="%2."/>
        <w:lvlJc w:val="left"/>
      </w:lvl>
    </w:lvlOverride>
  </w:num>
  <w:num w:numId="11">
    <w:abstractNumId w:val="14"/>
    <w:lvlOverride w:ilvl="0">
      <w:lvl w:ilvl="0">
        <w:numFmt w:val="decimal"/>
        <w:lvlText w:val="%1."/>
        <w:lvlJc w:val="left"/>
      </w:lvl>
    </w:lvlOverride>
    <w:lvlOverride w:ilvl="1">
      <w:lvl w:ilvl="1">
        <w:numFmt w:val="lowerLetter"/>
        <w:lvlText w:val="%2."/>
        <w:lvlJc w:val="left"/>
      </w:lvl>
    </w:lvlOverride>
  </w:num>
  <w:num w:numId="12">
    <w:abstractNumId w:val="14"/>
    <w:lvlOverride w:ilvl="0">
      <w:lvl w:ilvl="0">
        <w:numFmt w:val="decimal"/>
        <w:lvlText w:val="%1."/>
        <w:lvlJc w:val="left"/>
      </w:lvl>
    </w:lvlOverride>
    <w:lvlOverride w:ilvl="1">
      <w:lvl w:ilvl="1">
        <w:numFmt w:val="lowerLetter"/>
        <w:lvlText w:val="%2."/>
        <w:lvlJc w:val="left"/>
      </w:lvl>
    </w:lvlOverride>
  </w:num>
  <w:num w:numId="13">
    <w:abstractNumId w:val="14"/>
    <w:lvlOverride w:ilvl="0">
      <w:lvl w:ilvl="0">
        <w:numFmt w:val="decimal"/>
        <w:lvlText w:val="%1."/>
        <w:lvlJc w:val="left"/>
      </w:lvl>
    </w:lvlOverride>
    <w:lvlOverride w:ilvl="1">
      <w:lvl w:ilvl="1">
        <w:numFmt w:val="lowerLetter"/>
        <w:lvlText w:val="%2."/>
        <w:lvlJc w:val="left"/>
      </w:lvl>
    </w:lvlOverride>
  </w:num>
  <w:num w:numId="14">
    <w:abstractNumId w:val="14"/>
    <w:lvlOverride w:ilvl="0">
      <w:lvl w:ilvl="0">
        <w:numFmt w:val="decimal"/>
        <w:lvlText w:val="%1."/>
        <w:lvlJc w:val="left"/>
      </w:lvl>
    </w:lvlOverride>
    <w:lvlOverride w:ilvl="1">
      <w:lvl w:ilvl="1">
        <w:numFmt w:val="lowerLetter"/>
        <w:lvlText w:val="%2."/>
        <w:lvlJc w:val="left"/>
      </w:lvl>
    </w:lvlOverride>
  </w:num>
  <w:num w:numId="15">
    <w:abstractNumId w:val="14"/>
    <w:lvlOverride w:ilvl="0">
      <w:lvl w:ilvl="0">
        <w:numFmt w:val="decimal"/>
        <w:lvlText w:val="%1."/>
        <w:lvlJc w:val="left"/>
      </w:lvl>
    </w:lvlOverride>
    <w:lvlOverride w:ilvl="1">
      <w:lvl w:ilvl="1">
        <w:numFmt w:val="lowerLetter"/>
        <w:lvlText w:val="%2."/>
        <w:lvlJc w:val="left"/>
      </w:lvl>
    </w:lvlOverride>
  </w:num>
  <w:num w:numId="16">
    <w:abstractNumId w:val="0"/>
    <w:lvlOverride w:ilvl="0">
      <w:lvl w:ilvl="0">
        <w:numFmt w:val="decimal"/>
        <w:lvlText w:val="%1."/>
        <w:lvlJc w:val="left"/>
      </w:lvl>
    </w:lvlOverride>
  </w:num>
  <w:num w:numId="17">
    <w:abstractNumId w:val="0"/>
    <w:lvlOverride w:ilvl="0">
      <w:lvl w:ilvl="0">
        <w:numFmt w:val="decimal"/>
        <w:lvlText w:val="%1."/>
        <w:lvlJc w:val="left"/>
      </w:lvl>
    </w:lvlOverride>
    <w:lvlOverride w:ilvl="1">
      <w:lvl w:ilvl="1">
        <w:numFmt w:val="lowerLetter"/>
        <w:lvlText w:val="%2."/>
        <w:lvlJc w:val="left"/>
      </w:lvl>
    </w:lvlOverride>
  </w:num>
  <w:num w:numId="18">
    <w:abstractNumId w:val="6"/>
    <w:lvlOverride w:ilvl="0">
      <w:lvl w:ilvl="0">
        <w:numFmt w:val="decimal"/>
        <w:lvlText w:val="%1."/>
        <w:lvlJc w:val="left"/>
      </w:lvl>
    </w:lvlOverride>
  </w:num>
  <w:num w:numId="19">
    <w:abstractNumId w:val="6"/>
    <w:lvlOverride w:ilvl="0">
      <w:lvl w:ilvl="0">
        <w:numFmt w:val="decimal"/>
        <w:lvlText w:val="%1."/>
        <w:lvlJc w:val="left"/>
      </w:lvl>
    </w:lvlOverride>
    <w:lvlOverride w:ilvl="1">
      <w:lvl w:ilvl="1">
        <w:numFmt w:val="lowerLetter"/>
        <w:lvlText w:val="%2."/>
        <w:lvlJc w:val="left"/>
      </w:lvl>
    </w:lvlOverride>
  </w:num>
  <w:num w:numId="20">
    <w:abstractNumId w:val="6"/>
    <w:lvlOverride w:ilvl="0">
      <w:lvl w:ilvl="0">
        <w:numFmt w:val="decimal"/>
        <w:lvlText w:val="%1."/>
        <w:lvlJc w:val="left"/>
      </w:lvl>
    </w:lvlOverride>
    <w:lvlOverride w:ilvl="1">
      <w:lvl w:ilvl="1">
        <w:numFmt w:val="lowerLetter"/>
        <w:lvlText w:val="%2."/>
        <w:lvlJc w:val="left"/>
      </w:lvl>
    </w:lvlOverride>
  </w:num>
  <w:num w:numId="21">
    <w:abstractNumId w:val="6"/>
    <w:lvlOverride w:ilvl="0">
      <w:lvl w:ilvl="0">
        <w:numFmt w:val="decimal"/>
        <w:lvlText w:val="%1."/>
        <w:lvlJc w:val="left"/>
      </w:lvl>
    </w:lvlOverride>
    <w:lvlOverride w:ilvl="1">
      <w:lvl w:ilvl="1">
        <w:numFmt w:val="lowerLetter"/>
        <w:lvlText w:val="%2."/>
        <w:lvlJc w:val="left"/>
      </w:lvl>
    </w:lvlOverride>
  </w:num>
  <w:num w:numId="22">
    <w:abstractNumId w:val="6"/>
    <w:lvlOverride w:ilvl="0">
      <w:lvl w:ilvl="0">
        <w:numFmt w:val="decimal"/>
        <w:lvlText w:val="%1."/>
        <w:lvlJc w:val="left"/>
      </w:lvl>
    </w:lvlOverride>
    <w:lvlOverride w:ilvl="1">
      <w:lvl w:ilvl="1">
        <w:numFmt w:val="lowerLetter"/>
        <w:lvlText w:val="%2."/>
        <w:lvlJc w:val="left"/>
      </w:lvl>
    </w:lvlOverride>
  </w:num>
  <w:num w:numId="23">
    <w:abstractNumId w:val="6"/>
    <w:lvlOverride w:ilvl="0">
      <w:lvl w:ilvl="0">
        <w:numFmt w:val="decimal"/>
        <w:lvlText w:val="%1."/>
        <w:lvlJc w:val="left"/>
      </w:lvl>
    </w:lvlOverride>
    <w:lvlOverride w:ilvl="1">
      <w:lvl w:ilvl="1">
        <w:numFmt w:val="lowerLetter"/>
        <w:lvlText w:val="%2."/>
        <w:lvlJc w:val="left"/>
      </w:lvl>
    </w:lvlOverride>
  </w:num>
  <w:num w:numId="24">
    <w:abstractNumId w:val="6"/>
    <w:lvlOverride w:ilvl="0">
      <w:lvl w:ilvl="0">
        <w:numFmt w:val="decimal"/>
        <w:lvlText w:val="%1."/>
        <w:lvlJc w:val="left"/>
      </w:lvl>
    </w:lvlOverride>
    <w:lvlOverride w:ilvl="1">
      <w:lvl w:ilvl="1">
        <w:numFmt w:val="lowerLetter"/>
        <w:lvlText w:val="%2."/>
        <w:lvlJc w:val="left"/>
      </w:lvl>
    </w:lvlOverride>
  </w:num>
  <w:num w:numId="25">
    <w:abstractNumId w:val="6"/>
    <w:lvlOverride w:ilvl="0">
      <w:lvl w:ilvl="0">
        <w:numFmt w:val="decimal"/>
        <w:lvlText w:val="%1."/>
        <w:lvlJc w:val="left"/>
      </w:lvl>
    </w:lvlOverride>
    <w:lvlOverride w:ilvl="1">
      <w:lvl w:ilvl="1">
        <w:numFmt w:val="lowerLetter"/>
        <w:lvlText w:val="%2."/>
        <w:lvlJc w:val="left"/>
      </w:lvl>
    </w:lvlOverride>
  </w:num>
  <w:num w:numId="26">
    <w:abstractNumId w:val="12"/>
  </w:num>
  <w:num w:numId="27">
    <w:abstractNumId w:val="4"/>
  </w:num>
  <w:num w:numId="28">
    <w:abstractNumId w:val="4"/>
    <w:lvlOverride w:ilvl="1">
      <w:lvl w:ilvl="1">
        <w:numFmt w:val="lowerLetter"/>
        <w:lvlText w:val="%2."/>
        <w:lvlJc w:val="left"/>
      </w:lvl>
    </w:lvlOverride>
  </w:num>
  <w:num w:numId="29">
    <w:abstractNumId w:val="15"/>
    <w:lvlOverride w:ilvl="0">
      <w:lvl w:ilvl="0">
        <w:numFmt w:val="decimal"/>
        <w:lvlText w:val="%1."/>
        <w:lvlJc w:val="left"/>
      </w:lvl>
    </w:lvlOverride>
  </w:num>
  <w:num w:numId="30">
    <w:abstractNumId w:val="15"/>
    <w:lvlOverride w:ilvl="0">
      <w:lvl w:ilvl="0">
        <w:numFmt w:val="decimal"/>
        <w:lvlText w:val="%1."/>
        <w:lvlJc w:val="left"/>
      </w:lvl>
    </w:lvlOverride>
    <w:lvlOverride w:ilvl="1">
      <w:lvl w:ilvl="1">
        <w:numFmt w:val="lowerLetter"/>
        <w:lvlText w:val="%2."/>
        <w:lvlJc w:val="left"/>
      </w:lvl>
    </w:lvlOverride>
  </w:num>
  <w:num w:numId="31">
    <w:abstractNumId w:val="1"/>
    <w:lvlOverride w:ilvl="0">
      <w:lvl w:ilvl="0">
        <w:numFmt w:val="decimal"/>
        <w:lvlText w:val="%1."/>
        <w:lvlJc w:val="left"/>
      </w:lvl>
    </w:lvlOverride>
  </w:num>
  <w:num w:numId="32">
    <w:abstractNumId w:val="1"/>
    <w:lvlOverride w:ilvl="0">
      <w:lvl w:ilvl="0">
        <w:numFmt w:val="decimal"/>
        <w:lvlText w:val="%1."/>
        <w:lvlJc w:val="left"/>
      </w:lvl>
    </w:lvlOverride>
    <w:lvlOverride w:ilvl="1">
      <w:lvl w:ilvl="1">
        <w:numFmt w:val="lowerLetter"/>
        <w:lvlText w:val="%2."/>
        <w:lvlJc w:val="left"/>
      </w:lvl>
    </w:lvlOverride>
  </w:num>
  <w:num w:numId="33">
    <w:abstractNumId w:val="1"/>
    <w:lvlOverride w:ilvl="0">
      <w:lvl w:ilvl="0">
        <w:numFmt w:val="decimal"/>
        <w:lvlText w:val="%1."/>
        <w:lvlJc w:val="left"/>
      </w:lvl>
    </w:lvlOverride>
    <w:lvlOverride w:ilvl="1">
      <w:lvl w:ilvl="1">
        <w:numFmt w:val="lowerLetter"/>
        <w:lvlText w:val="%2."/>
        <w:lvlJc w:val="left"/>
      </w:lvl>
    </w:lvlOverride>
  </w:num>
  <w:num w:numId="34">
    <w:abstractNumId w:val="1"/>
    <w:lvlOverride w:ilvl="0">
      <w:lvl w:ilvl="0">
        <w:numFmt w:val="decimal"/>
        <w:lvlText w:val="%1."/>
        <w:lvlJc w:val="left"/>
      </w:lvl>
    </w:lvlOverride>
    <w:lvlOverride w:ilvl="1">
      <w:lvl w:ilvl="1">
        <w:numFmt w:val="lowerLetter"/>
        <w:lvlText w:val="%2."/>
        <w:lvlJc w:val="left"/>
      </w:lvl>
    </w:lvlOverride>
  </w:num>
  <w:num w:numId="35">
    <w:abstractNumId w:val="1"/>
    <w:lvlOverride w:ilvl="0">
      <w:lvl w:ilvl="0">
        <w:numFmt w:val="decimal"/>
        <w:lvlText w:val="%1."/>
        <w:lvlJc w:val="left"/>
      </w:lvl>
    </w:lvlOverride>
    <w:lvlOverride w:ilvl="1">
      <w:lvl w:ilvl="1">
        <w:numFmt w:val="lowerLetter"/>
        <w:lvlText w:val="%2."/>
        <w:lvlJc w:val="left"/>
      </w:lvl>
    </w:lvlOverride>
  </w:num>
  <w:num w:numId="36">
    <w:abstractNumId w:val="7"/>
  </w:num>
  <w:num w:numId="37">
    <w:abstractNumId w:val="3"/>
    <w:lvlOverride w:ilvl="1">
      <w:lvl w:ilvl="1">
        <w:numFmt w:val="lowerLetter"/>
        <w:lvlText w:val="%2."/>
        <w:lvlJc w:val="left"/>
      </w:lvl>
    </w:lvlOverride>
  </w:num>
  <w:num w:numId="38">
    <w:abstractNumId w:val="11"/>
  </w:num>
  <w:num w:numId="39">
    <w:abstractNumId w:val="11"/>
    <w:lvlOverride w:ilvl="1">
      <w:lvl w:ilvl="1">
        <w:numFmt w:val="lowerLetter"/>
        <w:lvlText w:val="%2."/>
        <w:lvlJc w:val="left"/>
      </w:lvl>
    </w:lvlOverride>
  </w:num>
  <w:num w:numId="40">
    <w:abstractNumId w:val="13"/>
    <w:lvlOverride w:ilvl="0">
      <w:lvl w:ilvl="0">
        <w:numFmt w:val="decimal"/>
        <w:lvlText w:val="%1."/>
        <w:lvlJc w:val="left"/>
      </w:lvl>
    </w:lvlOverride>
  </w:num>
  <w:num w:numId="41">
    <w:abstractNumId w:val="13"/>
    <w:lvlOverride w:ilvl="0">
      <w:lvl w:ilvl="0">
        <w:numFmt w:val="decimal"/>
        <w:lvlText w:val="%1."/>
        <w:lvlJc w:val="left"/>
      </w:lvl>
    </w:lvlOverride>
    <w:lvlOverride w:ilvl="1">
      <w:lvl w:ilvl="1">
        <w:numFmt w:val="lowerLetter"/>
        <w:lvlText w:val="%2."/>
        <w:lvlJc w:val="left"/>
      </w:lvl>
    </w:lvlOverride>
  </w:num>
  <w:num w:numId="42">
    <w:abstractNumId w:val="13"/>
    <w:lvlOverride w:ilvl="0">
      <w:lvl w:ilvl="0">
        <w:numFmt w:val="decimal"/>
        <w:lvlText w:val="%1."/>
        <w:lvlJc w:val="left"/>
      </w:lvl>
    </w:lvlOverride>
    <w:lvlOverride w:ilvl="1">
      <w:lvl w:ilvl="1">
        <w:numFmt w:val="lowerLetter"/>
        <w:lvlText w:val="%2."/>
        <w:lvlJc w:val="left"/>
      </w:lvl>
    </w:lvlOverride>
  </w:num>
  <w:num w:numId="43">
    <w:abstractNumId w:val="13"/>
    <w:lvlOverride w:ilvl="0">
      <w:lvl w:ilvl="0">
        <w:numFmt w:val="decimal"/>
        <w:lvlText w:val="%1."/>
        <w:lvlJc w:val="left"/>
      </w:lvl>
    </w:lvlOverride>
    <w:lvlOverride w:ilvl="1">
      <w:lvl w:ilvl="1">
        <w:numFmt w:val="lowerLetter"/>
        <w:lvlText w:val="%2."/>
        <w:lvlJc w:val="left"/>
      </w:lvl>
    </w:lvlOverride>
  </w:num>
  <w:num w:numId="44">
    <w:abstractNumId w:val="10"/>
    <w:lvlOverride w:ilvl="0">
      <w:lvl w:ilvl="0">
        <w:numFmt w:val="decimal"/>
        <w:lvlText w:val="%1."/>
        <w:lvlJc w:val="left"/>
      </w:lvl>
    </w:lvlOverride>
  </w:num>
  <w:num w:numId="45">
    <w:abstractNumId w:val="10"/>
    <w:lvlOverride w:ilvl="0">
      <w:lvl w:ilvl="0">
        <w:numFmt w:val="decimal"/>
        <w:lvlText w:val="%1."/>
        <w:lvlJc w:val="left"/>
      </w:lvl>
    </w:lvlOverride>
    <w:lvlOverride w:ilvl="1">
      <w:lvl w:ilvl="1">
        <w:numFmt w:val="lowerLetter"/>
        <w:lvlText w:val="%2."/>
        <w:lvlJc w:val="left"/>
      </w:lvl>
    </w:lvlOverride>
  </w:num>
  <w:num w:numId="46">
    <w:abstractNumId w:val="10"/>
    <w:lvlOverride w:ilvl="0">
      <w:lvl w:ilvl="0">
        <w:numFmt w:val="decimal"/>
        <w:lvlText w:val="%1."/>
        <w:lvlJc w:val="left"/>
      </w:lvl>
    </w:lvlOverride>
    <w:lvlOverride w:ilvl="1">
      <w:lvl w:ilvl="1">
        <w:numFmt w:val="lowerLetter"/>
        <w:lvlText w:val="%2."/>
        <w:lvlJc w:val="left"/>
      </w:lvl>
    </w:lvlOverride>
  </w:num>
  <w:num w:numId="47">
    <w:abstractNumId w:val="10"/>
    <w:lvlOverride w:ilvl="0">
      <w:lvl w:ilvl="0">
        <w:numFmt w:val="decimal"/>
        <w:lvlText w:val="%1."/>
        <w:lvlJc w:val="left"/>
      </w:lvl>
    </w:lvlOverride>
    <w:lvlOverride w:ilvl="1">
      <w:lvl w:ilvl="1">
        <w:numFmt w:val="lowerLetter"/>
        <w:lvlText w:val="%2."/>
        <w:lvlJc w:val="left"/>
      </w:lvl>
    </w:lvlOverride>
  </w:num>
  <w:num w:numId="48">
    <w:abstractNumId w:val="9"/>
    <w:lvlOverride w:ilvl="0">
      <w:lvl w:ilvl="0">
        <w:numFmt w:val="decimal"/>
        <w:lvlText w:val="%1."/>
        <w:lvlJc w:val="left"/>
      </w:lvl>
    </w:lvlOverride>
  </w:num>
  <w:num w:numId="49">
    <w:abstractNumId w:val="9"/>
    <w:lvlOverride w:ilvl="0">
      <w:lvl w:ilvl="0">
        <w:numFmt w:val="decimal"/>
        <w:lvlText w:val="%1."/>
        <w:lvlJc w:val="left"/>
      </w:lvl>
    </w:lvlOverride>
    <w:lvlOverride w:ilvl="1">
      <w:lvl w:ilvl="1">
        <w:numFmt w:val="lowerLetter"/>
        <w:lvlText w:val="%2."/>
        <w:lvlJc w:val="left"/>
      </w:lvl>
    </w:lvlOverride>
  </w:num>
  <w:num w:numId="50">
    <w:abstractNumId w:val="9"/>
    <w:lvlOverride w:ilvl="0">
      <w:lvl w:ilvl="0">
        <w:numFmt w:val="decimal"/>
        <w:lvlText w:val="%1."/>
        <w:lvlJc w:val="left"/>
      </w:lvl>
    </w:lvlOverride>
    <w:lvlOverride w:ilvl="1">
      <w:lvl w:ilvl="1">
        <w:numFmt w:val="lowerLetter"/>
        <w:lvlText w:val="%2."/>
        <w:lvlJc w:val="left"/>
      </w:lvl>
    </w:lvlOverride>
  </w:num>
  <w:num w:numId="51">
    <w:abstractNumId w:val="9"/>
    <w:lvlOverride w:ilvl="0">
      <w:lvl w:ilvl="0">
        <w:numFmt w:val="decimal"/>
        <w:lvlText w:val="%1."/>
        <w:lvlJc w:val="left"/>
      </w:lvl>
    </w:lvlOverride>
    <w:lvlOverride w:ilvl="1">
      <w:lvl w:ilvl="1">
        <w:numFmt w:val="lowerLetter"/>
        <w:lvlText w:val="%2."/>
        <w:lvlJc w:val="left"/>
      </w:lvl>
    </w:lvlOverride>
  </w:num>
  <w:num w:numId="52">
    <w:abstractNumId w:val="2"/>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95"/>
    <w:rsid w:val="00075AF5"/>
    <w:rsid w:val="0008470C"/>
    <w:rsid w:val="000A072F"/>
    <w:rsid w:val="000B1AE5"/>
    <w:rsid w:val="001119CD"/>
    <w:rsid w:val="001770A2"/>
    <w:rsid w:val="001978A5"/>
    <w:rsid w:val="001F6DB9"/>
    <w:rsid w:val="002E7EA4"/>
    <w:rsid w:val="00306A82"/>
    <w:rsid w:val="004B1B25"/>
    <w:rsid w:val="00505B25"/>
    <w:rsid w:val="00531293"/>
    <w:rsid w:val="0054176D"/>
    <w:rsid w:val="005826DE"/>
    <w:rsid w:val="00601881"/>
    <w:rsid w:val="006250F2"/>
    <w:rsid w:val="00635A34"/>
    <w:rsid w:val="006D4949"/>
    <w:rsid w:val="00737CEA"/>
    <w:rsid w:val="0077034F"/>
    <w:rsid w:val="007A7E25"/>
    <w:rsid w:val="0083088C"/>
    <w:rsid w:val="00831DAE"/>
    <w:rsid w:val="008E0798"/>
    <w:rsid w:val="0092639E"/>
    <w:rsid w:val="009817E1"/>
    <w:rsid w:val="00A836F1"/>
    <w:rsid w:val="00AC3D4A"/>
    <w:rsid w:val="00B623C3"/>
    <w:rsid w:val="00B97AB7"/>
    <w:rsid w:val="00C42FCD"/>
    <w:rsid w:val="00C77314"/>
    <w:rsid w:val="00C777F1"/>
    <w:rsid w:val="00C908FB"/>
    <w:rsid w:val="00CA2798"/>
    <w:rsid w:val="00DD12F4"/>
    <w:rsid w:val="00E2598A"/>
    <w:rsid w:val="00E45108"/>
    <w:rsid w:val="00F07F32"/>
    <w:rsid w:val="00F10E95"/>
    <w:rsid w:val="00F85584"/>
    <w:rsid w:val="00F9583E"/>
    <w:rsid w:val="00FA586B"/>
    <w:rsid w:val="00FB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8CEC"/>
  <w15:chartTrackingRefBased/>
  <w15:docId w15:val="{906537D7-F364-47AB-B648-0568DF9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17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7E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26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17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97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8A5"/>
    <w:rPr>
      <w:sz w:val="20"/>
      <w:szCs w:val="20"/>
    </w:rPr>
  </w:style>
  <w:style w:type="character" w:styleId="FootnoteReference">
    <w:name w:val="footnote reference"/>
    <w:basedOn w:val="DefaultParagraphFont"/>
    <w:uiPriority w:val="99"/>
    <w:semiHidden/>
    <w:unhideWhenUsed/>
    <w:rsid w:val="001978A5"/>
    <w:rPr>
      <w:vertAlign w:val="superscript"/>
    </w:rPr>
  </w:style>
  <w:style w:type="character" w:styleId="Hyperlink">
    <w:name w:val="Hyperlink"/>
    <w:basedOn w:val="DefaultParagraphFont"/>
    <w:uiPriority w:val="99"/>
    <w:unhideWhenUsed/>
    <w:rsid w:val="001978A5"/>
    <w:rPr>
      <w:color w:val="0563C1" w:themeColor="hyperlink"/>
      <w:u w:val="single"/>
    </w:rPr>
  </w:style>
  <w:style w:type="character" w:styleId="UnresolvedMention">
    <w:name w:val="Unresolved Mention"/>
    <w:basedOn w:val="DefaultParagraphFont"/>
    <w:uiPriority w:val="99"/>
    <w:semiHidden/>
    <w:unhideWhenUsed/>
    <w:rsid w:val="001978A5"/>
    <w:rPr>
      <w:color w:val="605E5C"/>
      <w:shd w:val="clear" w:color="auto" w:fill="E1DFDD"/>
    </w:rPr>
  </w:style>
  <w:style w:type="character" w:customStyle="1" w:styleId="Heading4Char">
    <w:name w:val="Heading 4 Char"/>
    <w:basedOn w:val="DefaultParagraphFont"/>
    <w:link w:val="Heading4"/>
    <w:uiPriority w:val="9"/>
    <w:semiHidden/>
    <w:rsid w:val="002E7EA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FB10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1081"/>
    <w:pPr>
      <w:ind w:left="720"/>
      <w:contextualSpacing/>
    </w:pPr>
  </w:style>
  <w:style w:type="character" w:customStyle="1" w:styleId="apple-tab-span">
    <w:name w:val="apple-tab-span"/>
    <w:basedOn w:val="DefaultParagraphFont"/>
    <w:rsid w:val="000B1AE5"/>
  </w:style>
  <w:style w:type="character" w:styleId="FollowedHyperlink">
    <w:name w:val="FollowedHyperlink"/>
    <w:basedOn w:val="DefaultParagraphFont"/>
    <w:uiPriority w:val="99"/>
    <w:semiHidden/>
    <w:unhideWhenUsed/>
    <w:rsid w:val="00531293"/>
    <w:rPr>
      <w:color w:val="954F72" w:themeColor="followedHyperlink"/>
      <w:u w:val="single"/>
    </w:rPr>
  </w:style>
  <w:style w:type="character" w:customStyle="1" w:styleId="Heading1Char">
    <w:name w:val="Heading 1 Char"/>
    <w:basedOn w:val="DefaultParagraphFont"/>
    <w:link w:val="Heading1"/>
    <w:uiPriority w:val="9"/>
    <w:rsid w:val="001F6D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1888">
      <w:bodyDiv w:val="1"/>
      <w:marLeft w:val="0"/>
      <w:marRight w:val="0"/>
      <w:marTop w:val="0"/>
      <w:marBottom w:val="0"/>
      <w:divBdr>
        <w:top w:val="none" w:sz="0" w:space="0" w:color="auto"/>
        <w:left w:val="none" w:sz="0" w:space="0" w:color="auto"/>
        <w:bottom w:val="none" w:sz="0" w:space="0" w:color="auto"/>
        <w:right w:val="none" w:sz="0" w:space="0" w:color="auto"/>
      </w:divBdr>
    </w:div>
    <w:div w:id="137385049">
      <w:bodyDiv w:val="1"/>
      <w:marLeft w:val="0"/>
      <w:marRight w:val="0"/>
      <w:marTop w:val="0"/>
      <w:marBottom w:val="0"/>
      <w:divBdr>
        <w:top w:val="none" w:sz="0" w:space="0" w:color="auto"/>
        <w:left w:val="none" w:sz="0" w:space="0" w:color="auto"/>
        <w:bottom w:val="none" w:sz="0" w:space="0" w:color="auto"/>
        <w:right w:val="none" w:sz="0" w:space="0" w:color="auto"/>
      </w:divBdr>
    </w:div>
    <w:div w:id="188763519">
      <w:bodyDiv w:val="1"/>
      <w:marLeft w:val="0"/>
      <w:marRight w:val="0"/>
      <w:marTop w:val="0"/>
      <w:marBottom w:val="0"/>
      <w:divBdr>
        <w:top w:val="none" w:sz="0" w:space="0" w:color="auto"/>
        <w:left w:val="none" w:sz="0" w:space="0" w:color="auto"/>
        <w:bottom w:val="none" w:sz="0" w:space="0" w:color="auto"/>
        <w:right w:val="none" w:sz="0" w:space="0" w:color="auto"/>
      </w:divBdr>
    </w:div>
    <w:div w:id="252056780">
      <w:bodyDiv w:val="1"/>
      <w:marLeft w:val="0"/>
      <w:marRight w:val="0"/>
      <w:marTop w:val="0"/>
      <w:marBottom w:val="0"/>
      <w:divBdr>
        <w:top w:val="none" w:sz="0" w:space="0" w:color="auto"/>
        <w:left w:val="none" w:sz="0" w:space="0" w:color="auto"/>
        <w:bottom w:val="none" w:sz="0" w:space="0" w:color="auto"/>
        <w:right w:val="none" w:sz="0" w:space="0" w:color="auto"/>
      </w:divBdr>
    </w:div>
    <w:div w:id="380596128">
      <w:bodyDiv w:val="1"/>
      <w:marLeft w:val="0"/>
      <w:marRight w:val="0"/>
      <w:marTop w:val="0"/>
      <w:marBottom w:val="0"/>
      <w:divBdr>
        <w:top w:val="none" w:sz="0" w:space="0" w:color="auto"/>
        <w:left w:val="none" w:sz="0" w:space="0" w:color="auto"/>
        <w:bottom w:val="none" w:sz="0" w:space="0" w:color="auto"/>
        <w:right w:val="none" w:sz="0" w:space="0" w:color="auto"/>
      </w:divBdr>
    </w:div>
    <w:div w:id="473445603">
      <w:bodyDiv w:val="1"/>
      <w:marLeft w:val="0"/>
      <w:marRight w:val="0"/>
      <w:marTop w:val="0"/>
      <w:marBottom w:val="0"/>
      <w:divBdr>
        <w:top w:val="none" w:sz="0" w:space="0" w:color="auto"/>
        <w:left w:val="none" w:sz="0" w:space="0" w:color="auto"/>
        <w:bottom w:val="none" w:sz="0" w:space="0" w:color="auto"/>
        <w:right w:val="none" w:sz="0" w:space="0" w:color="auto"/>
      </w:divBdr>
    </w:div>
    <w:div w:id="497228900">
      <w:bodyDiv w:val="1"/>
      <w:marLeft w:val="0"/>
      <w:marRight w:val="0"/>
      <w:marTop w:val="0"/>
      <w:marBottom w:val="0"/>
      <w:divBdr>
        <w:top w:val="none" w:sz="0" w:space="0" w:color="auto"/>
        <w:left w:val="none" w:sz="0" w:space="0" w:color="auto"/>
        <w:bottom w:val="none" w:sz="0" w:space="0" w:color="auto"/>
        <w:right w:val="none" w:sz="0" w:space="0" w:color="auto"/>
      </w:divBdr>
    </w:div>
    <w:div w:id="653795183">
      <w:bodyDiv w:val="1"/>
      <w:marLeft w:val="0"/>
      <w:marRight w:val="0"/>
      <w:marTop w:val="0"/>
      <w:marBottom w:val="0"/>
      <w:divBdr>
        <w:top w:val="none" w:sz="0" w:space="0" w:color="auto"/>
        <w:left w:val="none" w:sz="0" w:space="0" w:color="auto"/>
        <w:bottom w:val="none" w:sz="0" w:space="0" w:color="auto"/>
        <w:right w:val="none" w:sz="0" w:space="0" w:color="auto"/>
      </w:divBdr>
    </w:div>
    <w:div w:id="1027410533">
      <w:bodyDiv w:val="1"/>
      <w:marLeft w:val="0"/>
      <w:marRight w:val="0"/>
      <w:marTop w:val="0"/>
      <w:marBottom w:val="0"/>
      <w:divBdr>
        <w:top w:val="none" w:sz="0" w:space="0" w:color="auto"/>
        <w:left w:val="none" w:sz="0" w:space="0" w:color="auto"/>
        <w:bottom w:val="none" w:sz="0" w:space="0" w:color="auto"/>
        <w:right w:val="none" w:sz="0" w:space="0" w:color="auto"/>
      </w:divBdr>
    </w:div>
    <w:div w:id="1097943299">
      <w:bodyDiv w:val="1"/>
      <w:marLeft w:val="0"/>
      <w:marRight w:val="0"/>
      <w:marTop w:val="0"/>
      <w:marBottom w:val="0"/>
      <w:divBdr>
        <w:top w:val="none" w:sz="0" w:space="0" w:color="auto"/>
        <w:left w:val="none" w:sz="0" w:space="0" w:color="auto"/>
        <w:bottom w:val="none" w:sz="0" w:space="0" w:color="auto"/>
        <w:right w:val="none" w:sz="0" w:space="0" w:color="auto"/>
      </w:divBdr>
    </w:div>
    <w:div w:id="1322659162">
      <w:bodyDiv w:val="1"/>
      <w:marLeft w:val="0"/>
      <w:marRight w:val="0"/>
      <w:marTop w:val="0"/>
      <w:marBottom w:val="0"/>
      <w:divBdr>
        <w:top w:val="none" w:sz="0" w:space="0" w:color="auto"/>
        <w:left w:val="none" w:sz="0" w:space="0" w:color="auto"/>
        <w:bottom w:val="none" w:sz="0" w:space="0" w:color="auto"/>
        <w:right w:val="none" w:sz="0" w:space="0" w:color="auto"/>
      </w:divBdr>
    </w:div>
    <w:div w:id="1358503986">
      <w:bodyDiv w:val="1"/>
      <w:marLeft w:val="0"/>
      <w:marRight w:val="0"/>
      <w:marTop w:val="0"/>
      <w:marBottom w:val="0"/>
      <w:divBdr>
        <w:top w:val="none" w:sz="0" w:space="0" w:color="auto"/>
        <w:left w:val="none" w:sz="0" w:space="0" w:color="auto"/>
        <w:bottom w:val="none" w:sz="0" w:space="0" w:color="auto"/>
        <w:right w:val="none" w:sz="0" w:space="0" w:color="auto"/>
      </w:divBdr>
    </w:div>
    <w:div w:id="1941449321">
      <w:bodyDiv w:val="1"/>
      <w:marLeft w:val="0"/>
      <w:marRight w:val="0"/>
      <w:marTop w:val="0"/>
      <w:marBottom w:val="0"/>
      <w:divBdr>
        <w:top w:val="none" w:sz="0" w:space="0" w:color="auto"/>
        <w:left w:val="none" w:sz="0" w:space="0" w:color="auto"/>
        <w:bottom w:val="none" w:sz="0" w:space="0" w:color="auto"/>
        <w:right w:val="none" w:sz="0" w:space="0" w:color="auto"/>
      </w:divBdr>
    </w:div>
    <w:div w:id="19974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openxmlformats.org/officeDocument/2006/relationships/hyperlink" Target="https://www.icann.org/resources/pages/registrar-2012-02-25-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octo-ssr/daar-faq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octo-ssr/da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octo-ssr/daar" TargetMode="External"/><Relationship Id="rId4" Type="http://schemas.openxmlformats.org/officeDocument/2006/relationships/settings" Target="settings.xml"/><Relationship Id="rId9" Type="http://schemas.openxmlformats.org/officeDocument/2006/relationships/hyperlink" Target="https://www.icann.org/resources/pages/gtld-registration-data-specs-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news/blog/enforcing-the-temporary-specification" TargetMode="External"/><Relationship Id="rId2" Type="http://schemas.openxmlformats.org/officeDocument/2006/relationships/hyperlink" Target="https://newgtlds.icann.org/sites/default/files/agreements/agreement-approved-31jul17-en.pdf" TargetMode="External"/><Relationship Id="rId1" Type="http://schemas.openxmlformats.org/officeDocument/2006/relationships/hyperlink" Target="https://www.icann.org/resources/pages/registries/registries-agreement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3BDD-F9F3-4AB6-9891-C39583A6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18</Pages>
  <Words>6805</Words>
  <Characters>38790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Kerry-Ann Barrett</dc:creator>
  <cp:keywords/>
  <dc:description/>
  <cp:lastModifiedBy>Kerry-Ann Barrett</cp:lastModifiedBy>
  <cp:revision>4</cp:revision>
  <dcterms:created xsi:type="dcterms:W3CDTF">2019-03-12T14:40:00Z</dcterms:created>
  <dcterms:modified xsi:type="dcterms:W3CDTF">2019-04-11T01:48:00Z</dcterms:modified>
</cp:coreProperties>
</file>