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08F7" w14:textId="77777777" w:rsidR="009A40AD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</w:t>
      </w:r>
      <w:r w:rsidRPr="009A40AD">
        <w:rPr>
          <w:rFonts w:asciiTheme="majorHAnsi" w:hAnsiTheme="majorHAnsi"/>
          <w:bCs/>
        </w:rPr>
        <w:t>eneral observations on the recommendations</w:t>
      </w:r>
      <w:r>
        <w:rPr>
          <w:rFonts w:asciiTheme="majorHAnsi" w:hAnsiTheme="majorHAnsi"/>
          <w:bCs/>
        </w:rPr>
        <w:t>:</w:t>
      </w:r>
    </w:p>
    <w:p w14:paraId="2B932C44" w14:textId="22FAB36C" w:rsidR="009A40AD" w:rsidRDefault="009A40AD" w:rsidP="009A40AD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For recommendations that have bullets under them, could be helpful to </w:t>
      </w:r>
      <w:r w:rsidRPr="009A40AD">
        <w:rPr>
          <w:rFonts w:asciiTheme="majorHAnsi" w:hAnsiTheme="majorHAnsi"/>
          <w:bCs/>
        </w:rPr>
        <w:t>number the</w:t>
      </w:r>
      <w:r>
        <w:rPr>
          <w:rFonts w:asciiTheme="majorHAnsi" w:hAnsiTheme="majorHAnsi"/>
          <w:bCs/>
        </w:rPr>
        <w:t>se as</w:t>
      </w:r>
      <w:r w:rsidRPr="009A40AD">
        <w:rPr>
          <w:rFonts w:asciiTheme="majorHAnsi" w:hAnsiTheme="majorHAnsi"/>
          <w:bCs/>
        </w:rPr>
        <w:t xml:space="preserve"> sub-recommendations. </w:t>
      </w:r>
    </w:p>
    <w:p w14:paraId="2AF4E033" w14:textId="36C97548" w:rsidR="009A40AD" w:rsidRDefault="009A40AD" w:rsidP="009A40AD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Some</w:t>
      </w:r>
      <w:r w:rsidRPr="009A40AD">
        <w:rPr>
          <w:rFonts w:asciiTheme="majorHAnsi" w:hAnsiTheme="majorHAnsi"/>
          <w:bCs/>
        </w:rPr>
        <w:t xml:space="preserve"> recommendations </w:t>
      </w:r>
      <w:r>
        <w:rPr>
          <w:rFonts w:asciiTheme="majorHAnsi" w:hAnsiTheme="majorHAnsi"/>
          <w:bCs/>
        </w:rPr>
        <w:t xml:space="preserve">could benefit from clarifying what </w:t>
      </w:r>
      <w:r w:rsidRPr="009A40AD">
        <w:rPr>
          <w:rFonts w:asciiTheme="majorHAnsi" w:hAnsiTheme="majorHAnsi"/>
          <w:bCs/>
        </w:rPr>
        <w:t>the preferred outcome would b</w:t>
      </w:r>
      <w:r>
        <w:rPr>
          <w:rFonts w:asciiTheme="majorHAnsi" w:hAnsiTheme="majorHAnsi"/>
          <w:bCs/>
        </w:rPr>
        <w:t xml:space="preserve">e </w:t>
      </w:r>
      <w:r w:rsidR="004A1FE8">
        <w:rPr>
          <w:rFonts w:asciiTheme="majorHAnsi" w:hAnsiTheme="majorHAnsi"/>
          <w:bCs/>
        </w:rPr>
        <w:t xml:space="preserve">as opposed to the </w:t>
      </w:r>
      <w:r w:rsidR="004A1FE8" w:rsidRPr="004A1FE8">
        <w:rPr>
          <w:rFonts w:asciiTheme="majorHAnsi" w:hAnsiTheme="majorHAnsi"/>
          <w:bCs/>
        </w:rPr>
        <w:t>methodology by which that outcome is reached.</w:t>
      </w:r>
    </w:p>
    <w:p w14:paraId="3E0DD270" w14:textId="64E6893D" w:rsidR="004A1FE8" w:rsidRPr="009A40AD" w:rsidRDefault="004A1FE8" w:rsidP="009A40AD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SSR2 should clarify each instance of “ICANN” to specify ICANN org, ICANN Board or ICANN community. </w:t>
      </w:r>
    </w:p>
    <w:p w14:paraId="669E2271" w14:textId="6DF2B20D" w:rsidR="009A40AD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hAnsiTheme="majorHAnsi"/>
          <w:bCs/>
        </w:rPr>
        <w:t>SSR Framework (p69)</w:t>
      </w:r>
    </w:p>
    <w:p w14:paraId="12A596EF" w14:textId="40C8D1DE" w:rsidR="009A40AD" w:rsidRPr="009A40AD" w:rsidRDefault="009A40AD" w:rsidP="009A40AD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</w:t>
      </w:r>
      <w:r w:rsidRPr="009A40AD">
        <w:rPr>
          <w:rFonts w:asciiTheme="majorHAnsi" w:hAnsiTheme="majorHAnsi"/>
          <w:bCs/>
        </w:rPr>
        <w:t xml:space="preserve">here </w:t>
      </w:r>
      <w:r>
        <w:rPr>
          <w:rFonts w:asciiTheme="majorHAnsi" w:hAnsiTheme="majorHAnsi"/>
          <w:bCs/>
        </w:rPr>
        <w:t>are</w:t>
      </w:r>
      <w:r w:rsidRPr="009A40AD">
        <w:rPr>
          <w:rFonts w:asciiTheme="majorHAnsi" w:hAnsiTheme="majorHAnsi"/>
          <w:bCs/>
        </w:rPr>
        <w:t xml:space="preserve"> no plans to </w:t>
      </w:r>
      <w:r>
        <w:rPr>
          <w:rFonts w:asciiTheme="majorHAnsi" w:hAnsiTheme="majorHAnsi"/>
          <w:bCs/>
        </w:rPr>
        <w:t>publish any</w:t>
      </w:r>
      <w:r w:rsidRPr="009A40AD">
        <w:rPr>
          <w:rFonts w:asciiTheme="majorHAnsi" w:hAnsiTheme="majorHAnsi"/>
          <w:bCs/>
        </w:rPr>
        <w:t xml:space="preserve"> future SSR framework documents</w:t>
      </w:r>
      <w:r>
        <w:rPr>
          <w:rFonts w:asciiTheme="majorHAnsi" w:hAnsiTheme="majorHAnsi"/>
          <w:bCs/>
        </w:rPr>
        <w:t>. These items will instead be rolled in to the Strategic and Operating Plans.</w:t>
      </w:r>
    </w:p>
    <w:p w14:paraId="5B9C26A3" w14:textId="73280497" w:rsidR="009A40AD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hAnsiTheme="majorHAnsi"/>
          <w:bCs/>
        </w:rPr>
        <w:t>Best practices for root server operations (p55)</w:t>
      </w:r>
    </w:p>
    <w:p w14:paraId="3C3130FF" w14:textId="77777777" w:rsidR="006A5E4F" w:rsidRDefault="006A5E4F" w:rsidP="006A5E4F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The recommendation should make clear that a best practices document would be</w:t>
      </w:r>
      <w:r w:rsidRPr="006A5E4F">
        <w:rPr>
          <w:rFonts w:asciiTheme="majorHAnsi" w:hAnsiTheme="majorHAnsi"/>
          <w:bCs/>
        </w:rPr>
        <w:t xml:space="preserve"> advisory to the root server operators</w:t>
      </w:r>
      <w:r>
        <w:rPr>
          <w:rFonts w:asciiTheme="majorHAnsi" w:hAnsiTheme="majorHAnsi"/>
          <w:bCs/>
        </w:rPr>
        <w:t xml:space="preserve">. </w:t>
      </w:r>
      <w:r>
        <w:rPr>
          <w:rFonts w:asciiTheme="majorHAnsi" w:hAnsiTheme="majorHAnsi"/>
          <w:bCs/>
        </w:rPr>
        <w:t>ICANN org has no</w:t>
      </w:r>
      <w:r w:rsidRPr="006A5E4F">
        <w:rPr>
          <w:rFonts w:asciiTheme="majorHAnsi" w:hAnsiTheme="majorHAnsi"/>
          <w:bCs/>
        </w:rPr>
        <w:t xml:space="preserve"> contractual means or mechanisms to encourage other root server operators to adopt </w:t>
      </w:r>
      <w:r>
        <w:rPr>
          <w:rFonts w:asciiTheme="majorHAnsi" w:hAnsiTheme="majorHAnsi"/>
          <w:bCs/>
        </w:rPr>
        <w:t xml:space="preserve">a best practices </w:t>
      </w:r>
      <w:r w:rsidRPr="006A5E4F">
        <w:rPr>
          <w:rFonts w:asciiTheme="majorHAnsi" w:hAnsiTheme="majorHAnsi"/>
          <w:bCs/>
        </w:rPr>
        <w:t>document</w:t>
      </w:r>
      <w:r>
        <w:rPr>
          <w:rFonts w:asciiTheme="majorHAnsi" w:hAnsiTheme="majorHAnsi"/>
          <w:bCs/>
        </w:rPr>
        <w:t>.</w:t>
      </w:r>
    </w:p>
    <w:p w14:paraId="471C69FD" w14:textId="068CA672" w:rsidR="006A5E4F" w:rsidRPr="006A5E4F" w:rsidRDefault="006A5E4F" w:rsidP="006A5E4F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</w:t>
      </w:r>
      <w:r w:rsidRPr="006A5E4F">
        <w:rPr>
          <w:rFonts w:asciiTheme="majorHAnsi" w:hAnsiTheme="majorHAnsi"/>
          <w:bCs/>
        </w:rPr>
        <w:t>he</w:t>
      </w:r>
      <w:r>
        <w:rPr>
          <w:rFonts w:asciiTheme="majorHAnsi" w:hAnsiTheme="majorHAnsi"/>
          <w:bCs/>
        </w:rPr>
        <w:t xml:space="preserve"> SSR2 may wish to consider the</w:t>
      </w:r>
      <w:r w:rsidRPr="006A5E4F">
        <w:rPr>
          <w:rFonts w:asciiTheme="majorHAnsi" w:hAnsiTheme="majorHAnsi"/>
          <w:bCs/>
        </w:rPr>
        <w:t xml:space="preserve"> planned facilitation center for DNS ecosystem security risks</w:t>
      </w:r>
      <w:r>
        <w:rPr>
          <w:rFonts w:asciiTheme="majorHAnsi" w:hAnsiTheme="majorHAnsi"/>
          <w:bCs/>
        </w:rPr>
        <w:t xml:space="preserve"> as the means for output for this. </w:t>
      </w:r>
    </w:p>
    <w:p w14:paraId="10831009" w14:textId="3A13DF7C" w:rsidR="009A40AD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hAnsiTheme="majorHAnsi"/>
          <w:bCs/>
        </w:rPr>
        <w:t>Security best practices for ccTLDs (p49)</w:t>
      </w:r>
    </w:p>
    <w:p w14:paraId="27716932" w14:textId="0EA7B52C" w:rsidR="006A5E4F" w:rsidRPr="009A40AD" w:rsidRDefault="006A5E4F" w:rsidP="006A5E4F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The same points apply to this as for the root server operations recommendation noted above. </w:t>
      </w:r>
    </w:p>
    <w:p w14:paraId="0F0AF46D" w14:textId="52DE226A" w:rsidR="009A40AD" w:rsidRPr="006A5E4F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eastAsia="Times New Roman" w:hAnsiTheme="majorHAnsi" w:cs="Arial"/>
          <w:color w:val="000000"/>
        </w:rPr>
        <w:t xml:space="preserve">SSR1 Recommendations 12,15, and 16 - SSR Strategy and Framework, Metrics, and Vulnerability Disclosures (p31) </w:t>
      </w:r>
    </w:p>
    <w:p w14:paraId="2EDB16A6" w14:textId="40EA8B84" w:rsidR="006A5E4F" w:rsidRPr="009A40AD" w:rsidRDefault="006A5E4F" w:rsidP="006A5E4F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This recommendation could benefit from more</w:t>
      </w:r>
      <w:r w:rsidRPr="006A5E4F">
        <w:rPr>
          <w:rFonts w:asciiTheme="majorHAnsi" w:hAnsiTheme="majorHAnsi"/>
          <w:bCs/>
        </w:rPr>
        <w:t xml:space="preserve"> clarity on what context the </w:t>
      </w:r>
      <w:r>
        <w:rPr>
          <w:rFonts w:asciiTheme="majorHAnsi" w:hAnsiTheme="majorHAnsi"/>
          <w:bCs/>
        </w:rPr>
        <w:t>SSR2 would</w:t>
      </w:r>
      <w:r w:rsidRPr="006A5E4F">
        <w:rPr>
          <w:rFonts w:asciiTheme="majorHAnsi" w:hAnsiTheme="majorHAnsi"/>
          <w:bCs/>
        </w:rPr>
        <w:t xml:space="preserve"> want the vulnerabilities to be disclosed. It was unclear to the SME reading what type of metrics, what details. </w:t>
      </w:r>
      <w:r>
        <w:rPr>
          <w:rFonts w:asciiTheme="majorHAnsi" w:hAnsiTheme="majorHAnsi"/>
          <w:bCs/>
        </w:rPr>
        <w:t>Consider if the</w:t>
      </w:r>
      <w:r w:rsidRPr="006A5E4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O</w:t>
      </w:r>
      <w:r w:rsidRPr="006A5E4F">
        <w:rPr>
          <w:rFonts w:asciiTheme="majorHAnsi" w:hAnsiTheme="majorHAnsi"/>
          <w:bCs/>
        </w:rPr>
        <w:t xml:space="preserve">pen </w:t>
      </w:r>
      <w:r>
        <w:rPr>
          <w:rFonts w:asciiTheme="majorHAnsi" w:hAnsiTheme="majorHAnsi"/>
          <w:bCs/>
        </w:rPr>
        <w:t>D</w:t>
      </w:r>
      <w:r w:rsidRPr="006A5E4F">
        <w:rPr>
          <w:rFonts w:asciiTheme="majorHAnsi" w:hAnsiTheme="majorHAnsi"/>
          <w:bCs/>
        </w:rPr>
        <w:t xml:space="preserve">ata </w:t>
      </w:r>
      <w:r>
        <w:rPr>
          <w:rFonts w:asciiTheme="majorHAnsi" w:hAnsiTheme="majorHAnsi"/>
          <w:bCs/>
        </w:rPr>
        <w:t>P</w:t>
      </w:r>
      <w:r w:rsidRPr="006A5E4F">
        <w:rPr>
          <w:rFonts w:asciiTheme="majorHAnsi" w:hAnsiTheme="majorHAnsi"/>
          <w:bCs/>
        </w:rPr>
        <w:t>latform</w:t>
      </w:r>
      <w:r>
        <w:rPr>
          <w:rFonts w:asciiTheme="majorHAnsi" w:hAnsiTheme="majorHAnsi"/>
          <w:bCs/>
        </w:rPr>
        <w:t xml:space="preserve"> </w:t>
      </w:r>
      <w:r w:rsidRPr="006A5E4F">
        <w:rPr>
          <w:rFonts w:asciiTheme="majorHAnsi" w:hAnsiTheme="majorHAnsi"/>
          <w:bCs/>
        </w:rPr>
        <w:t>would that be the appropriate delivery platform or mechanism for th</w:t>
      </w:r>
      <w:r>
        <w:rPr>
          <w:rFonts w:asciiTheme="majorHAnsi" w:hAnsiTheme="majorHAnsi"/>
          <w:bCs/>
        </w:rPr>
        <w:t>is</w:t>
      </w:r>
      <w:r w:rsidRPr="006A5E4F">
        <w:rPr>
          <w:rFonts w:asciiTheme="majorHAnsi" w:hAnsiTheme="majorHAnsi"/>
          <w:bCs/>
        </w:rPr>
        <w:t xml:space="preserve"> type of information?</w:t>
      </w:r>
    </w:p>
    <w:p w14:paraId="324FB431" w14:textId="6ADFDC91" w:rsidR="009A40AD" w:rsidRPr="004A1FE8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eastAsia="Times New Roman" w:hAnsiTheme="majorHAnsi" w:cs="Arial"/>
          <w:color w:val="000000"/>
        </w:rPr>
        <w:t xml:space="preserve">C-suite security officer (p34) </w:t>
      </w:r>
    </w:p>
    <w:p w14:paraId="291D9221" w14:textId="4DF65684" w:rsidR="004A1FE8" w:rsidRPr="009A40AD" w:rsidRDefault="004A1FE8" w:rsidP="004A1FE8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This recommendation could benefit from more clarity on what the SSR2 is looking for implementation to achieve. </w:t>
      </w:r>
    </w:p>
    <w:p w14:paraId="36C0974A" w14:textId="00F72178" w:rsidR="009A40AD" w:rsidRPr="006A5E4F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eastAsia="Times New Roman" w:hAnsiTheme="majorHAnsi" w:cs="Arial"/>
          <w:color w:val="000000"/>
        </w:rPr>
        <w:t>Formal Procedures for Key Rollovers (p54)</w:t>
      </w:r>
    </w:p>
    <w:p w14:paraId="23CBBC42" w14:textId="141279A9" w:rsidR="006A5E4F" w:rsidRPr="009A40AD" w:rsidRDefault="004A1FE8" w:rsidP="006A5E4F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This recommendation could benefit from more clarity on what the SSR2 is looking for implementation to achieve. </w:t>
      </w:r>
    </w:p>
    <w:p w14:paraId="1578C368" w14:textId="65DF8CA5" w:rsidR="009A40AD" w:rsidRDefault="009A40AD" w:rsidP="009A40AD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9A40AD">
        <w:rPr>
          <w:rFonts w:asciiTheme="majorHAnsi" w:hAnsiTheme="majorHAnsi"/>
          <w:bCs/>
        </w:rPr>
        <w:t>Root Zone Data and IANA Registries: Measurements (p57)</w:t>
      </w:r>
    </w:p>
    <w:p w14:paraId="4C239073" w14:textId="31F026E3" w:rsidR="004A1FE8" w:rsidRDefault="004A1FE8" w:rsidP="004A1FE8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This recommendation could benefit from more clarity on what the SSR2 is looking for implementation to achieve. </w:t>
      </w:r>
    </w:p>
    <w:p w14:paraId="65108F14" w14:textId="63AA55A2" w:rsidR="004A1FE8" w:rsidRDefault="004A1FE8" w:rsidP="004A1FE8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DAAR recommendations</w:t>
      </w:r>
    </w:p>
    <w:p w14:paraId="18A41F71" w14:textId="1184E067" w:rsidR="004A1FE8" w:rsidRPr="004A1FE8" w:rsidRDefault="004A1FE8" w:rsidP="004A1FE8">
      <w:pPr>
        <w:pStyle w:val="ListParagraph"/>
        <w:numPr>
          <w:ilvl w:val="1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SSR2 should consider a discussion with John Crain on the</w:t>
      </w:r>
      <w:r w:rsidRPr="004A1FE8">
        <w:rPr>
          <w:rFonts w:asciiTheme="majorHAnsi" w:hAnsiTheme="majorHAnsi"/>
          <w:bCs/>
        </w:rPr>
        <w:t xml:space="preserve"> functionality of DAAR</w:t>
      </w:r>
      <w:r>
        <w:rPr>
          <w:rFonts w:asciiTheme="majorHAnsi" w:hAnsiTheme="majorHAnsi"/>
          <w:bCs/>
        </w:rPr>
        <w:t>.</w:t>
      </w:r>
    </w:p>
    <w:p w14:paraId="66A3571C" w14:textId="7F29DBE9" w:rsidR="009A40AD" w:rsidRDefault="009A40AD">
      <w:bookmarkStart w:id="0" w:name="_GoBack"/>
      <w:bookmarkEnd w:id="0"/>
    </w:p>
    <w:sectPr w:rsidR="009A40AD" w:rsidSect="003C09D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(Theme Body)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033"/>
    <w:multiLevelType w:val="hybridMultilevel"/>
    <w:tmpl w:val="3DE4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21E01"/>
    <w:multiLevelType w:val="hybridMultilevel"/>
    <w:tmpl w:val="9FA29338"/>
    <w:lvl w:ilvl="0" w:tplc="804A1446">
      <w:start w:val="1"/>
      <w:numFmt w:val="decimal"/>
      <w:lvlText w:val="%1."/>
      <w:lvlJc w:val="left"/>
      <w:pPr>
        <w:ind w:left="720" w:hanging="360"/>
      </w:pPr>
      <w:rPr>
        <w:rFonts w:ascii="Calibri (Theme Body)" w:hAnsi="Calibri (Theme Body)" w:hint="default"/>
        <w:b/>
        <w:i w:val="0"/>
        <w:color w:val="000000" w:themeColor="text1"/>
        <w:sz w:val="24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D"/>
    <w:rsid w:val="003C09D6"/>
    <w:rsid w:val="004A1FE8"/>
    <w:rsid w:val="006A5E4F"/>
    <w:rsid w:val="009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F08A7"/>
  <w15:chartTrackingRefBased/>
  <w15:docId w15:val="{861D48C7-B626-C74D-972E-6857BB11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0AD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1</cp:revision>
  <dcterms:created xsi:type="dcterms:W3CDTF">2020-01-14T11:24:00Z</dcterms:created>
  <dcterms:modified xsi:type="dcterms:W3CDTF">2020-01-14T11:54:00Z</dcterms:modified>
</cp:coreProperties>
</file>