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F50894" w:rsidRDefault="001D698D">
      <w:pPr>
        <w:spacing w:after="160"/>
        <w:rPr>
          <w:rFonts w:ascii="Calibri" w:eastAsia="Calibri" w:hAnsi="Calibri" w:cs="Calibri"/>
        </w:rPr>
      </w:pPr>
      <w:r>
        <w:rPr>
          <w:rFonts w:ascii="Calibri" w:eastAsia="Calibri" w:hAnsi="Calibri" w:cs="Calibri"/>
        </w:rPr>
        <w:t>Hi Jared and All,</w:t>
      </w:r>
    </w:p>
    <w:p w14:paraId="00000003" w14:textId="77777777" w:rsidR="00F50894" w:rsidRDefault="001D698D">
      <w:pPr>
        <w:spacing w:after="160"/>
        <w:rPr>
          <w:rFonts w:ascii="Calibri" w:eastAsia="Calibri" w:hAnsi="Calibri" w:cs="Calibri"/>
        </w:rPr>
      </w:pPr>
      <w:r>
        <w:rPr>
          <w:rFonts w:ascii="Calibri" w:eastAsia="Calibri" w:hAnsi="Calibri" w:cs="Calibri"/>
        </w:rPr>
        <w:t>Thank you for the robust discussion on Thursday and review of comments and concerns about independent research. As you noted in the slides of Thursday and our discussion, SubPro Rec 34.21 provides for “</w:t>
      </w:r>
      <w:r>
        <w:rPr>
          <w:rFonts w:ascii="Calibri" w:eastAsia="Calibri" w:hAnsi="Calibri" w:cs="Calibri"/>
          <w:b/>
        </w:rPr>
        <w:t xml:space="preserve">independent research deemed necessary to evaluate the </w:t>
      </w:r>
      <w:r>
        <w:rPr>
          <w:rFonts w:ascii="Calibri" w:eastAsia="Calibri" w:hAnsi="Calibri" w:cs="Calibri"/>
          <w:b/>
        </w:rPr>
        <w:t>application.</w:t>
      </w:r>
      <w:r>
        <w:rPr>
          <w:rFonts w:ascii="Calibri" w:eastAsia="Calibri" w:hAnsi="Calibri" w:cs="Calibri"/>
        </w:rPr>
        <w:t>” That’s true.</w:t>
      </w:r>
    </w:p>
    <w:p w14:paraId="00000004" w14:textId="75748F8B" w:rsidR="00F50894" w:rsidRDefault="001D698D">
      <w:pPr>
        <w:spacing w:after="160"/>
        <w:rPr>
          <w:rFonts w:ascii="Calibri" w:eastAsia="Calibri" w:hAnsi="Calibri" w:cs="Calibri"/>
          <w:i/>
        </w:rPr>
      </w:pPr>
      <w:r>
        <w:rPr>
          <w:rFonts w:ascii="Calibri" w:eastAsia="Calibri" w:hAnsi="Calibri" w:cs="Calibri"/>
          <w:i/>
        </w:rPr>
        <w:t>How else can the Panel best evaluate the application, and the letters of opposition and support, as the Panel must</w:t>
      </w:r>
      <w:r w:rsidR="006A2A66">
        <w:rPr>
          <w:rFonts w:ascii="Calibri" w:eastAsia="Calibri" w:hAnsi="Calibri" w:cs="Calibri"/>
          <w:i/>
        </w:rPr>
        <w:t xml:space="preserve">?  </w:t>
      </w:r>
      <w:r>
        <w:rPr>
          <w:rFonts w:ascii="Calibri" w:eastAsia="Calibri" w:hAnsi="Calibri" w:cs="Calibri"/>
          <w:i/>
        </w:rPr>
        <w:t>How else can they prepare and evaluate the “</w:t>
      </w:r>
      <w:r>
        <w:rPr>
          <w:rFonts w:ascii="Calibri" w:eastAsia="Calibri" w:hAnsi="Calibri" w:cs="Calibri"/>
          <w:b/>
          <w:i/>
        </w:rPr>
        <w:t>CPE Clarifying Questions</w:t>
      </w:r>
      <w:r>
        <w:rPr>
          <w:rFonts w:ascii="Calibri" w:eastAsia="Calibri" w:hAnsi="Calibri" w:cs="Calibri"/>
          <w:i/>
        </w:rPr>
        <w:t>” of 4.4.5.1?</w:t>
      </w:r>
    </w:p>
    <w:p w14:paraId="00000005" w14:textId="0EFD354F" w:rsidR="00F50894" w:rsidRDefault="001D698D">
      <w:pPr>
        <w:spacing w:after="160"/>
        <w:rPr>
          <w:rFonts w:ascii="Calibri" w:eastAsia="Calibri" w:hAnsi="Calibri" w:cs="Calibri"/>
        </w:rPr>
      </w:pPr>
      <w:r>
        <w:rPr>
          <w:rFonts w:ascii="Calibri" w:eastAsia="Calibri" w:hAnsi="Calibri" w:cs="Calibri"/>
        </w:rPr>
        <w:t xml:space="preserve">We appreciate your closing </w:t>
      </w:r>
      <w:r>
        <w:rPr>
          <w:rFonts w:ascii="Calibri" w:eastAsia="Calibri" w:hAnsi="Calibri" w:cs="Calibri"/>
        </w:rPr>
        <w:t>comment at the end of the call asking for specific wording input</w:t>
      </w:r>
      <w:r w:rsidR="006A2A66">
        <w:rPr>
          <w:rFonts w:ascii="Calibri" w:eastAsia="Calibri" w:hAnsi="Calibri" w:cs="Calibri"/>
        </w:rPr>
        <w:t xml:space="preserve">. We also </w:t>
      </w:r>
      <w:r w:rsidR="00AC76E6">
        <w:rPr>
          <w:rFonts w:ascii="Calibri" w:eastAsia="Calibri" w:hAnsi="Calibri" w:cs="Calibri"/>
        </w:rPr>
        <w:t xml:space="preserve">appreciated </w:t>
      </w:r>
      <w:r w:rsidR="006A2A66">
        <w:rPr>
          <w:rFonts w:ascii="Calibri" w:eastAsia="Calibri" w:hAnsi="Calibri" w:cs="Calibri"/>
        </w:rPr>
        <w:t>Cheryl</w:t>
      </w:r>
      <w:r w:rsidR="00AC76E6">
        <w:rPr>
          <w:rFonts w:ascii="Calibri" w:eastAsia="Calibri" w:hAnsi="Calibri" w:cs="Calibri"/>
        </w:rPr>
        <w:t xml:space="preserve">’s </w:t>
      </w:r>
      <w:r w:rsidR="006A2A66">
        <w:rPr>
          <w:rFonts w:ascii="Calibri" w:eastAsia="Calibri" w:hAnsi="Calibri" w:cs="Calibri"/>
        </w:rPr>
        <w:t xml:space="preserve">edits to the text below.   </w:t>
      </w:r>
      <w:r w:rsidR="00B010A8">
        <w:rPr>
          <w:rFonts w:ascii="Calibri" w:eastAsia="Calibri" w:hAnsi="Calibri" w:cs="Calibri"/>
        </w:rPr>
        <w:t xml:space="preserve">The </w:t>
      </w:r>
      <w:r w:rsidR="006A2A66">
        <w:rPr>
          <w:rFonts w:ascii="Calibri" w:eastAsia="Calibri" w:hAnsi="Calibri" w:cs="Calibri"/>
        </w:rPr>
        <w:t xml:space="preserve">proposed wording does not change scoring, but opens it to the broader research we discussed last Thursday and the SubPro WG recommended. </w:t>
      </w:r>
    </w:p>
    <w:p w14:paraId="00000006" w14:textId="02E29567" w:rsidR="00F50894" w:rsidRDefault="001D698D">
      <w:pPr>
        <w:spacing w:after="160"/>
        <w:rPr>
          <w:rFonts w:ascii="Calibri" w:eastAsia="Calibri" w:hAnsi="Calibri" w:cs="Calibri"/>
          <w:i/>
        </w:rPr>
      </w:pPr>
      <w:r>
        <w:rPr>
          <w:rFonts w:ascii="Calibri" w:eastAsia="Calibri" w:hAnsi="Calibri" w:cs="Calibri"/>
        </w:rPr>
        <w:t xml:space="preserve">We </w:t>
      </w:r>
      <w:r w:rsidR="00AC76E6">
        <w:rPr>
          <w:rFonts w:ascii="Calibri" w:eastAsia="Calibri" w:hAnsi="Calibri" w:cs="Calibri"/>
        </w:rPr>
        <w:t xml:space="preserve">follow </w:t>
      </w:r>
      <w:r>
        <w:rPr>
          <w:rFonts w:ascii="Calibri" w:eastAsia="Calibri" w:hAnsi="Calibri" w:cs="Calibri"/>
        </w:rPr>
        <w:t>the closing comment of Thursday’s slides (p58)</w:t>
      </w:r>
      <w:proofErr w:type="gramStart"/>
      <w:r>
        <w:rPr>
          <w:rFonts w:ascii="Calibri" w:eastAsia="Calibri" w:hAnsi="Calibri" w:cs="Calibri"/>
        </w:rPr>
        <w:t>:  “</w:t>
      </w:r>
      <w:proofErr w:type="gramEnd"/>
      <w:r>
        <w:rPr>
          <w:rFonts w:ascii="Calibri" w:eastAsia="Calibri" w:hAnsi="Calibri" w:cs="Calibri"/>
          <w:i/>
        </w:rPr>
        <w:t>ICANN suggests that changes could be made to clarify the role of the panel as well as the role of the appl</w:t>
      </w:r>
      <w:r>
        <w:rPr>
          <w:rFonts w:ascii="Calibri" w:eastAsia="Calibri" w:hAnsi="Calibri" w:cs="Calibri"/>
          <w:i/>
        </w:rPr>
        <w:t>icant’s claims. Further ICANN can clarify the language regarding ‘independent research’ and expectations for what the means.”</w:t>
      </w:r>
    </w:p>
    <w:p w14:paraId="00000007" w14:textId="77777777" w:rsidR="00F50894" w:rsidRDefault="001D698D">
      <w:pPr>
        <w:spacing w:after="160"/>
        <w:rPr>
          <w:rFonts w:ascii="Calibri" w:eastAsia="Calibri" w:hAnsi="Calibri" w:cs="Calibri"/>
        </w:rPr>
      </w:pPr>
      <w:r>
        <w:rPr>
          <w:rFonts w:ascii="Calibri" w:eastAsia="Calibri" w:hAnsi="Calibri" w:cs="Calibri"/>
        </w:rPr>
        <w:t>We have worked hard, as requested, to help.</w:t>
      </w:r>
    </w:p>
    <w:p w14:paraId="00000009" w14:textId="77777777" w:rsidR="00F50894" w:rsidRDefault="001D698D">
      <w:pPr>
        <w:spacing w:after="160"/>
        <w:rPr>
          <w:rFonts w:ascii="Calibri" w:eastAsia="Calibri" w:hAnsi="Calibri" w:cs="Calibri"/>
        </w:rPr>
      </w:pPr>
      <w:r>
        <w:rPr>
          <w:rFonts w:ascii="Calibri" w:eastAsia="Calibri" w:hAnsi="Calibri" w:cs="Calibri"/>
        </w:rPr>
        <w:t>-----------------</w:t>
      </w:r>
    </w:p>
    <w:p w14:paraId="0000000A" w14:textId="77777777" w:rsidR="00F50894" w:rsidRDefault="001D698D">
      <w:pPr>
        <w:numPr>
          <w:ilvl w:val="0"/>
          <w:numId w:val="13"/>
        </w:numPr>
        <w:spacing w:before="240" w:after="240"/>
      </w:pPr>
      <w:r>
        <w:rPr>
          <w:rFonts w:ascii="Calibri" w:eastAsia="Calibri" w:hAnsi="Calibri" w:cs="Calibri"/>
        </w:rPr>
        <w:t>First</w:t>
      </w:r>
      <w:r>
        <w:rPr>
          <w:rFonts w:ascii="Calibri" w:eastAsia="Calibri" w:hAnsi="Calibri" w:cs="Calibri"/>
        </w:rPr>
        <w:t>, the SubPro Recommendations:</w:t>
      </w:r>
    </w:p>
    <w:p w14:paraId="0000000B" w14:textId="77777777" w:rsidR="00F50894" w:rsidRDefault="001D698D">
      <w:pPr>
        <w:spacing w:after="160"/>
        <w:rPr>
          <w:rFonts w:ascii="Calibri" w:eastAsia="Calibri" w:hAnsi="Calibri" w:cs="Calibri"/>
        </w:rPr>
      </w:pPr>
      <w:r w:rsidRPr="006A2A66">
        <w:rPr>
          <w:rFonts w:ascii="Calibri" w:eastAsia="Calibri" w:hAnsi="Calibri" w:cs="Calibri"/>
          <w:b/>
          <w:bCs/>
        </w:rPr>
        <w:t>Recommendation 34.21: “If the Community Priority Evaluation Panel conducts independent research while evaluating an application, limitations on this research and additional requirements must apply. The Working Group recommends</w:t>
      </w:r>
      <w:r w:rsidRPr="006A2A66">
        <w:rPr>
          <w:rFonts w:ascii="Calibri" w:eastAsia="Calibri" w:hAnsi="Calibri" w:cs="Calibri"/>
          <w:b/>
          <w:bCs/>
        </w:rPr>
        <w:t xml:space="preserve"> including the following text in the Applicant Guidebook: “The Community Priority Evaluation Panel may perform independent research deemed necessary to evaluate the application (the “Limited Research”), provided, however, that the evaluator shall disclose </w:t>
      </w:r>
      <w:r w:rsidRPr="006A2A66">
        <w:rPr>
          <w:rFonts w:ascii="Calibri" w:eastAsia="Calibri" w:hAnsi="Calibri" w:cs="Calibri"/>
          <w:b/>
          <w:bCs/>
        </w:rPr>
        <w:t>the results of such Limited Research to the applicant and the applicant shall have an opportunity to respond. The applicant shall be provided 30 days to respond before the evaluation decision is rendered. When conducting any such Limited Research, panelist</w:t>
      </w:r>
      <w:r w:rsidRPr="006A2A66">
        <w:rPr>
          <w:rFonts w:ascii="Calibri" w:eastAsia="Calibri" w:hAnsi="Calibri" w:cs="Calibri"/>
          <w:b/>
          <w:bCs/>
        </w:rPr>
        <w:t>s are cautioned not to assume an advocacy role either for or against the applicant or application.”</w:t>
      </w:r>
      <w:r>
        <w:rPr>
          <w:rFonts w:ascii="Calibri" w:eastAsia="Calibri" w:hAnsi="Calibri" w:cs="Calibri"/>
        </w:rPr>
        <w:t xml:space="preserve"> (Note: Implementation guidance 34.22 further strengthens this requirement)</w:t>
      </w:r>
    </w:p>
    <w:p w14:paraId="0000000D" w14:textId="7E6EBB40" w:rsidR="00F50894" w:rsidRDefault="001D698D">
      <w:pPr>
        <w:spacing w:after="160"/>
        <w:rPr>
          <w:rFonts w:ascii="Calibri" w:eastAsia="Calibri" w:hAnsi="Calibri" w:cs="Calibri"/>
        </w:rPr>
      </w:pPr>
      <w:r>
        <w:rPr>
          <w:rFonts w:ascii="Calibri" w:eastAsia="Calibri" w:hAnsi="Calibri" w:cs="Calibri"/>
        </w:rPr>
        <w:t>Recommendation 34.19</w:t>
      </w:r>
      <w:r>
        <w:rPr>
          <w:rFonts w:ascii="Calibri" w:eastAsia="Calibri" w:hAnsi="Calibri" w:cs="Calibri"/>
        </w:rPr>
        <w:t>:</w:t>
      </w:r>
      <w:r w:rsidR="006A2A66">
        <w:rPr>
          <w:rFonts w:ascii="Calibri" w:eastAsia="Calibri" w:hAnsi="Calibri" w:cs="Calibri"/>
        </w:rPr>
        <w:t xml:space="preserve"> </w:t>
      </w:r>
      <w:r w:rsidRPr="006A2A66">
        <w:rPr>
          <w:rFonts w:ascii="Calibri" w:eastAsia="Calibri" w:hAnsi="Calibri" w:cs="Calibri"/>
          <w:b/>
          <w:bCs/>
        </w:rPr>
        <w:t>“Letters of opposition to a community-based application, if</w:t>
      </w:r>
      <w:r w:rsidRPr="006A2A66">
        <w:rPr>
          <w:rFonts w:ascii="Calibri" w:eastAsia="Calibri" w:hAnsi="Calibri" w:cs="Calibri"/>
          <w:b/>
          <w:bCs/>
        </w:rPr>
        <w:t xml:space="preserve"> any, </w:t>
      </w:r>
      <w:r w:rsidRPr="006A2A66">
        <w:rPr>
          <w:rFonts w:ascii="Calibri" w:eastAsia="Calibri" w:hAnsi="Calibri" w:cs="Calibri"/>
          <w:b/>
          <w:bCs/>
          <w:i/>
          <w:iCs/>
        </w:rPr>
        <w:t>must be considered in balance with documented support for the application</w:t>
      </w:r>
      <w:r w:rsidRPr="006A2A66">
        <w:rPr>
          <w:rFonts w:ascii="Calibri" w:eastAsia="Calibri" w:hAnsi="Calibri" w:cs="Calibri"/>
          <w:b/>
          <w:bCs/>
        </w:rPr>
        <w:t xml:space="preserve">.” </w:t>
      </w:r>
      <w:r w:rsidRPr="006A2A66">
        <w:rPr>
          <w:rFonts w:ascii="Calibri" w:eastAsia="Calibri" w:hAnsi="Calibri" w:cs="Calibri"/>
        </w:rPr>
        <w:t>(emphasis added)</w:t>
      </w:r>
    </w:p>
    <w:p w14:paraId="39A81CB3" w14:textId="77777777" w:rsidR="006A2A66" w:rsidRPr="006A2A66" w:rsidRDefault="006A2A66">
      <w:pPr>
        <w:spacing w:after="160"/>
        <w:rPr>
          <w:rFonts w:ascii="Calibri" w:eastAsia="Calibri" w:hAnsi="Calibri" w:cs="Calibri"/>
        </w:rPr>
      </w:pPr>
    </w:p>
    <w:p w14:paraId="0000000E" w14:textId="77777777" w:rsidR="00F50894" w:rsidRDefault="001D698D">
      <w:pPr>
        <w:spacing w:after="160"/>
        <w:rPr>
          <w:rFonts w:ascii="Calibri" w:eastAsia="Calibri" w:hAnsi="Calibri" w:cs="Calibri"/>
        </w:rPr>
      </w:pPr>
      <w:r>
        <w:t xml:space="preserve"> </w:t>
      </w:r>
      <w:r>
        <w:t xml:space="preserve">II. </w:t>
      </w:r>
      <w:r>
        <w:rPr>
          <w:rFonts w:ascii="Calibri" w:eastAsia="Calibri" w:hAnsi="Calibri" w:cs="Calibri"/>
        </w:rPr>
        <w:t>Our recommendations for additions, clarifications, and a few edits are consistent with these recommendations, Jared’s invitation, and we think, the many</w:t>
      </w:r>
      <w:r>
        <w:rPr>
          <w:rFonts w:ascii="Calibri" w:eastAsia="Calibri" w:hAnsi="Calibri" w:cs="Calibri"/>
        </w:rPr>
        <w:t xml:space="preserve"> comments received.</w:t>
      </w:r>
    </w:p>
    <w:p w14:paraId="0000000F" w14:textId="77777777" w:rsidR="00F50894" w:rsidRDefault="001D698D">
      <w:pPr>
        <w:spacing w:after="160"/>
      </w:pPr>
      <w:r>
        <w:t xml:space="preserve"> </w:t>
      </w:r>
    </w:p>
    <w:p w14:paraId="00000010" w14:textId="77777777" w:rsidR="00F50894" w:rsidRDefault="001D698D">
      <w:pPr>
        <w:numPr>
          <w:ilvl w:val="0"/>
          <w:numId w:val="15"/>
        </w:numPr>
        <w:spacing w:before="240"/>
      </w:pPr>
      <w:r>
        <w:rPr>
          <w:rFonts w:ascii="Calibri" w:eastAsia="Calibri" w:hAnsi="Calibri" w:cs="Calibri"/>
        </w:rPr>
        <w:t xml:space="preserve">Recommend inserting into the broad language of 4.4.5 Community Priority Evaluation Outcomes, the specific language from SubPro Rec 34.21  “The Working Group recommends including the following text in the Applicant Guidebook: </w:t>
      </w:r>
      <w:r>
        <w:rPr>
          <w:rFonts w:ascii="Calibri" w:eastAsia="Calibri" w:hAnsi="Calibri" w:cs="Calibri"/>
          <w:b/>
        </w:rPr>
        <w:t>The Commu</w:t>
      </w:r>
      <w:r>
        <w:rPr>
          <w:rFonts w:ascii="Calibri" w:eastAsia="Calibri" w:hAnsi="Calibri" w:cs="Calibri"/>
          <w:b/>
        </w:rPr>
        <w:t xml:space="preserve">nity Priority Evaluation Panel may perform independent research deemed necessary to evaluate the application (the Limited Research”), provided however that the evaluator shall disclose the result of such Limited Research to the applicant and the applicant </w:t>
      </w:r>
      <w:r>
        <w:rPr>
          <w:rFonts w:ascii="Calibri" w:eastAsia="Calibri" w:hAnsi="Calibri" w:cs="Calibri"/>
          <w:b/>
        </w:rPr>
        <w:t xml:space="preserve">shall have the opportunity to </w:t>
      </w:r>
      <w:r>
        <w:rPr>
          <w:rFonts w:ascii="Calibri" w:eastAsia="Calibri" w:hAnsi="Calibri" w:cs="Calibri"/>
          <w:b/>
        </w:rPr>
        <w:lastRenderedPageBreak/>
        <w:t>respond</w:t>
      </w:r>
      <w:r>
        <w:rPr>
          <w:rFonts w:ascii="Calibri" w:eastAsia="Calibri" w:hAnsi="Calibri" w:cs="Calibri"/>
        </w:rPr>
        <w:t>.”</w:t>
      </w:r>
      <w:r>
        <w:rPr>
          <w:rFonts w:ascii="Calibri" w:eastAsia="Calibri" w:hAnsi="Calibri" w:cs="Calibri"/>
        </w:rPr>
        <w:br/>
      </w:r>
      <w:r>
        <w:t xml:space="preserve"> </w:t>
      </w:r>
    </w:p>
    <w:p w14:paraId="00000011" w14:textId="77777777" w:rsidR="00F50894" w:rsidRDefault="001D698D">
      <w:pPr>
        <w:numPr>
          <w:ilvl w:val="0"/>
          <w:numId w:val="16"/>
        </w:numPr>
        <w:spacing w:after="240"/>
      </w:pPr>
      <w:r>
        <w:rPr>
          <w:rFonts w:ascii="Calibri" w:eastAsia="Calibri" w:hAnsi="Calibri" w:cs="Calibri"/>
        </w:rPr>
        <w:t xml:space="preserve">We note that many of the changes below will help the Panel in </w:t>
      </w:r>
      <w:r>
        <w:rPr>
          <w:rFonts w:ascii="Calibri" w:eastAsia="Calibri" w:hAnsi="Calibri" w:cs="Calibri"/>
          <w:b/>
        </w:rPr>
        <w:t>4.4.5.1 CPE Clarifying Questions</w:t>
      </w:r>
      <w:r>
        <w:rPr>
          <w:rFonts w:ascii="Calibri" w:eastAsia="Calibri" w:hAnsi="Calibri" w:cs="Calibri"/>
        </w:rPr>
        <w:t>. This section empowers the panel to issue questions not only to the CPE applicant but to those writing letters of oppos</w:t>
      </w:r>
      <w:r>
        <w:rPr>
          <w:rFonts w:ascii="Calibri" w:eastAsia="Calibri" w:hAnsi="Calibri" w:cs="Calibri"/>
        </w:rPr>
        <w:t>ition. Clearly, the panel will need to do the independent research it deems necessary to ask the right questions, and balance and weigh the answers (as required by Rec. 34.19)</w:t>
      </w:r>
    </w:p>
    <w:p w14:paraId="00000012" w14:textId="77777777" w:rsidR="00F50894" w:rsidRDefault="001D698D">
      <w:pPr>
        <w:spacing w:after="160"/>
        <w:ind w:left="720"/>
        <w:rPr>
          <w:rFonts w:ascii="Calibri" w:eastAsia="Calibri" w:hAnsi="Calibri" w:cs="Calibri"/>
          <w:b/>
        </w:rPr>
      </w:pPr>
      <w:r>
        <w:t xml:space="preserve"> </w:t>
      </w:r>
      <w:r>
        <w:rPr>
          <w:rFonts w:ascii="Calibri" w:eastAsia="Calibri" w:hAnsi="Calibri" w:cs="Calibri"/>
          <w:b/>
        </w:rPr>
        <w:t>(Referencing: 4.4.5.1: “The panel may issue CPE Clarifying Questions to applicants for applications participating in CPE. Clarifying Questions may also be directed to a person or entity that submitted a letter of opposition to a CPE applicant.”)</w:t>
      </w:r>
    </w:p>
    <w:p w14:paraId="00000013" w14:textId="64584BCD" w:rsidR="00F50894" w:rsidRDefault="001D698D">
      <w:pPr>
        <w:spacing w:after="160"/>
        <w:ind w:left="720"/>
      </w:pPr>
      <w:r>
        <w:t xml:space="preserve"> </w:t>
      </w:r>
      <w:r>
        <w:rPr>
          <w:rFonts w:ascii="Calibri" w:eastAsia="Calibri" w:hAnsi="Calibri" w:cs="Calibri"/>
        </w:rPr>
        <w:t>We furthe</w:t>
      </w:r>
      <w:r>
        <w:rPr>
          <w:rFonts w:ascii="Calibri" w:eastAsia="Calibri" w:hAnsi="Calibri" w:cs="Calibri"/>
        </w:rPr>
        <w:t xml:space="preserve">r note SubPro WG’s </w:t>
      </w:r>
      <w:r>
        <w:rPr>
          <w:rFonts w:ascii="Calibri" w:eastAsia="Calibri" w:hAnsi="Calibri" w:cs="Calibri"/>
          <w:i/>
        </w:rPr>
        <w:t xml:space="preserve">Rationale for Recommendations 34.17 and 34.18: </w:t>
      </w:r>
      <w:r>
        <w:rPr>
          <w:rFonts w:ascii="Calibri" w:eastAsia="Calibri" w:hAnsi="Calibri" w:cs="Calibri"/>
        </w:rPr>
        <w:t>“The Working Group believes, however</w:t>
      </w:r>
      <w:r>
        <w:rPr>
          <w:rFonts w:ascii="Calibri" w:eastAsia="Calibri" w:hAnsi="Calibri" w:cs="Calibri"/>
        </w:rPr>
        <w:t>,</w:t>
      </w:r>
      <w:r>
        <w:rPr>
          <w:rFonts w:ascii="Calibri" w:eastAsia="Calibri" w:hAnsi="Calibri" w:cs="Calibri"/>
        </w:rPr>
        <w:t xml:space="preserve"> that evaluators should have additional </w:t>
      </w:r>
      <w:r>
        <w:rPr>
          <w:rFonts w:ascii="Calibri" w:eastAsia="Calibri" w:hAnsi="Calibri" w:cs="Calibri"/>
        </w:rPr>
        <w:t xml:space="preserve">resources </w:t>
      </w:r>
      <w:r>
        <w:rPr>
          <w:rFonts w:ascii="Calibri" w:eastAsia="Calibri" w:hAnsi="Calibri" w:cs="Calibri"/>
        </w:rPr>
        <w:t>at their disposal to gather information about a CPE application and any opposition to that a</w:t>
      </w:r>
      <w:r>
        <w:rPr>
          <w:rFonts w:ascii="Calibri" w:eastAsia="Calibri" w:hAnsi="Calibri" w:cs="Calibri"/>
        </w:rPr>
        <w:t>pplication.”</w:t>
      </w:r>
      <w:r>
        <w:t xml:space="preserve"> </w:t>
      </w:r>
    </w:p>
    <w:p w14:paraId="00000014" w14:textId="77777777" w:rsidR="00F50894" w:rsidRDefault="001D698D">
      <w:pPr>
        <w:numPr>
          <w:ilvl w:val="0"/>
          <w:numId w:val="9"/>
        </w:numPr>
        <w:spacing w:before="240" w:after="240"/>
      </w:pPr>
      <w:r>
        <w:rPr>
          <w:rFonts w:ascii="Calibri" w:eastAsia="Calibri" w:hAnsi="Calibri" w:cs="Calibri"/>
        </w:rPr>
        <w:t xml:space="preserve">As requested, we share the following edits </w:t>
      </w:r>
      <w:r>
        <w:rPr>
          <w:rFonts w:ascii="Calibri" w:eastAsia="Calibri" w:hAnsi="Calibri" w:cs="Calibri"/>
          <w:i/>
        </w:rPr>
        <w:t>to the CPE Scoring Criteria</w:t>
      </w:r>
      <w:r>
        <w:rPr>
          <w:rFonts w:ascii="Calibri" w:eastAsia="Calibri" w:hAnsi="Calibri" w:cs="Calibri"/>
        </w:rPr>
        <w:t xml:space="preserve"> of 4.4.6, as necessary ways to  implement the broad direction and important tasks given to the CPE Panel 4.4.5.  Broad language is good, but the “rubber hits the road” in </w:t>
      </w:r>
      <w:r>
        <w:rPr>
          <w:rFonts w:ascii="Calibri" w:eastAsia="Calibri" w:hAnsi="Calibri" w:cs="Calibri"/>
        </w:rPr>
        <w:t>the specifics of CPE Scoring in 4.4.6.</w:t>
      </w:r>
    </w:p>
    <w:p w14:paraId="00000015" w14:textId="77777777" w:rsidR="00F50894" w:rsidRDefault="001D698D">
      <w:pPr>
        <w:spacing w:after="160"/>
        <w:ind w:left="360"/>
        <w:rPr>
          <w:rFonts w:ascii="Calibri" w:eastAsia="Calibri" w:hAnsi="Calibri" w:cs="Calibri"/>
        </w:rPr>
      </w:pPr>
      <w:r>
        <w:rPr>
          <w:rFonts w:ascii="Calibri" w:eastAsia="Calibri" w:hAnsi="Calibri" w:cs="Calibri"/>
        </w:rPr>
        <w:t>Thus:</w:t>
      </w:r>
    </w:p>
    <w:p w14:paraId="00000016" w14:textId="23C9406B" w:rsidR="00F50894" w:rsidRPr="006A2A66" w:rsidRDefault="001D698D">
      <w:pPr>
        <w:spacing w:after="160"/>
        <w:ind w:left="360"/>
        <w:rPr>
          <w:rFonts w:ascii="Calibri" w:eastAsia="Calibri" w:hAnsi="Calibri" w:cs="Calibri"/>
          <w:b/>
          <w:bCs/>
        </w:rPr>
      </w:pPr>
      <w:r w:rsidRPr="006A2A66">
        <w:rPr>
          <w:rFonts w:ascii="Calibri" w:eastAsia="Calibri" w:hAnsi="Calibri" w:cs="Calibri"/>
          <w:b/>
          <w:bCs/>
        </w:rPr>
        <w:t xml:space="preserve">III. Specific CPE Scoring </w:t>
      </w:r>
      <w:r w:rsidR="006A2A66">
        <w:rPr>
          <w:rFonts w:ascii="Calibri" w:eastAsia="Calibri" w:hAnsi="Calibri" w:cs="Calibri"/>
          <w:b/>
          <w:bCs/>
        </w:rPr>
        <w:t xml:space="preserve">Guidelines </w:t>
      </w:r>
      <w:r w:rsidRPr="006A2A66">
        <w:rPr>
          <w:rFonts w:ascii="Calibri" w:eastAsia="Calibri" w:hAnsi="Calibri" w:cs="Calibri"/>
          <w:b/>
          <w:bCs/>
        </w:rPr>
        <w:t>Edits</w:t>
      </w:r>
    </w:p>
    <w:p w14:paraId="00000017" w14:textId="77777777" w:rsidR="00F50894" w:rsidRDefault="001D698D">
      <w:pPr>
        <w:numPr>
          <w:ilvl w:val="0"/>
          <w:numId w:val="20"/>
        </w:numPr>
        <w:spacing w:before="240" w:after="240"/>
      </w:pPr>
      <w:r>
        <w:rPr>
          <w:rFonts w:ascii="Calibri" w:eastAsia="Calibri" w:hAnsi="Calibri" w:cs="Calibri"/>
        </w:rPr>
        <w:t>4.4.7.1.1 Organization</w:t>
      </w:r>
    </w:p>
    <w:p w14:paraId="00000018" w14:textId="77777777" w:rsidR="00F50894" w:rsidRDefault="001D698D">
      <w:pPr>
        <w:spacing w:after="160"/>
        <w:ind w:left="720"/>
        <w:rPr>
          <w:rFonts w:ascii="Calibri" w:eastAsia="Calibri" w:hAnsi="Calibri" w:cs="Calibri"/>
        </w:rPr>
      </w:pPr>
      <w:r>
        <w:rPr>
          <w:rFonts w:ascii="Calibri" w:eastAsia="Calibri" w:hAnsi="Calibri" w:cs="Calibri"/>
        </w:rPr>
        <w:t>To Guidelines d. We recommend adding (consistent with 34.19 and 34.21 above &amp; comments):</w:t>
      </w:r>
    </w:p>
    <w:p w14:paraId="00000019" w14:textId="77777777" w:rsidR="00F50894" w:rsidRDefault="001D698D">
      <w:pPr>
        <w:numPr>
          <w:ilvl w:val="0"/>
          <w:numId w:val="17"/>
        </w:numPr>
        <w:spacing w:before="240"/>
      </w:pPr>
      <w:r>
        <w:rPr>
          <w:rFonts w:ascii="Calibri" w:eastAsia="Calibri" w:hAnsi="Calibri" w:cs="Calibri"/>
        </w:rPr>
        <w:t>“</w:t>
      </w:r>
      <w:proofErr w:type="gramStart"/>
      <w:r>
        <w:rPr>
          <w:rFonts w:ascii="Calibri" w:eastAsia="Calibri" w:hAnsi="Calibri" w:cs="Calibri"/>
        </w:rPr>
        <w:t>and</w:t>
      </w:r>
      <w:proofErr w:type="gramEnd"/>
      <w:r>
        <w:rPr>
          <w:rFonts w:ascii="Calibri" w:eastAsia="Calibri" w:hAnsi="Calibri" w:cs="Calibri"/>
        </w:rPr>
        <w:t xml:space="preserve"> other independent research deemed necessary to evaluate this section of the application in light of the materials presented by the applicant </w:t>
      </w:r>
      <w:r w:rsidRPr="00B010A8">
        <w:rPr>
          <w:rFonts w:ascii="Calibri" w:eastAsia="Calibri" w:hAnsi="Calibri" w:cs="Calibri"/>
          <w:b/>
          <w:bCs/>
        </w:rPr>
        <w:t>and in letters of opp</w:t>
      </w:r>
      <w:r w:rsidRPr="00B010A8">
        <w:rPr>
          <w:rFonts w:ascii="Calibri" w:eastAsia="Calibri" w:hAnsi="Calibri" w:cs="Calibri"/>
          <w:b/>
          <w:bCs/>
        </w:rPr>
        <w:t>osition and support.</w:t>
      </w:r>
      <w:r w:rsidRPr="00B010A8">
        <w:rPr>
          <w:rFonts w:ascii="Calibri" w:eastAsia="Calibri" w:hAnsi="Calibri" w:cs="Calibri"/>
          <w:b/>
          <w:bCs/>
        </w:rPr>
        <w:t>”</w:t>
      </w:r>
      <w:r w:rsidRPr="00B010A8">
        <w:rPr>
          <w:rFonts w:ascii="Calibri" w:eastAsia="Calibri" w:hAnsi="Calibri" w:cs="Calibri"/>
          <w:b/>
          <w:bCs/>
        </w:rPr>
        <w:br/>
      </w:r>
      <w:r>
        <w:t xml:space="preserve"> </w:t>
      </w:r>
    </w:p>
    <w:p w14:paraId="0000001A" w14:textId="77777777" w:rsidR="00F50894" w:rsidRDefault="001D698D">
      <w:pPr>
        <w:numPr>
          <w:ilvl w:val="0"/>
          <w:numId w:val="10"/>
        </w:numPr>
        <w:spacing w:after="240"/>
      </w:pPr>
      <w:r>
        <w:rPr>
          <w:rFonts w:ascii="Calibri" w:eastAsia="Calibri" w:hAnsi="Calibri" w:cs="Calibri"/>
        </w:rPr>
        <w:t>4.4.7.1.2 Engagement</w:t>
      </w:r>
    </w:p>
    <w:p w14:paraId="0000001B" w14:textId="77777777" w:rsidR="00F50894" w:rsidRPr="00B010A8" w:rsidRDefault="001D698D">
      <w:pPr>
        <w:spacing w:after="160"/>
        <w:ind w:left="720"/>
        <w:rPr>
          <w:b/>
        </w:rPr>
      </w:pPr>
      <w:r>
        <w:rPr>
          <w:rFonts w:ascii="Calibri" w:eastAsia="Calibri" w:hAnsi="Calibri" w:cs="Calibri"/>
        </w:rPr>
        <w:t>To Guidelines e. We recommend adding (consistent with 34.19 and 34.21 above &amp; comments): =&gt; “and other independent research deemed necessary to evaluate this section of the application in light of the mate</w:t>
      </w:r>
      <w:r>
        <w:rPr>
          <w:rFonts w:ascii="Calibri" w:eastAsia="Calibri" w:hAnsi="Calibri" w:cs="Calibri"/>
        </w:rPr>
        <w:t>rials</w:t>
      </w:r>
      <w:r w:rsidRPr="00B010A8">
        <w:rPr>
          <w:rFonts w:ascii="Calibri" w:eastAsia="Calibri" w:hAnsi="Calibri" w:cs="Calibri"/>
          <w:b/>
        </w:rPr>
        <w:t xml:space="preserve"> presented by the applicant and in letters of opposition and support.</w:t>
      </w:r>
      <w:r w:rsidRPr="00B010A8">
        <w:rPr>
          <w:b/>
        </w:rPr>
        <w:t xml:space="preserve"> </w:t>
      </w:r>
    </w:p>
    <w:p w14:paraId="0000001C" w14:textId="77777777" w:rsidR="00F50894" w:rsidRDefault="001D698D">
      <w:pPr>
        <w:numPr>
          <w:ilvl w:val="0"/>
          <w:numId w:val="19"/>
        </w:numPr>
        <w:spacing w:before="240" w:after="240"/>
      </w:pPr>
      <w:r>
        <w:rPr>
          <w:rFonts w:ascii="Calibri" w:eastAsia="Calibri" w:hAnsi="Calibri" w:cs="Calibri"/>
        </w:rPr>
        <w:t>4.4.7.1.3 Awareness</w:t>
      </w:r>
    </w:p>
    <w:p w14:paraId="0000001D" w14:textId="77777777" w:rsidR="00F50894" w:rsidRDefault="001D698D">
      <w:pPr>
        <w:spacing w:after="160"/>
        <w:ind w:left="720"/>
        <w:rPr>
          <w:rFonts w:ascii="Calibri" w:eastAsia="Calibri" w:hAnsi="Calibri" w:cs="Calibri"/>
        </w:rPr>
      </w:pPr>
      <w:r>
        <w:rPr>
          <w:rFonts w:ascii="Calibri" w:eastAsia="Calibri" w:hAnsi="Calibri" w:cs="Calibri"/>
        </w:rPr>
        <w:t>To Guidelines b. We recommend adding (consistent with 34.19 and 34.21 above &amp; comments):</w:t>
      </w:r>
    </w:p>
    <w:p w14:paraId="0000001E" w14:textId="77777777" w:rsidR="00F50894" w:rsidRDefault="001D698D">
      <w:pPr>
        <w:numPr>
          <w:ilvl w:val="0"/>
          <w:numId w:val="22"/>
        </w:numPr>
        <w:spacing w:before="240"/>
      </w:pPr>
      <w:r>
        <w:rPr>
          <w:rFonts w:ascii="Calibri" w:eastAsia="Calibri" w:hAnsi="Calibri" w:cs="Calibri"/>
        </w:rPr>
        <w:lastRenderedPageBreak/>
        <w:t>“</w:t>
      </w:r>
      <w:proofErr w:type="gramStart"/>
      <w:r>
        <w:rPr>
          <w:rFonts w:ascii="Calibri" w:eastAsia="Calibri" w:hAnsi="Calibri" w:cs="Calibri"/>
        </w:rPr>
        <w:t>and</w:t>
      </w:r>
      <w:proofErr w:type="gramEnd"/>
      <w:r>
        <w:rPr>
          <w:rFonts w:ascii="Calibri" w:eastAsia="Calibri" w:hAnsi="Calibri" w:cs="Calibri"/>
        </w:rPr>
        <w:t xml:space="preserve"> other independent research deemed necessary to evaluate this section of the application in light of the materials </w:t>
      </w:r>
      <w:r w:rsidRPr="006A2A66">
        <w:rPr>
          <w:rFonts w:ascii="Calibri" w:eastAsia="Calibri" w:hAnsi="Calibri" w:cs="Calibri"/>
          <w:b/>
        </w:rPr>
        <w:t>presented by the applicant and in letters of opp</w:t>
      </w:r>
      <w:r w:rsidRPr="006A2A66">
        <w:rPr>
          <w:rFonts w:ascii="Calibri" w:eastAsia="Calibri" w:hAnsi="Calibri" w:cs="Calibri"/>
          <w:b/>
        </w:rPr>
        <w:t>osition and support.</w:t>
      </w:r>
      <w:r w:rsidRPr="006A2A66">
        <w:rPr>
          <w:b/>
        </w:rPr>
        <w:br/>
      </w:r>
      <w:r>
        <w:t xml:space="preserve"> </w:t>
      </w:r>
    </w:p>
    <w:p w14:paraId="0000001F" w14:textId="77777777" w:rsidR="00F50894" w:rsidRDefault="001D698D">
      <w:pPr>
        <w:numPr>
          <w:ilvl w:val="0"/>
          <w:numId w:val="18"/>
        </w:numPr>
        <w:spacing w:after="240"/>
      </w:pPr>
      <w:proofErr w:type="gramStart"/>
      <w:r>
        <w:rPr>
          <w:rFonts w:ascii="Calibri" w:eastAsia="Calibri" w:hAnsi="Calibri" w:cs="Calibri"/>
        </w:rPr>
        <w:t>4.4.7.1.4  Established</w:t>
      </w:r>
      <w:proofErr w:type="gramEnd"/>
      <w:r>
        <w:rPr>
          <w:rFonts w:ascii="Calibri" w:eastAsia="Calibri" w:hAnsi="Calibri" w:cs="Calibri"/>
        </w:rPr>
        <w:t xml:space="preserve"> Presence</w:t>
      </w:r>
    </w:p>
    <w:p w14:paraId="00000020" w14:textId="77777777" w:rsidR="00F50894" w:rsidRDefault="001D698D">
      <w:pPr>
        <w:spacing w:after="160"/>
        <w:ind w:left="720"/>
        <w:rPr>
          <w:rFonts w:ascii="Calibri" w:eastAsia="Calibri" w:hAnsi="Calibri" w:cs="Calibri"/>
        </w:rPr>
      </w:pPr>
      <w:r>
        <w:rPr>
          <w:rFonts w:ascii="Calibri" w:eastAsia="Calibri" w:hAnsi="Calibri" w:cs="Calibri"/>
        </w:rPr>
        <w:t>To Guidelines c. We recommend adding (consistent with 34.19 and 34.21 above &amp; comments):</w:t>
      </w:r>
    </w:p>
    <w:p w14:paraId="00000021" w14:textId="0398E0BE" w:rsidR="00F50894" w:rsidRDefault="001D698D">
      <w:pPr>
        <w:numPr>
          <w:ilvl w:val="0"/>
          <w:numId w:val="23"/>
        </w:numPr>
        <w:spacing w:before="240"/>
      </w:pPr>
      <w:r>
        <w:rPr>
          <w:rFonts w:ascii="Calibri" w:eastAsia="Calibri" w:hAnsi="Calibri" w:cs="Calibri"/>
        </w:rPr>
        <w:t>A new sentence</w:t>
      </w:r>
      <w:proofErr w:type="gramStart"/>
      <w:r>
        <w:rPr>
          <w:rFonts w:ascii="Calibri" w:eastAsia="Calibri" w:hAnsi="Calibri" w:cs="Calibri"/>
        </w:rPr>
        <w:t>: ”The</w:t>
      </w:r>
      <w:proofErr w:type="gramEnd"/>
      <w:r>
        <w:rPr>
          <w:rFonts w:ascii="Calibri" w:eastAsia="Calibri" w:hAnsi="Calibri" w:cs="Calibri"/>
        </w:rPr>
        <w:t xml:space="preserve"> Panel is expressly empowered to engage in the independent research it deems necessary to</w:t>
      </w:r>
      <w:r>
        <w:rPr>
          <w:rFonts w:ascii="Calibri" w:eastAsia="Calibri" w:hAnsi="Calibri" w:cs="Calibri"/>
        </w:rPr>
        <w:t xml:space="preserve"> evaluate the  recognition of the identified community </w:t>
      </w:r>
      <w:r w:rsidRPr="00B010A8">
        <w:rPr>
          <w:rFonts w:ascii="Calibri" w:eastAsia="Calibri" w:hAnsi="Calibri" w:cs="Calibri"/>
          <w:iCs/>
        </w:rPr>
        <w:t xml:space="preserve">by those outside of </w:t>
      </w:r>
      <w:r w:rsidRPr="00B010A8">
        <w:rPr>
          <w:rFonts w:ascii="Calibri" w:eastAsia="Calibri" w:hAnsi="Calibri" w:cs="Calibri"/>
          <w:iCs/>
        </w:rPr>
        <w:t xml:space="preserve">the </w:t>
      </w:r>
      <w:r w:rsidR="006A2A66" w:rsidRPr="00B010A8">
        <w:rPr>
          <w:rFonts w:ascii="Calibri" w:eastAsia="Calibri" w:hAnsi="Calibri" w:cs="Calibri"/>
          <w:iCs/>
        </w:rPr>
        <w:t>identified</w:t>
      </w:r>
      <w:r w:rsidRPr="00B010A8">
        <w:rPr>
          <w:rFonts w:ascii="Calibri" w:eastAsia="Calibri" w:hAnsi="Calibri" w:cs="Calibri"/>
          <w:iCs/>
        </w:rPr>
        <w:t xml:space="preserve"> community</w:t>
      </w:r>
      <w:r>
        <w:rPr>
          <w:rFonts w:ascii="Calibri" w:eastAsia="Calibri" w:hAnsi="Calibri" w:cs="Calibri"/>
        </w:rPr>
        <w:t>, including  through appropriate Internet searches, and evaluation of those submitting letters of opposition and support  for the application.”</w:t>
      </w:r>
      <w:r>
        <w:rPr>
          <w:rFonts w:ascii="Calibri" w:eastAsia="Calibri" w:hAnsi="Calibri" w:cs="Calibri"/>
        </w:rPr>
        <w:br/>
      </w:r>
      <w:r>
        <w:t xml:space="preserve"> </w:t>
      </w:r>
    </w:p>
    <w:p w14:paraId="00000022" w14:textId="77777777" w:rsidR="00F50894" w:rsidRDefault="001D698D">
      <w:pPr>
        <w:numPr>
          <w:ilvl w:val="0"/>
          <w:numId w:val="3"/>
        </w:numPr>
        <w:spacing w:after="240"/>
      </w:pPr>
      <w:r>
        <w:rPr>
          <w:rFonts w:ascii="Calibri" w:eastAsia="Calibri" w:hAnsi="Calibri" w:cs="Calibri"/>
        </w:rPr>
        <w:t>4.4.</w:t>
      </w:r>
      <w:r>
        <w:rPr>
          <w:rFonts w:ascii="Calibri" w:eastAsia="Calibri" w:hAnsi="Calibri" w:cs="Calibri"/>
        </w:rPr>
        <w:t>7.1.5 Longevity</w:t>
      </w:r>
    </w:p>
    <w:p w14:paraId="00000023" w14:textId="77777777" w:rsidR="00F50894" w:rsidRDefault="001D698D">
      <w:pPr>
        <w:spacing w:after="160"/>
        <w:ind w:left="720"/>
        <w:rPr>
          <w:rFonts w:ascii="Calibri" w:eastAsia="Calibri" w:hAnsi="Calibri" w:cs="Calibri"/>
        </w:rPr>
      </w:pPr>
      <w:r>
        <w:rPr>
          <w:rFonts w:ascii="Calibri" w:eastAsia="Calibri" w:hAnsi="Calibri" w:cs="Calibri"/>
        </w:rPr>
        <w:t>To Guidelines c. We recommend adding (consistent with 34.19 and 34.21 above &amp; comments):</w:t>
      </w:r>
    </w:p>
    <w:p w14:paraId="00000024" w14:textId="77777777" w:rsidR="00F50894" w:rsidRDefault="001D698D">
      <w:pPr>
        <w:numPr>
          <w:ilvl w:val="0"/>
          <w:numId w:val="8"/>
        </w:numPr>
        <w:spacing w:before="240"/>
      </w:pPr>
      <w:r>
        <w:rPr>
          <w:rFonts w:ascii="Calibri" w:eastAsia="Calibri" w:hAnsi="Calibri" w:cs="Calibri"/>
        </w:rPr>
        <w:t xml:space="preserve">A new sentence: “The Panel is expressly empowered to engage in the independent research it deems necessary to evaluate the longevity of the applicant, </w:t>
      </w:r>
      <w:r>
        <w:rPr>
          <w:rFonts w:ascii="Calibri" w:eastAsia="Calibri" w:hAnsi="Calibri" w:cs="Calibri"/>
        </w:rPr>
        <w:t>including appropriate Internet searches, and review of letters of opposition and support for the application.”</w:t>
      </w:r>
      <w:r>
        <w:rPr>
          <w:rFonts w:ascii="Calibri" w:eastAsia="Calibri" w:hAnsi="Calibri" w:cs="Calibri"/>
        </w:rPr>
        <w:br/>
      </w:r>
      <w:r>
        <w:t xml:space="preserve"> </w:t>
      </w:r>
    </w:p>
    <w:p w14:paraId="00000025" w14:textId="77777777" w:rsidR="00F50894" w:rsidRDefault="001D698D">
      <w:pPr>
        <w:numPr>
          <w:ilvl w:val="0"/>
          <w:numId w:val="5"/>
        </w:numPr>
        <w:spacing w:after="240"/>
      </w:pPr>
      <w:r>
        <w:rPr>
          <w:rFonts w:ascii="Calibri" w:eastAsia="Calibri" w:hAnsi="Calibri" w:cs="Calibri"/>
        </w:rPr>
        <w:t>4.4.7.2 Nexus</w:t>
      </w:r>
    </w:p>
    <w:p w14:paraId="00000026" w14:textId="77777777" w:rsidR="00F50894" w:rsidRDefault="001D698D">
      <w:pPr>
        <w:spacing w:after="160"/>
        <w:ind w:left="720"/>
      </w:pPr>
      <w:r>
        <w:rPr>
          <w:rFonts w:ascii="Calibri" w:eastAsia="Calibri" w:hAnsi="Calibri" w:cs="Calibri"/>
        </w:rPr>
        <w:t>Note: Nexus has been described by ICANN Staff as a critical place in which outside input may join the evaluation of this CPE application. We agree, and to that end, offer the following language to clarify the independent research in which the panel may eng</w:t>
      </w:r>
      <w:r>
        <w:rPr>
          <w:rFonts w:ascii="Calibri" w:eastAsia="Calibri" w:hAnsi="Calibri" w:cs="Calibri"/>
        </w:rPr>
        <w:t>age, should it seem necessary.</w:t>
      </w:r>
      <w:r>
        <w:t xml:space="preserve"> </w:t>
      </w:r>
    </w:p>
    <w:p w14:paraId="00000027" w14:textId="77777777" w:rsidR="00F50894" w:rsidRDefault="001D698D">
      <w:pPr>
        <w:spacing w:after="160"/>
        <w:ind w:left="720"/>
        <w:rPr>
          <w:rFonts w:ascii="Calibri" w:eastAsia="Calibri" w:hAnsi="Calibri" w:cs="Calibri"/>
        </w:rPr>
      </w:pPr>
      <w:r>
        <w:rPr>
          <w:rFonts w:ascii="Calibri" w:eastAsia="Calibri" w:hAnsi="Calibri" w:cs="Calibri"/>
        </w:rPr>
        <w:t>To Guidelines, after e. (consistent with 34.19 and 34.21 above &amp; comments):</w:t>
      </w:r>
    </w:p>
    <w:p w14:paraId="00000028" w14:textId="77777777" w:rsidR="00F50894" w:rsidRDefault="001D698D">
      <w:pPr>
        <w:spacing w:after="160"/>
        <w:ind w:left="720"/>
        <w:rPr>
          <w:rFonts w:ascii="Calibri" w:eastAsia="Calibri" w:hAnsi="Calibri" w:cs="Calibri"/>
        </w:rPr>
      </w:pPr>
      <w:r>
        <w:rPr>
          <w:rFonts w:ascii="Calibri" w:eastAsia="Calibri" w:hAnsi="Calibri" w:cs="Calibri"/>
        </w:rPr>
        <w:t xml:space="preserve">we suggest addition of </w:t>
      </w:r>
      <w:r>
        <w:rPr>
          <w:rFonts w:ascii="Calibri" w:eastAsia="Calibri" w:hAnsi="Calibri" w:cs="Calibri"/>
        </w:rPr>
        <w:t xml:space="preserve">subsection </w:t>
      </w:r>
      <w:r>
        <w:rPr>
          <w:rFonts w:ascii="Calibri" w:eastAsia="Calibri" w:hAnsi="Calibri" w:cs="Calibri"/>
        </w:rPr>
        <w:t>f:</w:t>
      </w:r>
    </w:p>
    <w:p w14:paraId="00000029" w14:textId="77777777" w:rsidR="00F50894" w:rsidRDefault="001D698D">
      <w:pPr>
        <w:numPr>
          <w:ilvl w:val="0"/>
          <w:numId w:val="11"/>
        </w:numPr>
        <w:spacing w:before="240"/>
      </w:pPr>
      <w:r>
        <w:rPr>
          <w:rFonts w:ascii="Calibri" w:eastAsia="Calibri" w:hAnsi="Calibri" w:cs="Calibri"/>
        </w:rPr>
        <w:t>The Panel may perform the independent research it deems necessary to evaluate the evidence provided by the comm</w:t>
      </w:r>
      <w:r>
        <w:rPr>
          <w:rFonts w:ascii="Calibri" w:eastAsia="Calibri" w:hAnsi="Calibri" w:cs="Calibri"/>
        </w:rPr>
        <w:t>unity in its letters of opposition and support and to assist in properly consider, in balance, the “letters of opposition to a community-based application, if any,” with the “documented support for the application.”</w:t>
      </w:r>
      <w:r>
        <w:rPr>
          <w:rFonts w:ascii="Calibri" w:eastAsia="Calibri" w:hAnsi="Calibri" w:cs="Calibri"/>
        </w:rPr>
        <w:br/>
      </w:r>
      <w:r>
        <w:t xml:space="preserve"> </w:t>
      </w:r>
    </w:p>
    <w:p w14:paraId="0000002A" w14:textId="77777777" w:rsidR="00F50894" w:rsidRDefault="001D698D">
      <w:pPr>
        <w:numPr>
          <w:ilvl w:val="0"/>
          <w:numId w:val="4"/>
        </w:numPr>
        <w:spacing w:after="240"/>
      </w:pPr>
      <w:proofErr w:type="gramStart"/>
      <w:r>
        <w:rPr>
          <w:rFonts w:ascii="Calibri" w:eastAsia="Calibri" w:hAnsi="Calibri" w:cs="Calibri"/>
        </w:rPr>
        <w:t>4.4.7.4  Criterion</w:t>
      </w:r>
      <w:proofErr w:type="gramEnd"/>
      <w:r>
        <w:rPr>
          <w:rFonts w:ascii="Calibri" w:eastAsia="Calibri" w:hAnsi="Calibri" w:cs="Calibri"/>
        </w:rPr>
        <w:t xml:space="preserve"> 4: Community Endors</w:t>
      </w:r>
      <w:r>
        <w:rPr>
          <w:rFonts w:ascii="Calibri" w:eastAsia="Calibri" w:hAnsi="Calibri" w:cs="Calibri"/>
        </w:rPr>
        <w:t>ement</w:t>
      </w:r>
    </w:p>
    <w:p w14:paraId="0000002B" w14:textId="77777777" w:rsidR="00F50894" w:rsidRDefault="001D698D">
      <w:pPr>
        <w:spacing w:after="160"/>
        <w:ind w:left="720"/>
        <w:rPr>
          <w:rFonts w:ascii="Calibri" w:eastAsia="Calibri" w:hAnsi="Calibri" w:cs="Calibri"/>
        </w:rPr>
      </w:pPr>
      <w:r>
        <w:rPr>
          <w:rFonts w:ascii="Calibri" w:eastAsia="Calibri" w:hAnsi="Calibri" w:cs="Calibri"/>
        </w:rPr>
        <w:t xml:space="preserve">This CPE Scoring Criterion, as ICANN Staff has pointed out, is particularly important for public input and clarifying the role of the SubPro Recommendations on independent research will </w:t>
      </w:r>
      <w:proofErr w:type="gramStart"/>
      <w:r>
        <w:rPr>
          <w:rFonts w:ascii="Calibri" w:eastAsia="Calibri" w:hAnsi="Calibri" w:cs="Calibri"/>
        </w:rPr>
        <w:t>help..</w:t>
      </w:r>
      <w:proofErr w:type="gramEnd"/>
      <w:r>
        <w:rPr>
          <w:rFonts w:ascii="Calibri" w:eastAsia="Calibri" w:hAnsi="Calibri" w:cs="Calibri"/>
        </w:rPr>
        <w:t xml:space="preserve"> To Guidelines for the scoring of support and opposition, </w:t>
      </w:r>
      <w:r>
        <w:rPr>
          <w:rFonts w:ascii="Calibri" w:eastAsia="Calibri" w:hAnsi="Calibri" w:cs="Calibri"/>
        </w:rPr>
        <w:t xml:space="preserve">consistent with policy and comments, we recommend adding: </w:t>
      </w:r>
    </w:p>
    <w:p w14:paraId="0000002C" w14:textId="77777777" w:rsidR="00F50894" w:rsidRDefault="001D698D">
      <w:pPr>
        <w:numPr>
          <w:ilvl w:val="0"/>
          <w:numId w:val="14"/>
        </w:numPr>
        <w:spacing w:before="240"/>
      </w:pPr>
      <w:r>
        <w:rPr>
          <w:rFonts w:ascii="Calibri" w:eastAsia="Calibri" w:hAnsi="Calibri" w:cs="Calibri"/>
        </w:rPr>
        <w:t xml:space="preserve">In subsection a: After “does not have any relevant opposition,” to meet Rec 34.19 and 34.21 requirements and to truly evaluate and weigh the letters of support and opposition, add:   </w:t>
      </w:r>
      <w:r>
        <w:rPr>
          <w:rFonts w:ascii="Calibri" w:eastAsia="Calibri" w:hAnsi="Calibri" w:cs="Calibri"/>
        </w:rPr>
        <w:lastRenderedPageBreak/>
        <w:t>=&gt; “Letters of</w:t>
      </w:r>
      <w:r>
        <w:rPr>
          <w:rFonts w:ascii="Calibri" w:eastAsia="Calibri" w:hAnsi="Calibri" w:cs="Calibri"/>
        </w:rPr>
        <w:t xml:space="preserve"> opposition to a community-based application must be considered </w:t>
      </w:r>
      <w:r>
        <w:rPr>
          <w:rFonts w:ascii="Calibri" w:eastAsia="Calibri" w:hAnsi="Calibri" w:cs="Calibri"/>
          <w:b/>
        </w:rPr>
        <w:t>in balance</w:t>
      </w:r>
      <w:r>
        <w:rPr>
          <w:rFonts w:ascii="Calibri" w:eastAsia="Calibri" w:hAnsi="Calibri" w:cs="Calibri"/>
        </w:rPr>
        <w:t xml:space="preserve"> with documented support for the application.”</w:t>
      </w:r>
      <w:r>
        <w:rPr>
          <w:rFonts w:ascii="Calibri" w:eastAsia="Calibri" w:hAnsi="Calibri" w:cs="Calibri"/>
        </w:rPr>
        <w:br/>
      </w:r>
      <w:r>
        <w:t xml:space="preserve"> </w:t>
      </w:r>
    </w:p>
    <w:p w14:paraId="0000002D" w14:textId="77777777" w:rsidR="00F50894" w:rsidRDefault="001D698D">
      <w:pPr>
        <w:numPr>
          <w:ilvl w:val="0"/>
          <w:numId w:val="12"/>
        </w:numPr>
      </w:pPr>
      <w:r>
        <w:rPr>
          <w:rFonts w:ascii="Calibri" w:eastAsia="Calibri" w:hAnsi="Calibri" w:cs="Calibri"/>
        </w:rPr>
        <w:t>Subsection b, to meet the call of Rec 34.19 and 34.21, in this limited case, we recommend a change to the language, specifically:  To subsection b:</w:t>
      </w:r>
      <w:r>
        <w:rPr>
          <w:rFonts w:ascii="Calibri" w:eastAsia="Calibri" w:hAnsi="Calibri" w:cs="Calibri"/>
        </w:rPr>
        <w:br/>
      </w:r>
      <w:r>
        <w:t xml:space="preserve"> </w:t>
      </w:r>
    </w:p>
    <w:p w14:paraId="0000002E" w14:textId="77777777" w:rsidR="00F50894" w:rsidRDefault="001D698D" w:rsidP="006A2A66">
      <w:pPr>
        <w:numPr>
          <w:ilvl w:val="0"/>
          <w:numId w:val="1"/>
        </w:numPr>
      </w:pPr>
      <w:r>
        <w:rPr>
          <w:rFonts w:ascii="Calibri" w:eastAsia="Calibri" w:hAnsi="Calibri" w:cs="Calibri"/>
        </w:rPr>
        <w:t>Change</w:t>
      </w:r>
      <w:proofErr w:type="gramStart"/>
      <w:r>
        <w:rPr>
          <w:rFonts w:ascii="Calibri" w:eastAsia="Calibri" w:hAnsi="Calibri" w:cs="Calibri"/>
        </w:rPr>
        <w:t>:  “</w:t>
      </w:r>
      <w:proofErr w:type="gramEnd"/>
      <w:r>
        <w:rPr>
          <w:rFonts w:ascii="Calibri" w:eastAsia="Calibri" w:hAnsi="Calibri" w:cs="Calibri"/>
        </w:rPr>
        <w:t>The panel should consider any objections or comments from this application round noting oppositi</w:t>
      </w:r>
      <w:r>
        <w:rPr>
          <w:rFonts w:ascii="Calibri" w:eastAsia="Calibri" w:hAnsi="Calibri" w:cs="Calibri"/>
        </w:rPr>
        <w:t>on. While these will be assessed, they do not automatically influence the Opposition score.”</w:t>
      </w:r>
    </w:p>
    <w:p w14:paraId="0000002F" w14:textId="77777777" w:rsidR="00F50894" w:rsidRDefault="001D698D" w:rsidP="006A2A66">
      <w:pPr>
        <w:numPr>
          <w:ilvl w:val="0"/>
          <w:numId w:val="1"/>
        </w:numPr>
      </w:pPr>
      <w:r>
        <w:rPr>
          <w:rFonts w:ascii="Calibri" w:eastAsia="Calibri" w:hAnsi="Calibri" w:cs="Calibri"/>
        </w:rPr>
        <w:t xml:space="preserve">To: The panel may perform the independent research it deems necessary to evaluate this section of the application, and it </w:t>
      </w:r>
      <w:r>
        <w:rPr>
          <w:rFonts w:ascii="Calibri" w:eastAsia="Calibri" w:hAnsi="Calibri" w:cs="Calibri"/>
          <w:b/>
        </w:rPr>
        <w:t xml:space="preserve">must consider </w:t>
      </w:r>
      <w:r>
        <w:rPr>
          <w:rFonts w:ascii="Calibri" w:eastAsia="Calibri" w:hAnsi="Calibri" w:cs="Calibri"/>
        </w:rPr>
        <w:t>letters of opposition to th</w:t>
      </w:r>
      <w:r>
        <w:rPr>
          <w:rFonts w:ascii="Calibri" w:eastAsia="Calibri" w:hAnsi="Calibri" w:cs="Calibri"/>
        </w:rPr>
        <w:t>e application, if any, in balance with the documented support for the application.</w:t>
      </w:r>
      <w:r>
        <w:rPr>
          <w:rFonts w:ascii="Calibri" w:eastAsia="Calibri" w:hAnsi="Calibri" w:cs="Calibri"/>
        </w:rPr>
        <w:br/>
      </w:r>
      <w:r>
        <w:t xml:space="preserve"> </w:t>
      </w:r>
    </w:p>
    <w:p w14:paraId="00000030" w14:textId="77777777" w:rsidR="00F50894" w:rsidRDefault="001D698D">
      <w:pPr>
        <w:numPr>
          <w:ilvl w:val="0"/>
          <w:numId w:val="7"/>
        </w:numPr>
      </w:pPr>
      <w:r>
        <w:rPr>
          <w:rFonts w:ascii="Calibri" w:eastAsia="Calibri" w:hAnsi="Calibri" w:cs="Calibri"/>
        </w:rPr>
        <w:t xml:space="preserve">To subsection e, we propose an edit to not unduly limit the scope of the panel assessment: </w:t>
      </w:r>
    </w:p>
    <w:p w14:paraId="00000031" w14:textId="77777777" w:rsidR="00F50894" w:rsidRDefault="001D698D" w:rsidP="006A2A66">
      <w:pPr>
        <w:numPr>
          <w:ilvl w:val="0"/>
          <w:numId w:val="2"/>
        </w:numPr>
        <w:spacing w:after="240"/>
      </w:pPr>
      <w:r>
        <w:rPr>
          <w:rFonts w:ascii="Calibri" w:eastAsia="Calibri" w:hAnsi="Calibri" w:cs="Calibri"/>
        </w:rPr>
        <w:t>“The panel should assess whether reputable organizations… oppose the proposal a</w:t>
      </w:r>
      <w:r>
        <w:rPr>
          <w:rFonts w:ascii="Calibri" w:eastAsia="Calibri" w:hAnsi="Calibri" w:cs="Calibri"/>
        </w:rPr>
        <w:t>nd such opposition “must be considered in balance with the documented support for the application.” [Rec 34.1</w:t>
      </w:r>
      <w:r>
        <w:rPr>
          <w:rFonts w:ascii="Calibri" w:eastAsia="Calibri" w:hAnsi="Calibri" w:cs="Calibri"/>
        </w:rPr>
        <w:t>9</w:t>
      </w:r>
      <w:r>
        <w:rPr>
          <w:rFonts w:ascii="Calibri" w:eastAsia="Calibri" w:hAnsi="Calibri" w:cs="Calibri"/>
        </w:rPr>
        <w:t>]</w:t>
      </w:r>
    </w:p>
    <w:p w14:paraId="00000032" w14:textId="71FD28DD" w:rsidR="00F50894" w:rsidRPr="006A2A66" w:rsidRDefault="00F50894">
      <w:pPr>
        <w:spacing w:after="160"/>
        <w:ind w:left="1080"/>
        <w:rPr>
          <w:highlight w:val="yellow"/>
        </w:rPr>
      </w:pPr>
    </w:p>
    <w:p w14:paraId="00000033" w14:textId="77777777" w:rsidR="00F50894" w:rsidRDefault="001D698D">
      <w:pPr>
        <w:spacing w:after="160"/>
        <w:ind w:left="360"/>
      </w:pPr>
      <w:r>
        <w:rPr>
          <w:rFonts w:ascii="Calibri" w:eastAsia="Calibri" w:hAnsi="Calibri" w:cs="Calibri"/>
        </w:rPr>
        <w:t xml:space="preserve">IV. Finally, and pursuant to the SubPro Recs and implementation guidance, we think additional wording should be added to more clearly guide </w:t>
      </w:r>
      <w:r>
        <w:rPr>
          <w:rFonts w:ascii="Calibri" w:eastAsia="Calibri" w:hAnsi="Calibri" w:cs="Calibri"/>
        </w:rPr>
        <w:t>the Panel on how it communicates its limited research results to the applicant and writers of letters of opposition as required by policy. We defer to ICANN Staff for this procedural language.</w:t>
      </w:r>
      <w:r>
        <w:t xml:space="preserve"> </w:t>
      </w:r>
    </w:p>
    <w:p w14:paraId="00000034" w14:textId="77777777" w:rsidR="00F50894" w:rsidRDefault="001D698D" w:rsidP="006A2A66">
      <w:pPr>
        <w:spacing w:after="160"/>
      </w:pPr>
      <w:r>
        <w:t>—------------------</w:t>
      </w:r>
    </w:p>
    <w:p w14:paraId="5CB25573" w14:textId="77777777" w:rsidR="006A2A66" w:rsidRPr="006A2A66" w:rsidRDefault="001D698D">
      <w:pPr>
        <w:spacing w:after="160"/>
        <w:rPr>
          <w:rFonts w:asciiTheme="majorHAnsi" w:hAnsiTheme="majorHAnsi" w:cstheme="majorHAnsi"/>
        </w:rPr>
      </w:pPr>
      <w:r>
        <w:rPr>
          <w:rFonts w:ascii="Calibri" w:eastAsia="Calibri" w:hAnsi="Calibri" w:cs="Calibri"/>
        </w:rPr>
        <w:t>Thank you for your review and consideratio</w:t>
      </w:r>
      <w:r>
        <w:rPr>
          <w:rFonts w:ascii="Calibri" w:eastAsia="Calibri" w:hAnsi="Calibri" w:cs="Calibri"/>
        </w:rPr>
        <w:t>n for the protection of vulnerable communities, indigenous peoples, linguistic groups, minorities and non-</w:t>
      </w:r>
      <w:proofErr w:type="gramStart"/>
      <w:r>
        <w:rPr>
          <w:rFonts w:ascii="Calibri" w:eastAsia="Calibri" w:hAnsi="Calibri" w:cs="Calibri"/>
        </w:rPr>
        <w:t>commercial  organizations</w:t>
      </w:r>
      <w:proofErr w:type="gramEnd"/>
      <w:r>
        <w:rPr>
          <w:rFonts w:ascii="Calibri" w:eastAsia="Calibri" w:hAnsi="Calibri" w:cs="Calibri"/>
        </w:rPr>
        <w:t xml:space="preserve"> that rely on fair </w:t>
      </w:r>
      <w:r w:rsidRPr="006A2A66">
        <w:rPr>
          <w:rFonts w:asciiTheme="majorHAnsi" w:eastAsia="Calibri" w:hAnsiTheme="majorHAnsi" w:cstheme="majorHAnsi"/>
        </w:rPr>
        <w:t>and  culturally competent evaluation processes</w:t>
      </w:r>
      <w:r w:rsidR="006A2A66" w:rsidRPr="006A2A66">
        <w:rPr>
          <w:rFonts w:asciiTheme="majorHAnsi" w:hAnsiTheme="majorHAnsi" w:cstheme="majorHAnsi"/>
        </w:rPr>
        <w:t>.</w:t>
      </w:r>
    </w:p>
    <w:p w14:paraId="2E50BF73" w14:textId="18F98685" w:rsidR="006A2A66" w:rsidRDefault="006A2A66">
      <w:pPr>
        <w:spacing w:after="160"/>
        <w:rPr>
          <w:rFonts w:asciiTheme="majorHAnsi" w:hAnsiTheme="majorHAnsi" w:cstheme="majorHAnsi"/>
        </w:rPr>
      </w:pPr>
      <w:r w:rsidRPr="006A2A66">
        <w:rPr>
          <w:rFonts w:asciiTheme="majorHAnsi" w:hAnsiTheme="majorHAnsi" w:cstheme="majorHAnsi"/>
        </w:rPr>
        <w:t>Best regards, Kathy and Juan</w:t>
      </w:r>
    </w:p>
    <w:p w14:paraId="37AA550A" w14:textId="026B28E3" w:rsidR="00E754C2" w:rsidRDefault="00E754C2">
      <w:pPr>
        <w:spacing w:after="160"/>
        <w:rPr>
          <w:rFonts w:ascii="Calibri" w:eastAsia="Calibri" w:hAnsi="Calibri" w:cs="Calibri"/>
          <w:highlight w:val="yellow"/>
        </w:rPr>
      </w:pPr>
      <w:r>
        <w:rPr>
          <w:rFonts w:asciiTheme="majorHAnsi" w:hAnsiTheme="majorHAnsi" w:cstheme="majorHAnsi"/>
        </w:rPr>
        <w:t xml:space="preserve">Attachment:  This doc in Word format </w:t>
      </w:r>
    </w:p>
    <w:p w14:paraId="00000036" w14:textId="0D091CF5" w:rsidR="00F50894" w:rsidRDefault="00F50894" w:rsidP="006A2A66">
      <w:pPr>
        <w:spacing w:after="160"/>
      </w:pPr>
    </w:p>
    <w:sectPr w:rsidR="00F50894" w:rsidSect="006A2A6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85E6" w14:textId="77777777" w:rsidR="001D698D" w:rsidRDefault="001D698D">
      <w:pPr>
        <w:spacing w:line="240" w:lineRule="auto"/>
      </w:pPr>
      <w:r>
        <w:separator/>
      </w:r>
    </w:p>
  </w:endnote>
  <w:endnote w:type="continuationSeparator" w:id="0">
    <w:p w14:paraId="4FB2236D" w14:textId="77777777" w:rsidR="001D698D" w:rsidRDefault="001D6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88D40" w14:textId="77777777" w:rsidR="001D698D" w:rsidRDefault="001D698D">
      <w:pPr>
        <w:spacing w:line="240" w:lineRule="auto"/>
      </w:pPr>
      <w:r>
        <w:separator/>
      </w:r>
    </w:p>
  </w:footnote>
  <w:footnote w:type="continuationSeparator" w:id="0">
    <w:p w14:paraId="3DA457C3" w14:textId="77777777" w:rsidR="001D698D" w:rsidRDefault="001D69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CDD"/>
    <w:multiLevelType w:val="multilevel"/>
    <w:tmpl w:val="0E623954"/>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8C65745"/>
    <w:multiLevelType w:val="multilevel"/>
    <w:tmpl w:val="60D4004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1B75C07"/>
    <w:multiLevelType w:val="multilevel"/>
    <w:tmpl w:val="874A813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4152C8A"/>
    <w:multiLevelType w:val="multilevel"/>
    <w:tmpl w:val="DEBEC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181CE1"/>
    <w:multiLevelType w:val="multilevel"/>
    <w:tmpl w:val="30A6B700"/>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02B3B96"/>
    <w:multiLevelType w:val="multilevel"/>
    <w:tmpl w:val="54803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0E0ACC"/>
    <w:multiLevelType w:val="multilevel"/>
    <w:tmpl w:val="F0AA3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45616DB"/>
    <w:multiLevelType w:val="multilevel"/>
    <w:tmpl w:val="221850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394381E"/>
    <w:multiLevelType w:val="multilevel"/>
    <w:tmpl w:val="4D2603AE"/>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82E477E"/>
    <w:multiLevelType w:val="multilevel"/>
    <w:tmpl w:val="F31AC1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ACA6487"/>
    <w:multiLevelType w:val="multilevel"/>
    <w:tmpl w:val="CC545A9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0F75BE8"/>
    <w:multiLevelType w:val="multilevel"/>
    <w:tmpl w:val="1D8CF0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56D7464"/>
    <w:multiLevelType w:val="multilevel"/>
    <w:tmpl w:val="030666A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6931C5F"/>
    <w:multiLevelType w:val="multilevel"/>
    <w:tmpl w:val="57BC5DDA"/>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FD671CE"/>
    <w:multiLevelType w:val="multilevel"/>
    <w:tmpl w:val="838AC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48165D0"/>
    <w:multiLevelType w:val="multilevel"/>
    <w:tmpl w:val="5DBA2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0E242D"/>
    <w:multiLevelType w:val="multilevel"/>
    <w:tmpl w:val="23F49DC2"/>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67A16075"/>
    <w:multiLevelType w:val="multilevel"/>
    <w:tmpl w:val="834C72C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6D505A31"/>
    <w:multiLevelType w:val="multilevel"/>
    <w:tmpl w:val="CB480C7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6D714CCD"/>
    <w:multiLevelType w:val="multilevel"/>
    <w:tmpl w:val="3C04B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DAA7083"/>
    <w:multiLevelType w:val="multilevel"/>
    <w:tmpl w:val="3880C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1DA0A39"/>
    <w:multiLevelType w:val="multilevel"/>
    <w:tmpl w:val="AE42B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C8A025C"/>
    <w:multiLevelType w:val="multilevel"/>
    <w:tmpl w:val="888AB7CA"/>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7"/>
  </w:num>
  <w:num w:numId="2">
    <w:abstractNumId w:val="9"/>
  </w:num>
  <w:num w:numId="3">
    <w:abstractNumId w:val="2"/>
  </w:num>
  <w:num w:numId="4">
    <w:abstractNumId w:val="4"/>
  </w:num>
  <w:num w:numId="5">
    <w:abstractNumId w:val="22"/>
  </w:num>
  <w:num w:numId="6">
    <w:abstractNumId w:val="5"/>
  </w:num>
  <w:num w:numId="7">
    <w:abstractNumId w:val="13"/>
  </w:num>
  <w:num w:numId="8">
    <w:abstractNumId w:val="21"/>
  </w:num>
  <w:num w:numId="9">
    <w:abstractNumId w:val="18"/>
  </w:num>
  <w:num w:numId="10">
    <w:abstractNumId w:val="17"/>
  </w:num>
  <w:num w:numId="11">
    <w:abstractNumId w:val="20"/>
  </w:num>
  <w:num w:numId="12">
    <w:abstractNumId w:val="0"/>
  </w:num>
  <w:num w:numId="13">
    <w:abstractNumId w:val="16"/>
  </w:num>
  <w:num w:numId="14">
    <w:abstractNumId w:val="11"/>
  </w:num>
  <w:num w:numId="15">
    <w:abstractNumId w:val="6"/>
  </w:num>
  <w:num w:numId="16">
    <w:abstractNumId w:val="1"/>
  </w:num>
  <w:num w:numId="17">
    <w:abstractNumId w:val="3"/>
  </w:num>
  <w:num w:numId="18">
    <w:abstractNumId w:val="8"/>
  </w:num>
  <w:num w:numId="19">
    <w:abstractNumId w:val="12"/>
  </w:num>
  <w:num w:numId="20">
    <w:abstractNumId w:val="10"/>
  </w:num>
  <w:num w:numId="21">
    <w:abstractNumId w:val="19"/>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894"/>
    <w:rsid w:val="000E1EFA"/>
    <w:rsid w:val="00192F4D"/>
    <w:rsid w:val="001D698D"/>
    <w:rsid w:val="00247E3B"/>
    <w:rsid w:val="004A497B"/>
    <w:rsid w:val="004E2B0B"/>
    <w:rsid w:val="006A2A66"/>
    <w:rsid w:val="00AC76E6"/>
    <w:rsid w:val="00B010A8"/>
    <w:rsid w:val="00DB69A9"/>
    <w:rsid w:val="00E754C2"/>
    <w:rsid w:val="00EB0D3D"/>
    <w:rsid w:val="00F5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1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A2A66"/>
    <w:pPr>
      <w:tabs>
        <w:tab w:val="center" w:pos="4680"/>
        <w:tab w:val="right" w:pos="9360"/>
      </w:tabs>
      <w:spacing w:line="240" w:lineRule="auto"/>
    </w:pPr>
  </w:style>
  <w:style w:type="character" w:customStyle="1" w:styleId="HeaderChar">
    <w:name w:val="Header Char"/>
    <w:basedOn w:val="DefaultParagraphFont"/>
    <w:link w:val="Header"/>
    <w:uiPriority w:val="99"/>
    <w:rsid w:val="006A2A66"/>
  </w:style>
  <w:style w:type="paragraph" w:styleId="Footer">
    <w:name w:val="footer"/>
    <w:basedOn w:val="Normal"/>
    <w:link w:val="FooterChar"/>
    <w:uiPriority w:val="99"/>
    <w:unhideWhenUsed/>
    <w:rsid w:val="006A2A66"/>
    <w:pPr>
      <w:tabs>
        <w:tab w:val="center" w:pos="4680"/>
        <w:tab w:val="right" w:pos="9360"/>
      </w:tabs>
      <w:spacing w:line="240" w:lineRule="auto"/>
    </w:pPr>
  </w:style>
  <w:style w:type="character" w:customStyle="1" w:styleId="FooterChar">
    <w:name w:val="Footer Char"/>
    <w:basedOn w:val="DefaultParagraphFont"/>
    <w:link w:val="Footer"/>
    <w:uiPriority w:val="99"/>
    <w:rsid w:val="006A2A66"/>
  </w:style>
  <w:style w:type="paragraph" w:styleId="CommentSubject">
    <w:name w:val="annotation subject"/>
    <w:basedOn w:val="CommentText"/>
    <w:next w:val="CommentText"/>
    <w:link w:val="CommentSubjectChar"/>
    <w:uiPriority w:val="99"/>
    <w:semiHidden/>
    <w:unhideWhenUsed/>
    <w:rsid w:val="00B010A8"/>
    <w:rPr>
      <w:b/>
      <w:bCs/>
    </w:rPr>
  </w:style>
  <w:style w:type="character" w:customStyle="1" w:styleId="CommentSubjectChar">
    <w:name w:val="Comment Subject Char"/>
    <w:basedOn w:val="CommentTextChar"/>
    <w:link w:val="CommentSubject"/>
    <w:uiPriority w:val="99"/>
    <w:semiHidden/>
    <w:rsid w:val="00B010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2025-08-19T14:30:00Z</dcterms:created>
  <dcterms:modified xsi:type="dcterms:W3CDTF">2025-08-19T14:30:00Z</dcterms:modified>
</cp:coreProperties>
</file>