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footer5.xml.rels" ContentType="application/vnd.openxmlformats-package.relationships+xml"/>
  <Override PartName="/word/_rels/footer4.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12.png" ContentType="image/png"/>
  <Override PartName="/word/media/image11.png" ContentType="image/png"/>
  <Override PartName="/word/media/image10.png" ContentType="image/png"/>
  <Override PartName="/word/media/image9.png" ContentType="image/png"/>
  <Override PartName="/word/media/image8.png" ContentType="image/png"/>
  <Override PartName="/word/media/image7.png" ContentType="image/png"/>
  <Override PartName="/word/media/image2.png" ContentType="image/png"/>
  <Override PartName="/word/media/image1.png" ContentType="image/png"/>
  <Override PartName="/word/media/image3.png" ContentType="image/png"/>
  <Override PartName="/word/media/image4.png" ContentType="image/png"/>
  <Override PartName="/word/media/image5.png" ContentType="image/png"/>
  <Override PartName="/word/media/image6.png" ContentType="image/png"/>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talystRFPTitlepagehead1"/>
        <w:rPr/>
      </w:pPr>
      <w:r>
        <w:rPr/>
        <w:t>Report</w:t>
      </w:r>
    </w:p>
    <w:p>
      <w:pPr>
        <w:pStyle w:val="CatalystRFPTitlePageProjectName"/>
        <w:rPr/>
      </w:pPr>
      <w:r>
        <w:rPr/>
        <w:fldChar w:fldCharType="begin"/>
      </w:r>
      <w:r>
        <w:rPr/>
        <w:instrText> SET ProjectFullName "Email Address Internationalization (EAI): Evaluation of Major Email Software and Services" </w:instrText>
      </w:r>
      <w:r>
        <w:rPr/>
        <w:fldChar w:fldCharType="separate"/>
      </w:r>
      <w:bookmarkStart w:id="0" w:name="ProjectFullName"/>
      <w:r>
        <w:rPr/>
        <w:t>Email Address Internationalization (EAI): Evaluation of Major Email Software and Services</w:t>
      </w:r>
      <w:r>
        <w:rPr/>
        <w:fldChar w:fldCharType="end"/>
      </w:r>
      <w:r>
        <w:fldChar w:fldCharType="begin"/>
      </w:r>
      <w:r>
        <w:rPr/>
        <w:instrText> REF "ProjectFullName" </w:instrText>
      </w:r>
      <w:r>
        <w:rPr/>
        <w:fldChar w:fldCharType="separate"/>
      </w:r>
      <w:r>
        <w:rPr/>
        <w:t>Email Address Internationalization (EAI): Evaluation of Major Email Software and Services</w:t>
      </w:r>
      <w:r>
        <w:rPr/>
        <w:fldChar w:fldCharType="end"/>
      </w:r>
    </w:p>
    <w:p>
      <w:pPr>
        <w:pStyle w:val="CatalystTitlepageheading3"/>
        <w:rPr/>
      </w:pPr>
      <w:r>
        <w:rPr/>
        <w:t>Between</w:t>
      </w:r>
    </w:p>
    <w:p>
      <w:pPr>
        <w:pStyle w:val="CatalystTitlepageheading2"/>
        <w:rPr/>
      </w:pPr>
      <w:r>
        <w:rPr/>
        <w:t>Universal Acceptance Steering Group (</w:t>
      </w:r>
      <w:r>
        <w:rPr/>
        <w:fldChar w:fldCharType="begin"/>
      </w:r>
      <w:r>
        <w:rPr/>
        <w:instrText> SET ClientFullName "UASG" </w:instrText>
      </w:r>
      <w:r>
        <w:rPr/>
        <w:fldChar w:fldCharType="separate"/>
      </w:r>
      <w:bookmarkStart w:id="1" w:name="ClientFullName"/>
      <w:r>
        <w:rPr/>
        <w:t>UASG</w:t>
      </w:r>
      <w:r>
        <w:rPr/>
        <w:fldChar w:fldCharType="end"/>
      </w:r>
      <w:r>
        <w:fldChar w:fldCharType="begin"/>
      </w:r>
      <w:r>
        <w:rPr/>
        <w:instrText> REF "ClientFullName" </w:instrText>
      </w:r>
      <w:r>
        <w:rPr/>
        <w:fldChar w:fldCharType="separate"/>
      </w:r>
      <w:r>
        <w:rPr/>
        <w:t>UASG</w:t>
      </w:r>
      <w:r>
        <w:rPr/>
        <w:fldChar w:fldCharType="end"/>
      </w:r>
      <w:r>
        <w:rPr/>
        <w:t>)</w:t>
      </w:r>
    </w:p>
    <w:p>
      <w:pPr>
        <w:pStyle w:val="CatalystTitlepageheading3"/>
        <w:rPr/>
      </w:pPr>
      <w:r>
        <w:rPr/>
        <w:t>And</w:t>
      </w:r>
    </w:p>
    <w:p>
      <w:pPr>
        <w:pStyle w:val="CatalystTitlepageheading2"/>
        <w:rPr/>
      </w:pPr>
      <w:r>
        <w:rPr/>
        <w:t>Catalyst.Net Limited</w:t>
      </w:r>
    </w:p>
    <w:p>
      <w:pPr>
        <w:pStyle w:val="CatalystRFPTitlepagehead4"/>
        <w:rPr>
          <w:sz w:val="28"/>
          <w:szCs w:val="28"/>
        </w:rPr>
      </w:pPr>
      <w:r>
        <w:rPr>
          <w:sz w:val="28"/>
          <w:szCs w:val="28"/>
        </w:rPr>
        <w:t>User Field PublicationDate = July 2019</w:t>
      </w:r>
    </w:p>
    <w:p>
      <w:pPr>
        <w:pStyle w:val="CatalystRFPTitlepagehead4"/>
        <w:rPr/>
      </w:pPr>
      <w:r>
        <w:rPr/>
        <w:t xml:space="preserve">Version </w:t>
      </w:r>
      <w:r>
        <w:rPr/>
        <w:t>User Field Version = 0.3</w:t>
      </w:r>
    </w:p>
    <w:p>
      <w:pPr>
        <w:sectPr>
          <w:footerReference w:type="default" r:id="rId2"/>
          <w:type w:val="nextPage"/>
          <w:pgSz w:w="11906" w:h="16838"/>
          <w:pgMar w:left="1134" w:right="4365" w:header="0" w:top="3402" w:footer="57" w:bottom="5159" w:gutter="0"/>
          <w:pgNumType w:fmt="decimal"/>
          <w:formProt w:val="false"/>
          <w:textDirection w:val="lrTb"/>
          <w:docGrid w:type="default" w:linePitch="312" w:charSpace="4294961151"/>
        </w:sectPr>
        <w:pStyle w:val="CatalystRFPTitlepagehead4"/>
        <w:rPr/>
      </w:pPr>
      <w:r>
        <w:rPr/>
        <w:t>User Field Classification = Commercial in Confidence</w:t>
      </w:r>
    </w:p>
    <w:p>
      <w:pPr>
        <w:pStyle w:val="CatalystDefault"/>
        <w:rPr/>
      </w:pPr>
      <w:r>
        <w:rPr/>
        <w:drawing>
          <wp:anchor behindDoc="0" distT="0" distB="0" distL="0" distR="0" simplePos="0" locked="0" layoutInCell="1" allowOverlap="1" relativeHeight="3">
            <wp:simplePos x="0" y="0"/>
            <wp:positionH relativeFrom="page">
              <wp:align>center</wp:align>
            </wp:positionH>
            <wp:positionV relativeFrom="page">
              <wp:posOffset>9773920</wp:posOffset>
            </wp:positionV>
            <wp:extent cx="7560310" cy="237490"/>
            <wp:effectExtent l="0" t="0" r="0" b="0"/>
            <wp:wrapSquare wrapText="largest"/>
            <wp:docPr id="2" name="graphics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8" descr=""/>
                    <pic:cNvPicPr>
                      <a:picLocks noChangeAspect="1" noChangeArrowheads="1"/>
                    </pic:cNvPicPr>
                  </pic:nvPicPr>
                  <pic:blipFill>
                    <a:blip r:embed="rId3"/>
                    <a:stretch>
                      <a:fillRect/>
                    </a:stretch>
                  </pic:blipFill>
                  <pic:spPr bwMode="auto">
                    <a:xfrm>
                      <a:off x="0" y="0"/>
                      <a:ext cx="7560310" cy="237490"/>
                    </a:xfrm>
                    <a:prstGeom prst="rect">
                      <a:avLst/>
                    </a:prstGeom>
                  </pic:spPr>
                </pic:pic>
              </a:graphicData>
            </a:graphic>
          </wp:anchor>
        </w:drawing>
      </w:r>
    </w:p>
    <w:p>
      <w:pPr>
        <w:pStyle w:val="CatalystRFPToCheading"/>
        <w:rPr/>
      </w:pPr>
      <w:r>
        <w:rPr/>
        <w:t>Table of contents</w:t>
      </w:r>
    </w:p>
    <w:p>
      <w:pPr>
        <w:pStyle w:val="CatalystRFPToClevel1"/>
        <w:tabs>
          <w:tab w:val="left" w:pos="567" w:leader="none"/>
          <w:tab w:val="right" w:pos="7229" w:leader="dot"/>
        </w:tabs>
        <w:rPr/>
      </w:pPr>
      <w:r>
        <w:fldChar w:fldCharType="begin"/>
      </w:r>
      <w:r>
        <w:rPr>
          <w:rStyle w:val="IndexLink"/>
        </w:rPr>
        <w:instrText> TOC \f \t "Catalyst - RFP Heading 1,1" </w:instrText>
      </w:r>
      <w:r>
        <w:rPr>
          <w:rStyle w:val="IndexLink"/>
        </w:rPr>
        <w:fldChar w:fldCharType="separate"/>
      </w:r>
      <w:hyperlink w:anchor="__RefHeading__3929_1281345259">
        <w:r>
          <w:rPr>
            <w:rStyle w:val="IndexLink"/>
          </w:rPr>
          <w:t xml:space="preserve"> </w:t>
        </w:r>
        <w:r>
          <w:rPr>
            <w:rStyle w:val="IndexLink"/>
          </w:rPr>
          <w:t xml:space="preserve">1  </w:t>
          <w:tab/>
          <w:t>Background</w:t>
          <w:tab/>
          <w:t>1</w:t>
        </w:r>
      </w:hyperlink>
    </w:p>
    <w:p>
      <w:pPr>
        <w:pStyle w:val="CatalystRFPToClevel1"/>
        <w:tabs>
          <w:tab w:val="left" w:pos="567" w:leader="none"/>
          <w:tab w:val="right" w:pos="7229" w:leader="dot"/>
        </w:tabs>
        <w:rPr/>
      </w:pPr>
      <w:hyperlink w:anchor="__RefHeading__3931_1281345259">
        <w:r>
          <w:rPr>
            <w:rStyle w:val="IndexLink"/>
          </w:rPr>
          <w:t xml:space="preserve"> </w:t>
        </w:r>
        <w:r>
          <w:rPr>
            <w:rStyle w:val="IndexLink"/>
          </w:rPr>
          <w:t xml:space="preserve">2  </w:t>
          <w:tab/>
          <w:t>Evaluation</w:t>
          <w:tab/>
          <w:t>2</w:t>
        </w:r>
      </w:hyperlink>
    </w:p>
    <w:p>
      <w:pPr>
        <w:pStyle w:val="CatalystRFPToClevel1"/>
        <w:tabs>
          <w:tab w:val="left" w:pos="567" w:leader="none"/>
          <w:tab w:val="right" w:pos="7229" w:leader="dot"/>
        </w:tabs>
        <w:rPr/>
      </w:pPr>
      <w:hyperlink w:anchor="__RefHeading___Toc6360_3403238750">
        <w:r>
          <w:rPr>
            <w:rStyle w:val="IndexLink"/>
          </w:rPr>
          <w:t xml:space="preserve"> </w:t>
        </w:r>
        <w:r>
          <w:rPr>
            <w:rStyle w:val="IndexLink"/>
          </w:rPr>
          <w:t xml:space="preserve">3  </w:t>
          <w:tab/>
          <w:t>Results</w:t>
          <w:tab/>
          <w:t>4</w:t>
        </w:r>
      </w:hyperlink>
    </w:p>
    <w:p>
      <w:pPr>
        <w:pStyle w:val="CatalystRFPToClevel1"/>
        <w:tabs>
          <w:tab w:val="left" w:pos="567" w:leader="none"/>
          <w:tab w:val="right" w:pos="7229" w:leader="dot"/>
        </w:tabs>
        <w:rPr/>
      </w:pPr>
      <w:hyperlink w:anchor="__RefHeading___Toc6362_3403238750">
        <w:r>
          <w:rPr>
            <w:rStyle w:val="IndexLink"/>
          </w:rPr>
          <w:t xml:space="preserve"> </w:t>
        </w:r>
        <w:r>
          <w:rPr>
            <w:rStyle w:val="IndexLink"/>
          </w:rPr>
          <w:t xml:space="preserve">4  </w:t>
          <w:tab/>
          <w:t>Future Evaluations</w:t>
          <w:tab/>
          <w:t>4</w:t>
        </w:r>
      </w:hyperlink>
    </w:p>
    <w:p>
      <w:pPr>
        <w:pStyle w:val="CatalystRFPToClevel1"/>
        <w:tabs>
          <w:tab w:val="left" w:pos="567" w:leader="none"/>
          <w:tab w:val="right" w:pos="7229" w:leader="dot"/>
        </w:tabs>
        <w:rPr/>
      </w:pPr>
      <w:hyperlink w:anchor="__RefHeading___Toc6370_3403238750">
        <w:r>
          <w:rPr>
            <w:rStyle w:val="IndexLink"/>
          </w:rPr>
          <w:t xml:space="preserve"> </w:t>
        </w:r>
        <w:r>
          <w:rPr>
            <w:rStyle w:val="IndexLink"/>
          </w:rPr>
          <w:t xml:space="preserve">5  </w:t>
          <w:tab/>
          <w:t>Changes to the Test Suite</w:t>
          <w:tab/>
          <w:t>6</w:t>
        </w:r>
      </w:hyperlink>
    </w:p>
    <w:p>
      <w:pPr>
        <w:pStyle w:val="CatalystRFPToClevel1"/>
        <w:tabs>
          <w:tab w:val="left" w:pos="567" w:leader="none"/>
          <w:tab w:val="right" w:pos="7229" w:leader="dot"/>
        </w:tabs>
        <w:rPr/>
      </w:pPr>
      <w:hyperlink w:anchor="__RefHeading___Toc6372_3403238750">
        <w:r>
          <w:rPr>
            <w:rStyle w:val="IndexLink"/>
          </w:rPr>
          <w:t xml:space="preserve"> </w:t>
        </w:r>
        <w:r>
          <w:rPr>
            <w:rStyle w:val="IndexLink"/>
          </w:rPr>
          <w:t xml:space="preserve">6  </w:t>
          <w:tab/>
          <w:t>Estimates of Effort</w:t>
          <w:tab/>
          <w:t>6</w:t>
        </w:r>
      </w:hyperlink>
    </w:p>
    <w:p>
      <w:pPr>
        <w:pStyle w:val="CatalystRFPToClevel1"/>
        <w:tabs>
          <w:tab w:val="left" w:pos="567" w:leader="none"/>
          <w:tab w:val="right" w:pos="7229" w:leader="dot"/>
        </w:tabs>
        <w:rPr/>
      </w:pPr>
      <w:hyperlink w:anchor="__RefHeading__4048_1275261973">
        <w:r>
          <w:rPr>
            <w:rStyle w:val="IndexLink"/>
          </w:rPr>
          <w:t xml:space="preserve"> </w:t>
        </w:r>
        <w:r>
          <w:rPr>
            <w:rStyle w:val="IndexLink"/>
          </w:rPr>
          <w:t xml:space="preserve">7  </w:t>
          <w:tab/>
          <w:t>Document History</w:t>
          <w:tab/>
          <w:t>7</w:t>
        </w:r>
      </w:hyperlink>
    </w:p>
    <w:p>
      <w:pPr>
        <w:pStyle w:val="CatalystRFPToClevel1"/>
        <w:tabs>
          <w:tab w:val="left" w:pos="567" w:leader="none"/>
          <w:tab w:val="right" w:pos="7229" w:leader="dot"/>
        </w:tabs>
        <w:rPr/>
      </w:pPr>
      <w:hyperlink w:anchor="__RefHeading___Toc6462_530175337">
        <w:r>
          <w:rPr>
            <w:rStyle w:val="IndexLink"/>
          </w:rPr>
          <w:t xml:space="preserve"> </w:t>
        </w:r>
        <w:r>
          <w:rPr>
            <w:rStyle w:val="IndexLink"/>
          </w:rPr>
          <w:t xml:space="preserve">8  </w:t>
          <w:tab/>
          <w:t>Appendices</w:t>
          <w:tab/>
          <w:t>7</w:t>
        </w:r>
      </w:hyperlink>
    </w:p>
    <w:p>
      <w:pPr>
        <w:pStyle w:val="CatalystRFPToClevel1"/>
        <w:tabs>
          <w:tab w:val="left" w:pos="567" w:leader="none"/>
          <w:tab w:val="right" w:pos="7229" w:leader="dot"/>
        </w:tabs>
        <w:rPr/>
      </w:pPr>
      <w:r>
        <w:rPr/>
        <w:tab/>
        <w:t>Test Report: Component 1</w:t>
        <w:tab/>
        <w:t>8</w:t>
      </w:r>
    </w:p>
    <w:p>
      <w:pPr>
        <w:pStyle w:val="CatalystRFPToClevel1"/>
        <w:tabs>
          <w:tab w:val="left" w:pos="567" w:leader="none"/>
          <w:tab w:val="right" w:pos="7229" w:leader="dot"/>
        </w:tabs>
        <w:rPr/>
      </w:pPr>
      <w:hyperlink w:anchor="__RefHeading__3929_12813452591">
        <w:r>
          <w:rPr>
            <w:rStyle w:val="IndexLink"/>
          </w:rPr>
          <w:t xml:space="preserve"> </w:t>
        </w:r>
        <w:r>
          <w:rPr>
            <w:rStyle w:val="IndexLink"/>
          </w:rPr>
          <w:t xml:space="preserve">1  </w:t>
          <w:tab/>
          <w:t>About this Document</w:t>
          <w:tab/>
          <w:t>8</w:t>
        </w:r>
      </w:hyperlink>
    </w:p>
    <w:p>
      <w:pPr>
        <w:pStyle w:val="CatalystRFPToClevel1"/>
        <w:tabs>
          <w:tab w:val="left" w:pos="567" w:leader="none"/>
          <w:tab w:val="right" w:pos="7229" w:leader="dot"/>
        </w:tabs>
        <w:rPr/>
      </w:pPr>
      <w:hyperlink w:anchor="__RefHeading__2952_1275261973">
        <w:r>
          <w:rPr>
            <w:rStyle w:val="IndexLink"/>
          </w:rPr>
          <w:t xml:space="preserve"> </w:t>
        </w:r>
        <w:r>
          <w:rPr>
            <w:rStyle w:val="IndexLink"/>
          </w:rPr>
          <w:t xml:space="preserve">2  </w:t>
          <w:tab/>
          <w:t>About Component 1</w:t>
          <w:tab/>
          <w:t>8</w:t>
        </w:r>
      </w:hyperlink>
    </w:p>
    <w:p>
      <w:pPr>
        <w:pStyle w:val="CatalystRFPToClevel1"/>
        <w:tabs>
          <w:tab w:val="left" w:pos="567" w:leader="none"/>
          <w:tab w:val="right" w:pos="7229" w:leader="dot"/>
        </w:tabs>
        <w:rPr/>
      </w:pPr>
      <w:hyperlink w:anchor="__RefHeading___Toc4354_4180556336">
        <w:r>
          <w:rPr>
            <w:rStyle w:val="IndexLink"/>
          </w:rPr>
          <w:t xml:space="preserve"> </w:t>
        </w:r>
        <w:r>
          <w:rPr>
            <w:rStyle w:val="IndexLink"/>
          </w:rPr>
          <w:t xml:space="preserve">3  </w:t>
          <w:tab/>
          <w:t>Evaluation Results</w:t>
          <w:tab/>
          <w:t>9</w:t>
        </w:r>
      </w:hyperlink>
    </w:p>
    <w:p>
      <w:pPr>
        <w:pStyle w:val="CatalystRFPToClevel1"/>
        <w:tabs>
          <w:tab w:val="left" w:pos="567" w:leader="none"/>
          <w:tab w:val="right" w:pos="7229" w:leader="dot"/>
        </w:tabs>
        <w:rPr/>
      </w:pPr>
      <w:r>
        <w:rPr/>
        <w:tab/>
        <w:t>Test Report: Component 2</w:t>
        <w:tab/>
        <w:t>1</w:t>
      </w:r>
    </w:p>
    <w:p>
      <w:pPr>
        <w:pStyle w:val="CatalystRFPToClevel1"/>
        <w:tabs>
          <w:tab w:val="left" w:pos="567" w:leader="none"/>
          <w:tab w:val="right" w:pos="7229" w:leader="dot"/>
        </w:tabs>
        <w:rPr/>
      </w:pPr>
      <w:hyperlink w:anchor="__RefHeading___Toc5879_3473906712">
        <w:r>
          <w:rPr>
            <w:rStyle w:val="IndexLink"/>
          </w:rPr>
          <w:t xml:space="preserve"> </w:t>
        </w:r>
        <w:r>
          <w:rPr>
            <w:rStyle w:val="IndexLink"/>
          </w:rPr>
          <w:t xml:space="preserve">1  </w:t>
          <w:tab/>
          <w:t>About this Document</w:t>
          <w:tab/>
          <w:t>1</w:t>
        </w:r>
      </w:hyperlink>
    </w:p>
    <w:p>
      <w:pPr>
        <w:pStyle w:val="CatalystRFPToClevel1"/>
        <w:tabs>
          <w:tab w:val="left" w:pos="567" w:leader="none"/>
          <w:tab w:val="right" w:pos="7229" w:leader="dot"/>
        </w:tabs>
        <w:rPr/>
      </w:pPr>
      <w:hyperlink w:anchor="__RefHeading__2952_12752619731">
        <w:r>
          <w:rPr>
            <w:rStyle w:val="IndexLink"/>
          </w:rPr>
          <w:t xml:space="preserve"> </w:t>
        </w:r>
        <w:r>
          <w:rPr>
            <w:rStyle w:val="IndexLink"/>
          </w:rPr>
          <w:t xml:space="preserve">2  </w:t>
          <w:tab/>
          <w:t>About Component 2</w:t>
          <w:tab/>
          <w:t>1</w:t>
        </w:r>
      </w:hyperlink>
    </w:p>
    <w:p>
      <w:pPr>
        <w:pStyle w:val="CatalystRFPToClevel1"/>
        <w:tabs>
          <w:tab w:val="left" w:pos="567" w:leader="none"/>
          <w:tab w:val="right" w:pos="7229" w:leader="dot"/>
        </w:tabs>
        <w:rPr/>
      </w:pPr>
      <w:hyperlink w:anchor="__RefHeading___Toc16221_3473906712">
        <w:r>
          <w:rPr>
            <w:rStyle w:val="IndexLink"/>
          </w:rPr>
          <w:t xml:space="preserve"> </w:t>
        </w:r>
        <w:r>
          <w:rPr>
            <w:rStyle w:val="IndexLink"/>
          </w:rPr>
          <w:t xml:space="preserve">3  </w:t>
          <w:tab/>
          <w:t>Evaluation Results</w:t>
          <w:tab/>
          <w:t>1</w:t>
        </w:r>
      </w:hyperlink>
    </w:p>
    <w:p>
      <w:pPr>
        <w:pStyle w:val="CatalystRFPToClevel1"/>
        <w:tabs>
          <w:tab w:val="left" w:pos="567" w:leader="none"/>
          <w:tab w:val="right" w:pos="7229" w:leader="dot"/>
        </w:tabs>
        <w:rPr/>
      </w:pPr>
      <w:r>
        <w:rPr/>
        <w:tab/>
        <w:t>Test Report: Component 3</w:t>
        <w:tab/>
        <w:t>1</w:t>
      </w:r>
    </w:p>
    <w:p>
      <w:pPr>
        <w:pStyle w:val="CatalystRFPToClevel1"/>
        <w:tabs>
          <w:tab w:val="left" w:pos="567" w:leader="none"/>
          <w:tab w:val="right" w:pos="7229" w:leader="dot"/>
        </w:tabs>
        <w:rPr/>
      </w:pPr>
      <w:hyperlink w:anchor="__RefHeading___Toc7854_3473906712">
        <w:r>
          <w:rPr>
            <w:rStyle w:val="IndexLink"/>
          </w:rPr>
          <w:t xml:space="preserve"> </w:t>
        </w:r>
        <w:r>
          <w:rPr>
            <w:rStyle w:val="IndexLink"/>
          </w:rPr>
          <w:t xml:space="preserve">1  </w:t>
          <w:tab/>
          <w:t>About this Document</w:t>
          <w:tab/>
          <w:t>1</w:t>
        </w:r>
      </w:hyperlink>
    </w:p>
    <w:p>
      <w:pPr>
        <w:pStyle w:val="CatalystRFPToClevel1"/>
        <w:tabs>
          <w:tab w:val="left" w:pos="567" w:leader="none"/>
          <w:tab w:val="right" w:pos="7229" w:leader="dot"/>
        </w:tabs>
        <w:rPr/>
      </w:pPr>
      <w:hyperlink w:anchor="__RefHeading__2952_12752619734">
        <w:r>
          <w:rPr>
            <w:rStyle w:val="IndexLink"/>
          </w:rPr>
          <w:t xml:space="preserve"> </w:t>
        </w:r>
        <w:r>
          <w:rPr>
            <w:rStyle w:val="IndexLink"/>
          </w:rPr>
          <w:t xml:space="preserve">2  </w:t>
          <w:tab/>
          <w:t>About Component 3</w:t>
          <w:tab/>
          <w:t>1</w:t>
        </w:r>
      </w:hyperlink>
    </w:p>
    <w:p>
      <w:pPr>
        <w:pStyle w:val="CatalystRFPToClevel1"/>
        <w:tabs>
          <w:tab w:val="left" w:pos="567" w:leader="none"/>
          <w:tab w:val="right" w:pos="7229" w:leader="dot"/>
        </w:tabs>
        <w:rPr/>
      </w:pPr>
      <w:hyperlink w:anchor="__RefHeading___Toc7856_3473906712">
        <w:r>
          <w:rPr>
            <w:rStyle w:val="IndexLink"/>
          </w:rPr>
          <w:t xml:space="preserve"> </w:t>
        </w:r>
        <w:r>
          <w:rPr>
            <w:rStyle w:val="IndexLink"/>
          </w:rPr>
          <w:t xml:space="preserve">3  </w:t>
          <w:tab/>
          <w:t>Evaluation Results</w:t>
          <w:tab/>
          <w:t>1</w:t>
        </w:r>
      </w:hyperlink>
      <w:r>
        <w:rPr>
          <w:rStyle w:val="IndexLink"/>
        </w:rPr>
        <w:fldChar w:fldCharType="end"/>
      </w:r>
    </w:p>
    <w:p>
      <w:pPr>
        <w:sectPr>
          <w:footerReference w:type="default" r:id="rId4"/>
          <w:type w:val="nextPage"/>
          <w:pgSz w:w="11906" w:h="16838"/>
          <w:pgMar w:left="3543" w:right="1134" w:header="0" w:top="2268" w:footer="567" w:bottom="2283" w:gutter="0"/>
          <w:pgNumType w:start="1" w:fmt="decimal"/>
          <w:formProt w:val="false"/>
          <w:textDirection w:val="lrTb"/>
          <w:docGrid w:type="default" w:linePitch="312" w:charSpace="4294961151"/>
        </w:sectPr>
        <w:pStyle w:val="CatalystDefault"/>
        <w:rPr/>
      </w:pPr>
      <w:r>
        <w:rPr/>
      </w:r>
    </w:p>
    <w:p>
      <w:pPr>
        <w:pStyle w:val="CatalystRFPHeading1"/>
        <w:numPr>
          <w:ilvl w:val="0"/>
          <w:numId w:val="1"/>
        </w:numPr>
        <w:ind w:left="567" w:right="0" w:hanging="567"/>
        <w:rPr/>
      </w:pPr>
      <w:bookmarkStart w:id="2" w:name="__RefHeading__3929_1281345259"/>
      <w:bookmarkEnd w:id="2"/>
      <w:r>
        <w:drawing>
          <wp:anchor behindDoc="0" distT="0" distB="0" distL="0" distR="0" simplePos="0" locked="0" layoutInCell="1" allowOverlap="1" relativeHeight="2">
            <wp:simplePos x="0" y="0"/>
            <wp:positionH relativeFrom="page">
              <wp:align>center</wp:align>
            </wp:positionH>
            <wp:positionV relativeFrom="page">
              <wp:posOffset>9773920</wp:posOffset>
            </wp:positionV>
            <wp:extent cx="7560310" cy="237490"/>
            <wp:effectExtent l="0" t="0" r="0" b="0"/>
            <wp:wrapSquare wrapText="largest"/>
            <wp:docPr id="5" name="graphics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s4" descr=""/>
                    <pic:cNvPicPr>
                      <a:picLocks noChangeAspect="1" noChangeArrowheads="1"/>
                    </pic:cNvPicPr>
                  </pic:nvPicPr>
                  <pic:blipFill>
                    <a:blip r:embed="rId5"/>
                    <a:stretch>
                      <a:fillRect/>
                    </a:stretch>
                  </pic:blipFill>
                  <pic:spPr bwMode="auto">
                    <a:xfrm>
                      <a:off x="0" y="0"/>
                      <a:ext cx="7560310" cy="237490"/>
                    </a:xfrm>
                    <a:prstGeom prst="rect">
                      <a:avLst/>
                    </a:prstGeom>
                  </pic:spPr>
                </pic:pic>
              </a:graphicData>
            </a:graphic>
          </wp:anchor>
        </w:drawing>
      </w:r>
      <w:r>
        <w:rPr/>
        <w:t>Background</w:t>
      </w:r>
    </w:p>
    <w:p>
      <w:pPr>
        <w:pStyle w:val="CatalystRFPTextBody"/>
        <w:rPr/>
      </w:pPr>
      <w:r>
        <w:rPr/>
        <w:t xml:space="preserve">The Universal Acceptance Steering Group (UASG) is a </w:t>
      </w:r>
      <w:r>
        <w:rPr/>
        <w:t>community-based</w:t>
      </w:r>
      <w:r>
        <w:rPr/>
        <w:t xml:space="preserve"> organisation </w:t>
      </w:r>
      <w:r>
        <w:rPr/>
        <w:t>working toward the goal of Universal Acceptance (UA), the idea that all domain names and email addresses should be treated correctly and consistently by Internet-enabled applications, devices, and systems. Specifically, this requirement includes new generic top-level domains (gTLDs), internationalized domain names (IDNs), and internationalized email addresses, which must be accepted, validated, stored, processed, and displayed as well as their traditional ASCII-based counterparts.</w:t>
      </w:r>
    </w:p>
    <w:p>
      <w:pPr>
        <w:pStyle w:val="CatalystRFPTextBody"/>
        <w:rPr/>
      </w:pPr>
      <w:r>
        <w:rPr/>
        <w:t xml:space="preserve">Because email messages constitute a significant part of online communications, it's important that email software and email service providers meet these requirements to achieve Universal Acceptance. Email Address Internationalization (EAI) is the protocol that allows email addresses that incorporate IDN or Unicode components to function correctly within the email software ecosystem. The purpose of </w:t>
      </w:r>
      <w:r>
        <w:rPr/>
        <w:t>this</w:t>
      </w:r>
      <w:r>
        <w:rPr/>
        <w:t xml:space="preserve"> project is to evaluate the existing EAI capabilities of that ecosystem, in order to measure its “EAI Readiness”.</w:t>
      </w:r>
    </w:p>
    <w:p>
      <w:pPr>
        <w:pStyle w:val="CatalystRFPHeading2"/>
        <w:numPr>
          <w:ilvl w:val="1"/>
          <w:numId w:val="1"/>
        </w:numPr>
        <w:ind w:left="0" w:right="0" w:hanging="0"/>
        <w:rPr/>
      </w:pPr>
      <w:bookmarkStart w:id="3" w:name="__RefHeading__2413_1275261973"/>
      <w:bookmarkEnd w:id="3"/>
      <w:r>
        <w:rPr/>
        <w:t>Project Structure</w:t>
      </w:r>
    </w:p>
    <w:p>
      <w:pPr>
        <w:pStyle w:val="CatalystRFPTextBody"/>
        <w:rPr/>
      </w:pPr>
      <w:r>
        <w:rPr/>
        <w:t xml:space="preserve">The first phase of this project, Discovery and Analysis, was completed September 2018 and published on the UASG’s website as </w:t>
      </w:r>
      <w:hyperlink r:id="rId6">
        <w:r>
          <w:rPr>
            <w:rStyle w:val="InternetLink"/>
          </w:rPr>
          <w:t>UASG021A</w:t>
        </w:r>
      </w:hyperlink>
      <w:r>
        <w:rPr/>
        <w:t>. That initial phase selected a broad set of components from the email software ecosystem to be analyzed, defined the test criteria to use when evaluating a particular piece of software</w:t>
      </w:r>
      <w:r>
        <w:rPr/>
        <w:t>,</w:t>
      </w:r>
      <w:r>
        <w:rPr/>
        <w:t xml:space="preserve"> and provided an estimate of the effort required to evaluate a select few representative software and service offerings from that set. The resulting </w:t>
      </w:r>
      <w:hyperlink r:id="rId7">
        <w:r>
          <w:rPr>
            <w:rStyle w:val="InternetLink"/>
          </w:rPr>
          <w:t>Discovery and Analysis Report</w:t>
        </w:r>
      </w:hyperlink>
      <w:r>
        <w:rPr/>
        <w:t xml:space="preserve"> and accompanying </w:t>
      </w:r>
      <w:hyperlink r:id="rId8">
        <w:r>
          <w:rPr>
            <w:rStyle w:val="InternetLink"/>
          </w:rPr>
          <w:t>test criteria</w:t>
        </w:r>
      </w:hyperlink>
      <w:r>
        <w:rPr/>
        <w:t xml:space="preserve"> can be found on the UASG’s website.</w:t>
      </w:r>
    </w:p>
    <w:p>
      <w:pPr>
        <w:pStyle w:val="CatalystRFPTextBody"/>
        <w:rPr/>
      </w:pPr>
      <w:r>
        <w:rPr/>
        <w:t xml:space="preserve">The </w:t>
      </w:r>
      <w:r>
        <w:rPr/>
        <w:t>second and current</w:t>
      </w:r>
      <w:r>
        <w:rPr/>
        <w:t xml:space="preserve"> phase of this project </w:t>
      </w:r>
      <w:r>
        <w:rPr/>
        <w:t>comprises a proof of concept evaluation. A targeted set of software and service providers have been evaluated according to the criteria detailed by UASG021A. The purpose of this phase is to:</w:t>
      </w:r>
    </w:p>
    <w:p>
      <w:pPr>
        <w:pStyle w:val="CatalystRFPTextBody"/>
        <w:numPr>
          <w:ilvl w:val="0"/>
          <w:numId w:val="7"/>
        </w:numPr>
        <w:rPr/>
      </w:pPr>
      <w:r>
        <w:rPr/>
        <w:t xml:space="preserve">Confirm whether the evaluation criteria developed in the UASG021A report are fair and reasonable, </w:t>
      </w:r>
      <w:r>
        <w:rPr/>
        <w:t>amending or clarifying them where necessary,</w:t>
      </w:r>
    </w:p>
    <w:p>
      <w:pPr>
        <w:pStyle w:val="CatalystRFPTextBody"/>
        <w:numPr>
          <w:ilvl w:val="0"/>
          <w:numId w:val="7"/>
        </w:numPr>
        <w:rPr/>
      </w:pPr>
      <w:r>
        <w:rPr/>
        <w:t xml:space="preserve">Develop a template for </w:t>
      </w:r>
      <w:r>
        <w:rPr/>
        <w:t xml:space="preserve">reporting future </w:t>
      </w:r>
      <w:r>
        <w:rPr/>
        <w:t>test results, and</w:t>
      </w:r>
    </w:p>
    <w:p>
      <w:pPr>
        <w:pStyle w:val="CatalystRFPTextBody"/>
        <w:numPr>
          <w:ilvl w:val="0"/>
          <w:numId w:val="7"/>
        </w:numPr>
        <w:rPr/>
      </w:pPr>
      <w:r>
        <w:rPr/>
        <w:t>Determine the amount of effort required to evaluate additional email software and service providers.</w:t>
      </w:r>
    </w:p>
    <w:p>
      <w:pPr>
        <w:pStyle w:val="CatalystRFPTextBody"/>
        <w:rPr/>
      </w:pPr>
      <w:r>
        <w:rPr/>
        <w:t xml:space="preserve">The third and final phase of the project will </w:t>
      </w:r>
      <w:r>
        <w:rPr/>
        <w:t>provide a more complete evaluation of the email software ecosystem, including a larger number of components and informed by the experience of this pilot.</w:t>
      </w:r>
    </w:p>
    <w:p>
      <w:pPr>
        <w:pStyle w:val="CatalystRFPHeading2"/>
        <w:numPr>
          <w:ilvl w:val="1"/>
          <w:numId w:val="1"/>
        </w:numPr>
        <w:ind w:left="0" w:right="0" w:hanging="0"/>
        <w:rPr/>
      </w:pPr>
      <w:bookmarkStart w:id="4" w:name="__RefHeading__2415_1275261973"/>
      <w:bookmarkEnd w:id="4"/>
      <w:r>
        <w:rPr/>
        <w:t xml:space="preserve">About </w:t>
      </w:r>
      <w:r>
        <w:rPr/>
        <w:t>T</w:t>
      </w:r>
      <w:r>
        <w:rPr/>
        <w:t>his Document</w:t>
      </w:r>
    </w:p>
    <w:p>
      <w:pPr>
        <w:pStyle w:val="CatalystRFPTextBody"/>
        <w:jc w:val="left"/>
        <w:rPr/>
      </w:pPr>
      <w:r>
        <w:rPr/>
        <w:t xml:space="preserve">This document </w:t>
      </w:r>
      <w:r>
        <w:rPr/>
        <w:t xml:space="preserve">follows UASG021A and </w:t>
      </w:r>
      <w:r>
        <w:rPr/>
        <w:t xml:space="preserve">describes the </w:t>
      </w:r>
      <w:r>
        <w:rPr/>
        <w:t>proof-of-concept</w:t>
      </w:r>
      <w:r>
        <w:rPr/>
        <w:t xml:space="preserve"> phase of the EAI Evaluation project</w:t>
      </w:r>
      <w:r>
        <w:rPr/>
        <w:t>.</w:t>
      </w:r>
      <w:r>
        <w:rPr/>
        <w:t xml:space="preserve"> It</w:t>
      </w:r>
      <w:r>
        <w:rPr/>
        <w:t xml:space="preserve"> provides clarifications and improvements to the test criteria developed in the first phase of the project and reports on the execution of those tests against the set of email software and services described above</w:t>
      </w:r>
      <w:r>
        <w:rPr/>
        <w:t xml:space="preserve">. Accompanying this document </w:t>
      </w:r>
      <w:r>
        <w:rPr/>
        <w:t xml:space="preserve">are individual test execution reports for the evaluated software and services, </w:t>
      </w:r>
      <w:r>
        <w:rPr/>
        <w:t xml:space="preserve">a </w:t>
      </w:r>
      <w:r>
        <w:rPr/>
        <w:t>spreadsheet containing the revised</w:t>
      </w:r>
      <w:r>
        <w:rPr/>
        <w:t xml:space="preserve"> test cases and </w:t>
      </w:r>
      <w:r>
        <w:rPr/>
        <w:t xml:space="preserve">input </w:t>
      </w:r>
      <w:r>
        <w:rPr/>
        <w:t xml:space="preserve">data to use for </w:t>
      </w:r>
      <w:r>
        <w:rPr/>
        <w:t>future</w:t>
      </w:r>
      <w:r>
        <w:rPr/>
        <w:t xml:space="preserve"> analys</w:t>
      </w:r>
      <w:r>
        <w:rPr/>
        <w:t>e</w:t>
      </w:r>
      <w:r>
        <w:rPr/>
        <w:t xml:space="preserve">s, </w:t>
      </w:r>
      <w:r>
        <w:rPr/>
        <w:t>and a template that can be used when reporting future results</w:t>
      </w:r>
      <w:r>
        <w:rPr/>
        <w:t xml:space="preserve">. Finally, </w:t>
      </w:r>
      <w:r>
        <w:rPr/>
        <w:t xml:space="preserve">refined </w:t>
      </w:r>
      <w:r>
        <w:rPr/>
        <w:t>estimate</w:t>
      </w:r>
      <w:r>
        <w:rPr/>
        <w:t>s</w:t>
      </w:r>
      <w:r>
        <w:rPr/>
        <w:t xml:space="preserve"> of the effort </w:t>
      </w:r>
      <w:r>
        <w:rPr/>
        <w:t>required to evaluate the various software and service types identified by UASG021A are given. This document assumes some familiarity with UASG021A, so readers are encouraged to review that document before continuing.</w:t>
      </w:r>
    </w:p>
    <w:p>
      <w:pPr>
        <w:pStyle w:val="CatalystRFPHeading1"/>
        <w:numPr>
          <w:ilvl w:val="0"/>
          <w:numId w:val="1"/>
        </w:numPr>
        <w:ind w:left="567" w:right="0" w:hanging="567"/>
        <w:rPr/>
      </w:pPr>
      <w:bookmarkStart w:id="5" w:name="__RefHeading__3931_1281345259"/>
      <w:bookmarkEnd w:id="5"/>
      <w:r>
        <w:rPr/>
        <w:t>Evaluation</w:t>
      </w:r>
    </w:p>
    <w:p>
      <w:pPr>
        <w:pStyle w:val="CatalystRFPTextBody"/>
        <w:rPr/>
      </w:pPr>
      <w:r>
        <w:rPr/>
        <w:t>The</w:t>
      </w:r>
      <w:r>
        <w:rPr/>
        <w:t xml:space="preserve"> </w:t>
      </w:r>
      <w:r>
        <w:rPr/>
        <w:t xml:space="preserve">evaluation was carried </w:t>
      </w:r>
      <w:r>
        <w:rPr/>
        <w:t xml:space="preserve">out over the course of May and June </w:t>
      </w:r>
      <w:r>
        <w:rPr/>
        <w:t xml:space="preserve">2019. </w:t>
      </w:r>
      <w:r>
        <w:rPr/>
        <w:t xml:space="preserve">It focused on three sets of software encompassing five functional categories: MUA, MSA, MTA, MDA, and MSP. These categories are described by </w:t>
      </w:r>
      <w:hyperlink r:id="rId9">
        <w:r>
          <w:rPr>
            <w:rStyle w:val="InternetLink"/>
          </w:rPr>
          <w:t>UASG 012</w:t>
        </w:r>
      </w:hyperlink>
      <w:r>
        <w:rPr/>
        <w:t xml:space="preserve">, </w:t>
      </w:r>
      <w:hyperlink r:id="rId10">
        <w:r>
          <w:rPr>
            <w:rStyle w:val="InternetLink"/>
          </w:rPr>
          <w:t>RFC 5598</w:t>
        </w:r>
      </w:hyperlink>
      <w:r>
        <w:rPr/>
        <w:t xml:space="preserve"> and UASG021A section 3.2. Note that for the purposes of this project the MDA category includes software that provides access to stored mail through a protocol such as IMAP or POP.</w:t>
      </w:r>
    </w:p>
    <w:p>
      <w:pPr>
        <w:pStyle w:val="CatalystRFPTextBody"/>
        <w:rPr/>
      </w:pPr>
      <w:r>
        <w:rPr/>
        <w:t>Because the goal of this pilot is to validate and refine the project’s evaluation criteria, individual software components have not been named. Rather, they are referred to as follows throughout this report:</w:t>
      </w:r>
    </w:p>
    <w:p>
      <w:pPr>
        <w:pStyle w:val="CatalystRFPTextBody"/>
        <w:numPr>
          <w:ilvl w:val="0"/>
          <w:numId w:val="8"/>
        </w:numPr>
        <w:rPr/>
      </w:pPr>
      <w:r>
        <w:rPr>
          <w:b/>
          <w:bCs/>
        </w:rPr>
        <w:t>Component 1</w:t>
      </w:r>
      <w:r>
        <w:rPr/>
        <w:t xml:space="preserve">, </w:t>
      </w:r>
      <w:r>
        <w:rPr/>
        <w:t xml:space="preserve">which was evaluated </w:t>
      </w:r>
      <w:r>
        <w:rPr/>
        <w:t>in its capacity as a Mail User Agent (“MUA”),</w:t>
      </w:r>
    </w:p>
    <w:p>
      <w:pPr>
        <w:pStyle w:val="CatalystRFPTextBody"/>
        <w:numPr>
          <w:ilvl w:val="0"/>
          <w:numId w:val="8"/>
        </w:numPr>
        <w:rPr/>
      </w:pPr>
      <w:r>
        <w:rPr>
          <w:b/>
          <w:bCs/>
        </w:rPr>
        <w:t>Component 2</w:t>
      </w:r>
      <w:r>
        <w:rPr/>
        <w:t xml:space="preserve">, </w:t>
      </w:r>
      <w:r>
        <w:rPr/>
        <w:t xml:space="preserve">which was evaluated </w:t>
      </w:r>
      <w:r>
        <w:rPr/>
        <w:t xml:space="preserve">in its capacity as a Mail Submission Agent (“MSA”), Mail </w:t>
      </w:r>
      <w:r>
        <w:rPr/>
        <w:t>Transfer</w:t>
      </w:r>
      <w:r>
        <w:rPr/>
        <w:t xml:space="preserve"> Agent (“MTA”), and Mail Deliver</w:t>
      </w:r>
      <w:r>
        <w:rPr/>
        <w:t>y</w:t>
      </w:r>
      <w:r>
        <w:rPr/>
        <w:t xml:space="preserve"> Agent (“MDA”), and</w:t>
      </w:r>
    </w:p>
    <w:p>
      <w:pPr>
        <w:pStyle w:val="CatalystRFPTextBody"/>
        <w:numPr>
          <w:ilvl w:val="0"/>
          <w:numId w:val="8"/>
        </w:numPr>
        <w:rPr/>
      </w:pPr>
      <w:r>
        <w:rPr>
          <w:b/>
          <w:bCs/>
        </w:rPr>
        <w:t>Component 3</w:t>
      </w:r>
      <w:r>
        <w:rPr/>
        <w:t>, which was evaluated in its capacity as a Mail Service Provider (“MSP”).</w:t>
      </w:r>
    </w:p>
    <w:p>
      <w:pPr>
        <w:pStyle w:val="CatalystRFPTextBody"/>
        <w:rPr/>
      </w:pPr>
      <w:r>
        <w:drawing>
          <wp:anchor behindDoc="0" distT="179705" distB="179705" distL="179705" distR="179705" simplePos="0" locked="0" layoutInCell="1" allowOverlap="1" relativeHeight="53">
            <wp:simplePos x="0" y="0"/>
            <wp:positionH relativeFrom="column">
              <wp:posOffset>-186690</wp:posOffset>
            </wp:positionH>
            <wp:positionV relativeFrom="paragraph">
              <wp:posOffset>233680</wp:posOffset>
            </wp:positionV>
            <wp:extent cx="3742690" cy="2417445"/>
            <wp:effectExtent l="0" t="0" r="0" b="0"/>
            <wp:wrapSquare wrapText="largest"/>
            <wp:docPr id="6" name="Test Path and Components"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st Path and Components" descr=""/>
                    <pic:cNvPicPr>
                      <a:picLocks noChangeAspect="1" noChangeArrowheads="1"/>
                    </pic:cNvPicPr>
                  </pic:nvPicPr>
                  <pic:blipFill>
                    <a:blip r:embed="rId11"/>
                    <a:stretch>
                      <a:fillRect/>
                    </a:stretch>
                  </pic:blipFill>
                  <pic:spPr bwMode="auto">
                    <a:xfrm>
                      <a:off x="0" y="0"/>
                      <a:ext cx="3742690" cy="2417445"/>
                    </a:xfrm>
                    <a:prstGeom prst="rect">
                      <a:avLst/>
                    </a:prstGeom>
                  </pic:spPr>
                </pic:pic>
              </a:graphicData>
            </a:graphic>
          </wp:anchor>
        </w:drawing>
      </w:r>
      <w:r>
        <w:rPr/>
        <w:t xml:space="preserve">Functionally, these components comprise an end-to-end test of email composition, submission, transfer, delivery, and retrieval, although in practice they were tested individually rather than in an interconnected way. To enable testing, supporting software infrastructure such as mail servers and user accounts were required. Many of these requirements were known in advance and provisioned before testing commenced, while others were only discovered to be necessary during the process. Find a discussion of these requirements in </w:t>
      </w:r>
      <w:r>
        <w:rPr/>
        <w:fldChar w:fldCharType="begin"/>
      </w:r>
      <w:r>
        <w:rPr/>
        <w:instrText> REF __RefNumPara__3402_3403238750 \h </w:instrText>
      </w:r>
      <w:r>
        <w:rPr/>
        <w:fldChar w:fldCharType="separate"/>
      </w:r>
      <w:r>
        <w:rPr/>
        <w:t>Prerequisites</w:t>
      </w:r>
      <w:r>
        <w:rPr/>
        <w:fldChar w:fldCharType="end"/>
      </w:r>
      <w:r>
        <w:rPr/>
        <w:t>.</w:t>
      </w:r>
    </w:p>
    <w:p>
      <w:pPr>
        <w:pStyle w:val="CatalystRFPTextBody"/>
        <w:rPr/>
      </w:pPr>
      <w:r>
        <w:rPr/>
        <w:t xml:space="preserve">The test cases and input data used for the evaluation can be found in the attached </w:t>
      </w:r>
      <w:r>
        <w:rPr/>
        <w:fldChar w:fldCharType="begin"/>
      </w:r>
      <w:r>
        <w:rPr/>
        <w:instrText> REF __RefNumPara__2541_3473906712 \h </w:instrText>
      </w:r>
      <w:r>
        <w:rPr/>
        <w:fldChar w:fldCharType="separate"/>
      </w:r>
      <w:r>
        <w:rPr/>
        <w:t>Test Cases</w:t>
      </w:r>
      <w:r>
        <w:rPr/>
        <w:fldChar w:fldCharType="end"/>
      </w:r>
      <w:r>
        <w:rPr/>
        <w:t xml:space="preserve"> spreadsheet</w:t>
      </w:r>
      <w:r>
        <w:rPr>
          <w:rStyle w:val="FootnoteAnchor"/>
        </w:rPr>
        <w:footnoteReference w:id="2"/>
      </w:r>
      <w:r>
        <w:rPr/>
        <w:t>. Where a test case’s Action column refers to an &lt;Email&gt;, &lt;Domain&gt;, or &lt;Unicode&gt; value, that action was repeated once for each row in the corresponding worksheet. To enable these tests, e</w:t>
      </w:r>
      <w:r>
        <w:rPr/>
        <w:t xml:space="preserve">mail </w:t>
      </w:r>
      <w:r>
        <w:rPr/>
        <w:t>accounts</w:t>
      </w:r>
      <w:r>
        <w:rPr/>
        <w:t xml:space="preserve"> </w:t>
      </w:r>
      <w:r>
        <w:rPr/>
        <w:t>and corresponding DNS records for these input data were created on newly-provisioned EAI and non-EAI mail servers. A set of addresses</w:t>
      </w:r>
      <w:r>
        <w:rPr/>
        <w:t xml:space="preserve"> hosted by </w:t>
      </w:r>
      <w:hyperlink r:id="rId12">
        <w:r>
          <w:rPr>
            <w:rStyle w:val="InternetLink"/>
          </w:rPr>
          <w:t>Coremail</w:t>
        </w:r>
      </w:hyperlink>
      <w:r>
        <w:rPr/>
        <w:t xml:space="preserve"> were </w:t>
      </w:r>
      <w:r>
        <w:rPr/>
        <w:t xml:space="preserve">also </w:t>
      </w:r>
      <w:r>
        <w:rPr/>
        <w:t xml:space="preserve">provided by the UASG </w:t>
      </w:r>
      <w:r>
        <w:rPr/>
        <w:t>to</w:t>
      </w:r>
      <w:r>
        <w:rPr/>
        <w:t xml:space="preserve"> use while testing.</w:t>
      </w:r>
    </w:p>
    <w:p>
      <w:pPr>
        <w:pStyle w:val="CatalystRFPHeading2"/>
        <w:numPr>
          <w:ilvl w:val="1"/>
          <w:numId w:val="1"/>
        </w:numPr>
        <w:ind w:left="0" w:right="0" w:hanging="0"/>
        <w:rPr/>
      </w:pPr>
      <w:bookmarkStart w:id="6" w:name="__RefHeading___Toc1046_4160106390"/>
      <w:bookmarkEnd w:id="6"/>
      <w:r>
        <w:rPr/>
        <w:t>Component 1</w:t>
      </w:r>
    </w:p>
    <w:p>
      <w:pPr>
        <w:pStyle w:val="CatalystRFPTextBody"/>
        <w:rPr/>
      </w:pPr>
      <w:r>
        <w:rPr/>
        <w:t>Component 1 was evaluated as a Mail User Agent. This is the software with which a user interacts when reading or sending messages, so the analysis included significant user interface testing. Two versions of the software were evaluated: a browser-based webmail interface provided by the vendor as a hosted service, and a mobile application for the Android operating system.</w:t>
      </w:r>
    </w:p>
    <w:p>
      <w:pPr>
        <w:pStyle w:val="CatalystRFPTextBody"/>
        <w:rPr/>
      </w:pPr>
      <w:r>
        <w:rPr/>
        <w:t xml:space="preserve">The web application was tested with the Chromium web browser on Ubuntu Linux, while the Android application was tested with </w:t>
      </w:r>
      <w:r>
        <w:rPr/>
        <w:t>two</w:t>
      </w:r>
      <w:r>
        <w:rPr/>
        <w:t xml:space="preserve"> mobile devices. </w:t>
      </w:r>
      <w:r>
        <w:rPr/>
        <w:t>These were configured as SMTP submission clients for sending messages through the test accounts, and as IMAP and POP clients for retrieving messages from them.</w:t>
      </w:r>
    </w:p>
    <w:p>
      <w:pPr>
        <w:pStyle w:val="CatalystRFPTextBody"/>
        <w:rPr/>
      </w:pPr>
      <w:r>
        <w:rPr/>
        <w:t xml:space="preserve">The MUA </w:t>
      </w:r>
      <w:r>
        <w:rPr/>
        <w:t>test</w:t>
      </w:r>
      <w:r>
        <w:rPr/>
        <w:t xml:space="preserve"> category contains both the largest number of </w:t>
      </w:r>
      <w:r>
        <w:rPr/>
        <w:t>individual</w:t>
      </w:r>
      <w:r>
        <w:rPr/>
        <w:t xml:space="preserve"> test cases and the most repetition within </w:t>
      </w:r>
      <w:r>
        <w:rPr/>
        <w:t>them</w:t>
      </w:r>
      <w:r>
        <w:rPr/>
        <w:t xml:space="preserve">, and as such </w:t>
      </w:r>
      <w:r>
        <w:rPr/>
        <w:t>Component 1</w:t>
      </w:r>
      <w:r>
        <w:rPr/>
        <w:t xml:space="preserve"> comprised the bulk of the testing effort. Additionally, because the majority of the tested behaviours require some manual action on the part of the user, for example typing an email address or creating an address book entry, they cannot be triggered easily by another software tool </w:t>
      </w:r>
      <w:r>
        <w:rPr/>
        <w:t>and involve a fixed amount of manual effort.</w:t>
      </w:r>
    </w:p>
    <w:p>
      <w:pPr>
        <w:pStyle w:val="CatalystRFPHeading2"/>
        <w:numPr>
          <w:ilvl w:val="1"/>
          <w:numId w:val="1"/>
        </w:numPr>
        <w:ind w:left="0" w:right="0" w:hanging="0"/>
        <w:rPr/>
      </w:pPr>
      <w:bookmarkStart w:id="7" w:name="__RefHeading__3933_1281345259"/>
      <w:bookmarkEnd w:id="7"/>
      <w:r>
        <w:rPr/>
        <w:t>Component 2</w:t>
      </w:r>
    </w:p>
    <w:p>
      <w:pPr>
        <w:pStyle w:val="CatalystRFPTextBody"/>
        <w:rPr/>
      </w:pPr>
      <w:r>
        <w:rPr/>
        <w:t>Component 2 is</w:t>
      </w:r>
      <w:r>
        <w:rPr/>
        <w:t xml:space="preserve"> a mail server </w:t>
      </w:r>
      <w:r>
        <w:rPr/>
        <w:t>including</w:t>
      </w:r>
      <w:r>
        <w:rPr/>
        <w:t xml:space="preserve"> related integrations such as webmail and </w:t>
      </w:r>
      <w:r>
        <w:rPr/>
        <w:t>mail retrieval</w:t>
      </w:r>
      <w:r>
        <w:rPr/>
        <w:t xml:space="preserve"> services. </w:t>
      </w:r>
      <w:r>
        <w:rPr/>
        <w:t>This pilot focused on the MSA, MTA, and MDA-related aspects of the software, which are responsible for receiving messages from a Mail User Agent, relaying them, and ultimately delivering and making them accessible to another MUA.</w:t>
      </w:r>
    </w:p>
    <w:p>
      <w:pPr>
        <w:pStyle w:val="CatalystRFPTextBody"/>
        <w:rPr/>
      </w:pPr>
      <w:r>
        <w:rPr/>
        <w:t xml:space="preserve">The newest available version of this software was evaluated. </w:t>
      </w:r>
      <w:r>
        <w:rPr/>
        <w:t>It is distributed for users to install within their own infrastructure, so t</w:t>
      </w:r>
      <w:r>
        <w:rPr/>
        <w:t xml:space="preserve">he necessary packages were </w:t>
      </w:r>
      <w:r>
        <w:rPr/>
        <w:t xml:space="preserve">configured and </w:t>
      </w:r>
      <w:r>
        <w:rPr/>
        <w:t xml:space="preserve">installed on a </w:t>
      </w:r>
      <w:r>
        <w:rPr/>
        <w:t>mail</w:t>
      </w:r>
      <w:r>
        <w:rPr/>
        <w:t xml:space="preserve"> server, accessible at both ASCII-</w:t>
      </w:r>
      <w:r>
        <w:rPr/>
        <w:t>only</w:t>
      </w:r>
      <w:r>
        <w:rPr/>
        <w:t xml:space="preserve"> and IDN </w:t>
      </w:r>
      <w:r>
        <w:rPr/>
        <w:t>addresses, and instrumented such that server traffic for the ESMTP, POP3, and IMAP protocols could be inspected</w:t>
      </w:r>
      <w:r>
        <w:rPr/>
        <w:t xml:space="preserve">. </w:t>
      </w:r>
      <w:r>
        <w:rPr/>
        <w:t>An older version of the software without EAI support was also installed for comparison, and to allow testing scenarios involving a non-EAI mail server.</w:t>
      </w:r>
    </w:p>
    <w:p>
      <w:pPr>
        <w:pStyle w:val="CatalystRFPTextBody"/>
        <w:rPr/>
      </w:pPr>
      <w:r>
        <w:rPr/>
        <w:t xml:space="preserve">The </w:t>
      </w:r>
      <w:r>
        <w:rPr/>
        <w:t>mail</w:t>
      </w:r>
      <w:r>
        <w:rPr/>
        <w:t xml:space="preserve"> server-related </w:t>
      </w:r>
      <w:r>
        <w:rPr/>
        <w:t xml:space="preserve">test suites </w:t>
      </w:r>
      <w:r>
        <w:rPr/>
        <w:t xml:space="preserve">require the most </w:t>
      </w:r>
      <w:r>
        <w:rPr/>
        <w:t>advance</w:t>
      </w:r>
      <w:r>
        <w:rPr/>
        <w:t xml:space="preserve"> </w:t>
      </w:r>
      <w:r>
        <w:rPr/>
        <w:t>configuration</w:t>
      </w:r>
      <w:r>
        <w:rPr/>
        <w:t xml:space="preserve"> of the </w:t>
      </w:r>
      <w:r>
        <w:rPr/>
        <w:t>five</w:t>
      </w:r>
      <w:r>
        <w:rPr/>
        <w:t xml:space="preserve"> test categories. </w:t>
      </w:r>
      <w:r>
        <w:rPr/>
        <w:t>However, given the prerequisites, they take less time than the MUA tests since many of the tests involve simply checking whether the software does or doesn’t support a given feature without needing to be repeated for multiple inputs.</w:t>
      </w:r>
    </w:p>
    <w:p>
      <w:pPr>
        <w:pStyle w:val="CatalystRFPHeading2"/>
        <w:numPr>
          <w:ilvl w:val="1"/>
          <w:numId w:val="1"/>
        </w:numPr>
        <w:ind w:left="0" w:right="0" w:hanging="0"/>
        <w:rPr/>
      </w:pPr>
      <w:bookmarkStart w:id="8" w:name="__RefHeading__3935_1281345259"/>
      <w:bookmarkEnd w:id="8"/>
      <w:r>
        <w:rPr/>
        <w:t>Component 3</w:t>
      </w:r>
    </w:p>
    <w:p>
      <w:pPr>
        <w:pStyle w:val="CatalystRFPTextBody"/>
        <w:rPr/>
      </w:pPr>
      <w:r>
        <w:rPr/>
        <w:t xml:space="preserve">Component 3 </w:t>
      </w:r>
      <w:r>
        <w:rPr/>
        <w:t xml:space="preserve">is an enterprise software product </w:t>
      </w:r>
      <w:r>
        <w:rPr/>
        <w:t xml:space="preserve">whose features include a mail server and multi-user account hosting. A </w:t>
      </w:r>
      <w:r>
        <w:rPr/>
        <w:t xml:space="preserve">trial of the </w:t>
      </w:r>
      <w:r>
        <w:rPr/>
        <w:t xml:space="preserve">full </w:t>
      </w:r>
      <w:r>
        <w:rPr/>
        <w:t xml:space="preserve">software is available for evaluation purposes, </w:t>
      </w:r>
      <w:r>
        <w:rPr/>
        <w:t>as well as</w:t>
      </w:r>
      <w:r>
        <w:rPr/>
        <w:t xml:space="preserve"> a free-to-use instanc</w:t>
      </w:r>
      <w:r>
        <w:rPr/>
        <w:t>e providing mailboxes for individual users,</w:t>
      </w:r>
      <w:r>
        <w:rPr/>
        <w:t xml:space="preserve"> both of which were used for this pilot. </w:t>
      </w:r>
      <w:r>
        <w:rPr/>
        <w:t>These are hosted services, so no special configuration of the software was required beyond creating the test accounts.</w:t>
      </w:r>
    </w:p>
    <w:p>
      <w:pPr>
        <w:pStyle w:val="CatalystRFPTextBody"/>
        <w:rPr/>
      </w:pPr>
      <w:r>
        <w:rPr/>
        <w:t>This pilot analyzed the product as a Mail Service Provider, an entity that operates mail services on behalf of other organizations or users. The MSP test category takes the least amount of time to execute of the five simply since it involves the fewest tests. It focuses on a small set of the functionality typically provided by MSPs, specifically those relating to account and mailbox hosting. A Mail Service Provider will often provide a webmail interface and mailbox access services as well.</w:t>
      </w:r>
    </w:p>
    <w:p>
      <w:pPr>
        <w:pStyle w:val="CatalystRFPHeading1"/>
        <w:numPr>
          <w:ilvl w:val="0"/>
          <w:numId w:val="1"/>
        </w:numPr>
        <w:ind w:left="567" w:right="0" w:hanging="567"/>
        <w:rPr/>
      </w:pPr>
      <w:bookmarkStart w:id="9" w:name="__RefHeading___Toc6360_3403238750"/>
      <w:bookmarkEnd w:id="9"/>
      <w:r>
        <w:rPr/>
        <w:t>Results</w:t>
      </w:r>
    </w:p>
    <w:p>
      <w:pPr>
        <w:pStyle w:val="CatalystRFPHeading2"/>
        <w:numPr>
          <w:ilvl w:val="1"/>
          <w:numId w:val="1"/>
        </w:numPr>
        <w:ind w:left="0" w:right="0" w:hanging="0"/>
        <w:rPr/>
      </w:pPr>
      <w:bookmarkStart w:id="10" w:name="__RefHeading___Toc1048_4160106390"/>
      <w:bookmarkEnd w:id="10"/>
      <w:r>
        <w:rPr/>
        <w:t>Summary</w:t>
      </w:r>
    </w:p>
    <w:p>
      <w:pPr>
        <w:pStyle w:val="CatalystRFPTextBody"/>
        <w:rPr/>
      </w:pPr>
      <w:r>
        <w:rPr/>
        <w:t xml:space="preserve">In general, the components tested in this pilot were found to behave well with respect to EAI. </w:t>
      </w:r>
      <w:r>
        <w:rPr/>
        <w:t>This was generally expected, since they were selected in part because they were believed to be relatively advanced in their support of EAI, meaning that this pilot evaluation would exercise most of the test criteria defined by UASG021A. The pilot ultimately covered 118 of the 152 defined test cases.</w:t>
      </w:r>
    </w:p>
    <w:p>
      <w:pPr>
        <w:pStyle w:val="CatalystRFPTextBody"/>
        <w:rPr/>
      </w:pPr>
      <w:r>
        <w:rPr/>
        <w:t xml:space="preserve">Individual test reports for each component </w:t>
      </w:r>
      <w:r>
        <w:rPr/>
        <w:t>can be found in the appendices</w:t>
      </w:r>
      <w:r>
        <w:rPr/>
        <w:t xml:space="preserve">, as well as a </w:t>
      </w:r>
      <w:r>
        <w:rPr/>
        <w:t xml:space="preserve">reporting template </w:t>
      </w:r>
      <w:r>
        <w:rPr/>
        <w:t xml:space="preserve">on which </w:t>
      </w:r>
      <w:r>
        <w:rPr/>
        <w:t>these</w:t>
      </w:r>
      <w:r>
        <w:rPr/>
        <w:t xml:space="preserve"> w</w:t>
      </w:r>
      <w:r>
        <w:rPr/>
        <w:t>ere</w:t>
      </w:r>
      <w:r>
        <w:rPr/>
        <w:t xml:space="preserve"> based. Each </w:t>
      </w:r>
      <w:r>
        <w:rPr/>
        <w:t xml:space="preserve">test </w:t>
      </w:r>
      <w:r>
        <w:rPr/>
        <w:t xml:space="preserve">report includes a description of the component under test, a summary of the overall test results, and details of all </w:t>
      </w:r>
      <w:r>
        <w:rPr/>
        <w:t xml:space="preserve">non-passing </w:t>
      </w:r>
      <w:r>
        <w:rPr/>
        <w:t xml:space="preserve">test cases with a description of either the </w:t>
      </w:r>
      <w:r>
        <w:rPr/>
        <w:t xml:space="preserve">observed </w:t>
      </w:r>
      <w:r>
        <w:rPr/>
        <w:t xml:space="preserve">behavior or the reason the test could not be executed. </w:t>
      </w:r>
      <w:r>
        <w:rPr/>
        <w:t>In general, test cases were only skipped when some preceding test did not pass, meaning that further testing in that area of the software would not be possible or useful.</w:t>
      </w:r>
    </w:p>
    <w:p>
      <w:pPr>
        <w:pStyle w:val="CatalystRFPHeading3"/>
        <w:numPr>
          <w:ilvl w:val="2"/>
          <w:numId w:val="1"/>
        </w:numPr>
        <w:rPr/>
      </w:pPr>
      <w:bookmarkStart w:id="11" w:name="__RefHeading___Toc1050_4160106390"/>
      <w:bookmarkEnd w:id="11"/>
      <w:r>
        <w:rPr/>
        <w:t>Component 1</w:t>
      </w:r>
    </w:p>
    <w:p>
      <w:pPr>
        <w:pStyle w:val="CatalystRFPTextBody"/>
        <w:rPr/>
      </w:pPr>
      <w:r>
        <w:rPr/>
        <w:t xml:space="preserve">Test results for the </w:t>
      </w:r>
      <w:r>
        <w:rPr/>
        <w:t>Component 1 web</w:t>
      </w:r>
      <w:r>
        <w:rPr/>
        <w:t xml:space="preserve"> interface and </w:t>
      </w:r>
      <w:r>
        <w:rPr/>
        <w:t>mobile</w:t>
      </w:r>
      <w:r>
        <w:rPr/>
        <w:t xml:space="preserve"> application </w:t>
      </w:r>
      <w:r>
        <w:rPr/>
        <w:t>are</w:t>
      </w:r>
      <w:r>
        <w:rPr/>
        <w:t xml:space="preserve"> attached. </w:t>
      </w:r>
      <w:r>
        <w:rPr/>
        <w:t>Both applications were found to behave well when presented EAI inputs for common use patterns such as reading and composing messages, but their POP3 and IMAP features are not yet EAI-ready.</w:t>
      </w:r>
    </w:p>
    <w:p>
      <w:pPr>
        <w:pStyle w:val="CatalystRFPHeading3"/>
        <w:numPr>
          <w:ilvl w:val="2"/>
          <w:numId w:val="1"/>
        </w:numPr>
        <w:rPr/>
      </w:pPr>
      <w:bookmarkStart w:id="12" w:name="__RefHeading__3933_12813452591"/>
      <w:bookmarkEnd w:id="12"/>
      <w:r>
        <w:rPr/>
        <w:t>Component 2</w:t>
      </w:r>
    </w:p>
    <w:p>
      <w:pPr>
        <w:pStyle w:val="CatalystRFPTextBody"/>
        <w:rPr/>
      </w:pPr>
      <w:r>
        <w:rPr/>
        <w:t xml:space="preserve">Test results for </w:t>
      </w:r>
      <w:r>
        <w:rPr/>
        <w:t>the Component 2</w:t>
      </w:r>
      <w:r>
        <w:rPr/>
        <w:t xml:space="preserve"> mail server </w:t>
      </w:r>
      <w:r>
        <w:rPr/>
        <w:t>are attached</w:t>
      </w:r>
      <w:r>
        <w:rPr/>
        <w:t xml:space="preserve">. </w:t>
      </w:r>
      <w:r>
        <w:rPr/>
        <w:t xml:space="preserve">The software was found to be mostly EAI-ready, with the primary exception being that its POP3 server does not implement the “LANG” extension as defined by </w:t>
      </w:r>
      <w:r>
        <w:fldChar w:fldCharType="begin"/>
      </w:r>
      <w:r>
        <w:rPr>
          <w:rStyle w:val="InternetLink"/>
        </w:rPr>
        <w:instrText> HYPERLINK "https://tools.ietf.org/html/rfc6856" \l "section-3"</w:instrText>
      </w:r>
      <w:r>
        <w:rPr>
          <w:rStyle w:val="InternetLink"/>
        </w:rPr>
        <w:fldChar w:fldCharType="separate"/>
      </w:r>
      <w:r>
        <w:rPr>
          <w:rStyle w:val="InternetLink"/>
        </w:rPr>
        <w:t>RFC 6856</w:t>
      </w:r>
      <w:r>
        <w:rPr>
          <w:rStyle w:val="InternetLink"/>
        </w:rPr>
        <w:fldChar w:fldCharType="end"/>
      </w:r>
      <w:r>
        <w:rPr/>
        <w:t>.</w:t>
      </w:r>
    </w:p>
    <w:p>
      <w:pPr>
        <w:pStyle w:val="CatalystRFPHeading3"/>
        <w:numPr>
          <w:ilvl w:val="2"/>
          <w:numId w:val="1"/>
        </w:numPr>
        <w:rPr/>
      </w:pPr>
      <w:bookmarkStart w:id="13" w:name="__RefHeading__2954_1275261973"/>
      <w:bookmarkEnd w:id="13"/>
      <w:r>
        <w:rPr/>
        <w:t>Component 3</w:t>
      </w:r>
    </w:p>
    <w:p>
      <w:pPr>
        <w:pStyle w:val="CatalystRFPTextBody"/>
        <w:rPr/>
      </w:pPr>
      <w:r>
        <w:rPr/>
        <w:t xml:space="preserve">Test results for the </w:t>
      </w:r>
      <w:r>
        <w:rPr/>
        <w:t>Component 3</w:t>
      </w:r>
      <w:r>
        <w:rPr/>
        <w:t xml:space="preserve"> service </w:t>
      </w:r>
      <w:r>
        <w:rPr/>
        <w:t>are</w:t>
      </w:r>
      <w:r>
        <w:rPr/>
        <w:t xml:space="preserve"> attached. </w:t>
      </w:r>
      <w:r>
        <w:rPr/>
        <w:t>This software handled EAI inputs correctly except where prevented by other software restrictions. The most significant such restriction was the rejection of mixed scripts, where for example left-to-right and right-to-left texts were combined within an address, or where Chinese text was combined with ASCII characters. This is an intentional software policy that needed to be worked around during the analysis.</w:t>
      </w:r>
    </w:p>
    <w:p>
      <w:pPr>
        <w:pStyle w:val="CatalystRFPHeading1"/>
        <w:numPr>
          <w:ilvl w:val="0"/>
          <w:numId w:val="1"/>
        </w:numPr>
        <w:ind w:left="567" w:right="0" w:hanging="567"/>
        <w:rPr/>
      </w:pPr>
      <w:bookmarkStart w:id="14" w:name="__RefHeading___Toc6362_3403238750"/>
      <w:bookmarkEnd w:id="14"/>
      <w:r>
        <w:rPr/>
        <w:t>Future Evaluations</w:t>
      </w:r>
    </w:p>
    <w:p>
      <w:pPr>
        <w:pStyle w:val="CatalystRFPTextBody"/>
        <w:rPr/>
      </w:pPr>
      <w:r>
        <w:rPr/>
        <w:t>A primary</w:t>
      </w:r>
      <w:r>
        <w:rPr/>
        <w:t xml:space="preserve"> goal of this pilot was to identify potential pitfalls that </w:t>
      </w:r>
      <w:r>
        <w:rPr/>
        <w:t>might be</w:t>
      </w:r>
      <w:r>
        <w:rPr/>
        <w:t xml:space="preserve"> encounter</w:t>
      </w:r>
      <w:r>
        <w:rPr/>
        <w:t>ed</w:t>
      </w:r>
      <w:r>
        <w:rPr/>
        <w:t xml:space="preserve"> during future evaluations. This section </w:t>
      </w:r>
      <w:r>
        <w:rPr/>
        <w:t>provides an experience report and recommendations for future executors.</w:t>
      </w:r>
    </w:p>
    <w:p>
      <w:pPr>
        <w:pStyle w:val="CatalystRFPHeading2"/>
        <w:numPr>
          <w:ilvl w:val="1"/>
          <w:numId w:val="1"/>
        </w:numPr>
        <w:ind w:left="0" w:right="0" w:hanging="0"/>
        <w:rPr/>
      </w:pPr>
      <w:bookmarkStart w:id="15" w:name="__RefHeading___Toc6364_3403238750"/>
      <w:bookmarkStart w:id="16" w:name="__RefNumPara__3402_3403238750"/>
      <w:bookmarkEnd w:id="15"/>
      <w:bookmarkEnd w:id="16"/>
      <w:r>
        <w:rPr/>
        <w:t>Prerequisites</w:t>
      </w:r>
    </w:p>
    <w:p>
      <w:pPr>
        <w:pStyle w:val="CatalystRFPTextBody"/>
        <w:rPr/>
      </w:pPr>
      <w:r>
        <w:rPr/>
        <w:t>A significant part of the</w:t>
      </w:r>
      <w:r>
        <w:rPr/>
        <w:t xml:space="preserve"> </w:t>
      </w:r>
      <w:r>
        <w:rPr/>
        <w:t>effort</w:t>
      </w:r>
      <w:r>
        <w:rPr/>
        <w:t xml:space="preserve"> </w:t>
      </w:r>
      <w:r>
        <w:rPr/>
        <w:t xml:space="preserve">was dedicated to setting up </w:t>
      </w:r>
      <w:r>
        <w:rPr/>
        <w:t>infrastructur</w:t>
      </w:r>
      <w:r>
        <w:rPr/>
        <w:t>e in support of the tests</w:t>
      </w:r>
      <w:r>
        <w:rPr/>
        <w:t xml:space="preserve">. </w:t>
      </w:r>
      <w:r>
        <w:rPr/>
        <w:t>The term</w:t>
      </w:r>
      <w:r>
        <w:rPr/>
        <w:t xml:space="preserve"> “infrastructure” is used loosely </w:t>
      </w:r>
      <w:r>
        <w:rPr/>
        <w:t>here</w:t>
      </w:r>
      <w:r>
        <w:rPr/>
        <w:t xml:space="preserve"> to describe </w:t>
      </w:r>
      <w:r>
        <w:rPr/>
        <w:t>things like</w:t>
      </w:r>
      <w:r>
        <w:rPr/>
        <w:t xml:space="preserve"> hardware, software, software configuration, user accounts and network access </w:t>
      </w:r>
      <w:r>
        <w:rPr/>
        <w:t>rules</w:t>
      </w:r>
      <w:r>
        <w:rPr/>
        <w:t xml:space="preserve">. Indeed, </w:t>
      </w:r>
      <w:r>
        <w:rPr/>
        <w:t xml:space="preserve">nearly half of the effort involved in this pilot was consumed by tasks of this type </w:t>
      </w:r>
      <w:r>
        <w:rPr>
          <w:i/>
          <w:iCs/>
        </w:rPr>
        <w:t>other</w:t>
      </w:r>
      <w:r>
        <w:rPr/>
        <w:t xml:space="preserve"> than running the tests themselves. We recommend that executors carefully consider the following prerequisites before commencing.</w:t>
      </w:r>
    </w:p>
    <w:p>
      <w:pPr>
        <w:pStyle w:val="CatalystRFPHeading3"/>
        <w:numPr>
          <w:ilvl w:val="2"/>
          <w:numId w:val="1"/>
        </w:numPr>
        <w:rPr/>
      </w:pPr>
      <w:r>
        <w:rPr/>
        <w:t xml:space="preserve">EAI </w:t>
      </w:r>
      <w:r>
        <w:rPr/>
        <w:t xml:space="preserve">and Non-EAI </w:t>
      </w:r>
      <w:r>
        <w:rPr/>
        <w:t>Mail Server</w:t>
      </w:r>
      <w:r>
        <w:rPr/>
        <w:t>s</w:t>
      </w:r>
    </w:p>
    <w:p>
      <w:pPr>
        <w:pStyle w:val="CatalystRFPTextBody"/>
        <w:rPr/>
      </w:pPr>
      <w:r>
        <w:rPr/>
        <w:t xml:space="preserve">All test categories involve </w:t>
      </w:r>
      <w:r>
        <w:rPr/>
        <w:t>some degree of interaction</w:t>
      </w:r>
      <w:r>
        <w:rPr/>
        <w:t xml:space="preserve"> with </w:t>
      </w:r>
      <w:r>
        <w:rPr/>
        <w:t>an</w:t>
      </w:r>
      <w:r>
        <w:rPr/>
        <w:t xml:space="preserve"> EAI-</w:t>
      </w:r>
      <w:r>
        <w:rPr/>
        <w:t>ready</w:t>
      </w:r>
      <w:r>
        <w:rPr/>
        <w:t xml:space="preserve"> mail server. </w:t>
      </w:r>
      <w:r>
        <w:rPr/>
        <w:t>In this pilot, an instance of the Component 2</w:t>
      </w:r>
      <w:r>
        <w:rPr/>
        <w:t xml:space="preserve"> mail server was provisioned, tested, and found to be EAI-</w:t>
      </w:r>
      <w:r>
        <w:rPr/>
        <w:t>r</w:t>
      </w:r>
      <w:r>
        <w:rPr/>
        <w:t>eady with respect to the extensions it advertise</w:t>
      </w:r>
      <w:r>
        <w:rPr/>
        <w:t>s</w:t>
      </w:r>
      <w:r>
        <w:rPr/>
        <w:t xml:space="preserve"> </w:t>
      </w:r>
      <w:r>
        <w:rPr/>
        <w:t>(</w:t>
      </w:r>
      <w:r>
        <w:rPr/>
        <w:t>per EAI-MSA-001 and EAI-MTA-001</w:t>
      </w:r>
      <w:r>
        <w:rPr/>
        <w:t>)</w:t>
      </w:r>
      <w:r>
        <w:rPr/>
        <w:t xml:space="preserve">. </w:t>
      </w:r>
      <w:r>
        <w:rPr/>
        <w:t>As such,</w:t>
      </w:r>
      <w:r>
        <w:rPr/>
        <w:t xml:space="preserve"> </w:t>
      </w:r>
      <w:r>
        <w:rPr/>
        <w:t>it</w:t>
      </w:r>
      <w:r>
        <w:rPr/>
        <w:t xml:space="preserve"> could be reused for </w:t>
      </w:r>
      <w:r>
        <w:rPr/>
        <w:t>many of these integration tests</w:t>
      </w:r>
      <w:r>
        <w:rPr/>
        <w:t xml:space="preserve">. </w:t>
      </w:r>
      <w:r>
        <w:rPr/>
        <w:t>For the simple purposes of sending and receiving EAI messages,</w:t>
      </w:r>
      <w:r>
        <w:rPr/>
        <w:t xml:space="preserve"> executors </w:t>
      </w:r>
      <w:r>
        <w:rPr/>
        <w:t>might</w:t>
      </w:r>
      <w:r>
        <w:rPr/>
        <w:t xml:space="preserve"> use </w:t>
      </w:r>
      <w:r>
        <w:rPr/>
        <w:t>Gmail or Outlook.com, both of which are EAI-ready in this regard.</w:t>
      </w:r>
    </w:p>
    <w:p>
      <w:pPr>
        <w:pStyle w:val="CatalystRFPTextBody"/>
        <w:rPr/>
      </w:pPr>
      <w:r>
        <w:rPr/>
        <w:t>A non-EAI mail server is also required</w:t>
      </w:r>
      <w:r>
        <w:rPr/>
        <w:t xml:space="preserve"> </w:t>
      </w:r>
      <w:r>
        <w:rPr/>
        <w:t xml:space="preserve">to test downgrading, correct rejection of messages, and so on. </w:t>
      </w:r>
      <w:r>
        <w:rPr/>
        <w:t>Currently, most</w:t>
      </w:r>
      <w:r>
        <w:rPr/>
        <w:t xml:space="preserve"> open source mail </w:t>
      </w:r>
      <w:r>
        <w:rPr/>
        <w:t>servers</w:t>
      </w:r>
      <w:r>
        <w:rPr/>
        <w:t xml:space="preserve"> </w:t>
      </w:r>
      <w:r>
        <w:rPr/>
        <w:t>are</w:t>
      </w:r>
      <w:r>
        <w:rPr/>
        <w:t xml:space="preserve"> no</w:t>
      </w:r>
      <w:r>
        <w:rPr/>
        <w:t xml:space="preserve">t </w:t>
      </w:r>
      <w:r>
        <w:rPr/>
        <w:t>EAI-</w:t>
      </w:r>
      <w:r>
        <w:rPr/>
        <w:t>enabled</w:t>
      </w:r>
      <w:r>
        <w:rPr/>
        <w:t xml:space="preserve"> by default, so common </w:t>
      </w:r>
      <w:r>
        <w:rPr/>
        <w:t>software packages</w:t>
      </w:r>
      <w:r>
        <w:rPr/>
        <w:t xml:space="preserve"> </w:t>
      </w:r>
      <w:r>
        <w:rPr/>
        <w:t xml:space="preserve">such as </w:t>
      </w:r>
      <w:r>
        <w:rPr/>
        <w:t xml:space="preserve">Postfix </w:t>
      </w:r>
      <w:r>
        <w:rPr/>
        <w:t>or Exim</w:t>
      </w:r>
      <w:r>
        <w:rPr/>
        <w:t xml:space="preserve"> </w:t>
      </w:r>
      <w:r>
        <w:rPr/>
        <w:t>may</w:t>
      </w:r>
      <w:r>
        <w:rPr/>
        <w:t xml:space="preserve"> be used for these purposes. </w:t>
      </w:r>
      <w:r>
        <w:rPr/>
        <w:t>However, executors should verify that the software has not been updated, or modified by an upstream provider, in a way that enables EAI features.</w:t>
      </w:r>
    </w:p>
    <w:p>
      <w:pPr>
        <w:pStyle w:val="CatalystRFPTextBody"/>
        <w:rPr/>
      </w:pPr>
      <w:r>
        <w:rPr/>
        <w:t xml:space="preserve">Note that, because </w:t>
      </w:r>
      <w:r>
        <w:rPr/>
        <w:t>many test cases require inspection of traffic sent to or from the server,</w:t>
      </w:r>
      <w:r>
        <w:rPr/>
        <w:t xml:space="preserve"> </w:t>
      </w:r>
      <w:r>
        <w:rPr/>
        <w:t>the software</w:t>
      </w:r>
      <w:r>
        <w:rPr/>
        <w:t xml:space="preserve"> must </w:t>
      </w:r>
      <w:r>
        <w:rPr/>
        <w:t>either be</w:t>
      </w:r>
      <w:r>
        <w:rPr/>
        <w:t xml:space="preserve"> configured </w:t>
      </w:r>
      <w:r>
        <w:rPr/>
        <w:t>without encryption</w:t>
      </w:r>
      <w:r>
        <w:rPr/>
        <w:t xml:space="preserve"> </w:t>
      </w:r>
      <w:r>
        <w:rPr/>
        <w:t>to allow for network traffic inspection or instrumented in such a way as to provide the same sort of visibility.</w:t>
      </w:r>
    </w:p>
    <w:p>
      <w:pPr>
        <w:pStyle w:val="CatalystRFPHeading3"/>
        <w:numPr>
          <w:ilvl w:val="2"/>
          <w:numId w:val="1"/>
        </w:numPr>
        <w:rPr/>
      </w:pPr>
      <w:r>
        <w:rPr/>
        <w:t xml:space="preserve">EAI </w:t>
      </w:r>
      <w:r>
        <w:rPr/>
        <w:t xml:space="preserve">and non-EAI </w:t>
      </w:r>
      <w:r>
        <w:rPr/>
        <w:t>Addresses</w:t>
      </w:r>
    </w:p>
    <w:p>
      <w:pPr>
        <w:pStyle w:val="CatalystRFPTextBody"/>
        <w:rPr/>
      </w:pPr>
      <w:r>
        <w:rPr/>
        <w:t>Many</w:t>
      </w:r>
      <w:r>
        <w:rPr/>
        <w:t xml:space="preserve"> test cases require</w:t>
      </w:r>
      <w:r>
        <w:rPr/>
        <w:t xml:space="preserve"> one to</w:t>
      </w:r>
      <w:r>
        <w:rPr/>
        <w:t xml:space="preserve"> </w:t>
      </w:r>
      <w:r>
        <w:rPr/>
        <w:t>send and receive messages from</w:t>
      </w:r>
      <w:r>
        <w:rPr/>
        <w:t xml:space="preserve"> a variety of email addresses, including EAI addresses. </w:t>
      </w:r>
      <w:r>
        <w:rPr/>
        <w:t xml:space="preserve">We </w:t>
      </w:r>
      <w:r>
        <w:rPr/>
        <w:t>w</w:t>
      </w:r>
      <w:r>
        <w:rPr/>
        <w:t>ere</w:t>
      </w:r>
      <w:r>
        <w:rPr/>
        <w:t xml:space="preserve"> fortunate to have access </w:t>
      </w:r>
      <w:r>
        <w:rPr/>
        <w:t>both</w:t>
      </w:r>
      <w:r>
        <w:rPr/>
        <w:t xml:space="preserve"> </w:t>
      </w:r>
      <w:r>
        <w:rPr/>
        <w:t xml:space="preserve">to </w:t>
      </w:r>
      <w:r>
        <w:rPr/>
        <w:t xml:space="preserve">pre-existing email accounts provided by the UASG for testing purposes, </w:t>
      </w:r>
      <w:r>
        <w:rPr/>
        <w:t>and to easy in-house provisioning of new addresses and DNS records</w:t>
      </w:r>
      <w:r>
        <w:rPr/>
        <w:t xml:space="preserve">. </w:t>
      </w:r>
      <w:r>
        <w:rPr/>
        <w:t>Future executors should ensure that they have access to functioning email addresses of the types specified by the Test Cases spreadsheet in the &lt;Email&gt; Use Cases worksheet.</w:t>
      </w:r>
    </w:p>
    <w:p>
      <w:pPr>
        <w:pStyle w:val="CatalystRFPHeading3"/>
        <w:numPr>
          <w:ilvl w:val="2"/>
          <w:numId w:val="1"/>
        </w:numPr>
        <w:rPr/>
      </w:pPr>
      <w:r>
        <w:rPr/>
        <w:t>IDN Domain</w:t>
      </w:r>
      <w:r>
        <w:rPr/>
        <w:t>s</w:t>
      </w:r>
    </w:p>
    <w:p>
      <w:pPr>
        <w:pStyle w:val="CatalystRFPTextBody"/>
        <w:rPr/>
      </w:pPr>
      <w:r>
        <w:rPr/>
        <w:t>Apart from email addresses, some of the</w:t>
      </w:r>
      <w:r>
        <w:rPr/>
        <w:t xml:space="preserve"> tests require integration with software </w:t>
      </w:r>
      <w:r>
        <w:rPr/>
        <w:t>addressable at an</w:t>
      </w:r>
      <w:r>
        <w:rPr/>
        <w:t xml:space="preserve"> IDN </w:t>
      </w:r>
      <w:r>
        <w:rPr/>
        <w:t>(for example</w:t>
      </w:r>
      <w:r>
        <w:rPr/>
        <w:t xml:space="preserve"> EAI-MUA-048 </w:t>
      </w:r>
      <w:r>
        <w:rPr/>
        <w:t>and EAI-MUA-071). For this, a set of IDN records must be provisioned, or a hosted service available at an IDN domain must be used.</w:t>
      </w:r>
    </w:p>
    <w:p>
      <w:pPr>
        <w:pStyle w:val="CatalystRFPHeading3"/>
        <w:numPr>
          <w:ilvl w:val="2"/>
          <w:numId w:val="1"/>
        </w:numPr>
        <w:rPr/>
      </w:pPr>
      <w:r>
        <w:rPr/>
        <w:t>Mobile Phone</w:t>
      </w:r>
      <w:r>
        <w:rPr/>
        <w:t>s and Mobile Service</w:t>
      </w:r>
      <w:r>
        <w:rPr/>
        <w:t xml:space="preserve"> </w:t>
      </w:r>
      <w:r>
        <w:rPr/>
        <w:t>Subscriptions</w:t>
      </w:r>
    </w:p>
    <w:p>
      <w:pPr>
        <w:pStyle w:val="CatalystRFPTextBody"/>
        <w:rPr/>
      </w:pPr>
      <w:r>
        <w:rPr/>
        <w:t xml:space="preserve">Online services often require </w:t>
      </w:r>
      <w:r>
        <w:rPr/>
        <w:t xml:space="preserve">an </w:t>
      </w:r>
      <w:r>
        <w:rPr/>
        <w:t xml:space="preserve">active mobile </w:t>
      </w:r>
      <w:r>
        <w:rPr/>
        <w:t>phone</w:t>
      </w:r>
      <w:r>
        <w:rPr/>
        <w:t xml:space="preserve"> </w:t>
      </w:r>
      <w:r>
        <w:rPr/>
        <w:t>subscription</w:t>
      </w:r>
      <w:r>
        <w:rPr/>
        <w:t xml:space="preserve"> </w:t>
      </w:r>
      <w:r>
        <w:rPr/>
        <w:t>when registering an account, or two provide</w:t>
      </w:r>
      <w:r>
        <w:rPr/>
        <w:t xml:space="preserve"> two-factor authentication </w:t>
      </w:r>
      <w:r>
        <w:rPr/>
        <w:t>for the account</w:t>
      </w:r>
      <w:r>
        <w:rPr/>
        <w:t xml:space="preserve">. </w:t>
      </w:r>
      <w:r>
        <w:rPr/>
        <w:t>In this pilot, both Component 1 and Component 3 required a mobile phone to either register new accounts, authenticate logins or access administrative interfaces. Moreover, one of these required a unique mobile phone number for user account. Executors should determine in advance whether the components they will be testing require mobile phone accounts, and how many.</w:t>
      </w:r>
    </w:p>
    <w:p>
      <w:pPr>
        <w:pStyle w:val="CatalystRFPHeading2"/>
        <w:numPr>
          <w:ilvl w:val="1"/>
          <w:numId w:val="1"/>
        </w:numPr>
        <w:ind w:left="0" w:right="0" w:hanging="0"/>
        <w:rPr/>
      </w:pPr>
      <w:bookmarkStart w:id="17" w:name="__RefHeading___Toc6366_3403238750"/>
      <w:bookmarkEnd w:id="17"/>
      <w:r>
        <w:rPr/>
        <w:t xml:space="preserve">Unrelated Software </w:t>
      </w:r>
      <w:r>
        <w:rPr/>
        <w:t>Issues</w:t>
      </w:r>
    </w:p>
    <w:p>
      <w:pPr>
        <w:pStyle w:val="CatalystRFPTextBody"/>
        <w:rPr/>
      </w:pPr>
      <w:r>
        <w:rPr/>
        <w:t xml:space="preserve">Occasionally, shortcomings in software used to </w:t>
      </w:r>
      <w:r>
        <w:rPr/>
        <w:t>facilitate</w:t>
      </w:r>
      <w:r>
        <w:rPr/>
        <w:t xml:space="preserve"> the testing would interfere with the evaluation. This is </w:t>
      </w:r>
      <w:r>
        <w:rPr/>
        <w:t xml:space="preserve">to be </w:t>
      </w:r>
      <w:r>
        <w:rPr/>
        <w:t xml:space="preserve">expected, but it </w:t>
      </w:r>
      <w:r>
        <w:rPr/>
        <w:t>does</w:t>
      </w:r>
      <w:r>
        <w:rPr/>
        <w:t xml:space="preserve"> mean that time </w:t>
      </w:r>
      <w:r>
        <w:rPr/>
        <w:t>must occasionally</w:t>
      </w:r>
      <w:r>
        <w:rPr/>
        <w:t xml:space="preserve"> be spent determining whether </w:t>
      </w:r>
      <w:r>
        <w:rPr/>
        <w:t>a given problem is caused by the software under test or something peripheral</w:t>
      </w:r>
      <w:r>
        <w:rPr/>
        <w:t xml:space="preserve">. </w:t>
      </w:r>
      <w:r>
        <w:rPr/>
        <w:t xml:space="preserve">Time for such troubleshooting troubleshooting has been factored into the </w:t>
      </w:r>
      <w:r>
        <w:rPr/>
        <w:fldChar w:fldCharType="begin"/>
      </w:r>
      <w:r>
        <w:rPr/>
        <w:instrText> REF __RefNumPara__1113_999307258 \h </w:instrText>
      </w:r>
      <w:r>
        <w:rPr/>
        <w:fldChar w:fldCharType="separate"/>
      </w:r>
      <w:r>
        <w:rPr/>
        <w:t>Estimates of Effort</w:t>
      </w:r>
      <w:r>
        <w:rPr/>
        <w:fldChar w:fldCharType="end"/>
      </w:r>
      <w:r>
        <w:rPr/>
        <w:t xml:space="preserve"> given later in this report.</w:t>
      </w:r>
    </w:p>
    <w:p>
      <w:pPr>
        <w:pStyle w:val="CatalystRFPHeading2"/>
        <w:numPr>
          <w:ilvl w:val="1"/>
          <w:numId w:val="1"/>
        </w:numPr>
        <w:ind w:left="0" w:right="0" w:hanging="0"/>
        <w:rPr/>
      </w:pPr>
      <w:bookmarkStart w:id="18" w:name="__RefHeading___Toc6368_3403238750"/>
      <w:bookmarkEnd w:id="18"/>
      <w:r>
        <w:rPr/>
        <w:t xml:space="preserve">Partial </w:t>
      </w:r>
      <w:r>
        <w:rPr/>
        <w:t>Test</w:t>
      </w:r>
      <w:r>
        <w:rPr/>
        <w:t xml:space="preserve"> </w:t>
      </w:r>
      <w:r>
        <w:rPr/>
        <w:t>Execution</w:t>
      </w:r>
    </w:p>
    <w:p>
      <w:pPr>
        <w:pStyle w:val="CatalystRFPTextBody"/>
        <w:rPr/>
      </w:pPr>
      <w:r>
        <w:rPr/>
        <w:t xml:space="preserve">The </w:t>
      </w:r>
      <w:r>
        <w:rPr/>
        <w:t xml:space="preserve">attached </w:t>
      </w:r>
      <w:r>
        <w:rPr/>
        <w:t xml:space="preserve">test </w:t>
      </w:r>
      <w:r>
        <w:rPr/>
        <w:t>criteria</w:t>
      </w:r>
      <w:r>
        <w:rPr/>
        <w:t xml:space="preserve"> </w:t>
      </w:r>
      <w:r>
        <w:rPr/>
        <w:t xml:space="preserve">are very thorough in that they require tests to be repeated for all possible address types specified in the &lt;Email&gt; Use Cases worksheet. This includes non-EAI addresses, which have long been been widely-supported. Although these scenarios </w:t>
      </w:r>
      <w:r>
        <w:rPr>
          <w:i/>
          <w:iCs/>
        </w:rPr>
        <w:t>were</w:t>
      </w:r>
      <w:r>
        <w:rPr/>
        <w:t xml:space="preserve"> tested during the pilot in order to establish the baseline behaviour of the software under test, future executors may wish to skip these scenarios to save time. The same can be said for the ASCII-only scenarios in &lt;Domain&gt; and &lt;Unicode&gt; Use Cases worksheets.</w:t>
      </w:r>
    </w:p>
    <w:p>
      <w:pPr>
        <w:pStyle w:val="CatalystRFPTextBody"/>
        <w:rPr/>
      </w:pPr>
      <w:r>
        <w:rPr/>
        <w:t xml:space="preserve">The tests have also been </w:t>
      </w:r>
      <w:r>
        <w:rPr/>
        <w:t>classified</w:t>
      </w:r>
      <w:r>
        <w:rPr/>
        <w:t xml:space="preserve"> according to the two phases of phases of EAI Readiness, where </w:t>
      </w:r>
      <w:r>
        <w:rPr/>
        <w:t>P</w:t>
      </w:r>
      <w:r>
        <w:rPr/>
        <w:t xml:space="preserve">hase 1 involves sending </w:t>
      </w:r>
      <w:r>
        <w:rPr/>
        <w:t xml:space="preserve">to and receiving from EAI addresses </w:t>
      </w:r>
      <w:r>
        <w:rPr/>
        <w:t xml:space="preserve">while </w:t>
      </w:r>
      <w:r>
        <w:rPr/>
        <w:t>P</w:t>
      </w:r>
      <w:r>
        <w:rPr/>
        <w:t xml:space="preserve">hase 2 involves hosting EAI addresses. Executors may wish to </w:t>
      </w:r>
      <w:r>
        <w:rPr/>
        <w:t>skip</w:t>
      </w:r>
      <w:r>
        <w:rPr/>
        <w:t xml:space="preserve"> </w:t>
      </w:r>
      <w:r>
        <w:rPr/>
        <w:t>tests for the second of these</w:t>
      </w:r>
      <w:r>
        <w:rPr/>
        <w:t xml:space="preserve"> phases.</w:t>
      </w:r>
    </w:p>
    <w:p>
      <w:pPr>
        <w:pStyle w:val="CatalystRFPHeading1"/>
        <w:numPr>
          <w:ilvl w:val="0"/>
          <w:numId w:val="1"/>
        </w:numPr>
        <w:ind w:left="567" w:right="0" w:hanging="567"/>
        <w:rPr/>
      </w:pPr>
      <w:bookmarkStart w:id="19" w:name="__RefHeading___Toc6370_3403238750"/>
      <w:bookmarkEnd w:id="19"/>
      <w:r>
        <w:rPr/>
        <w:t>Changes to the Test Suite</w:t>
      </w:r>
    </w:p>
    <w:p>
      <w:pPr>
        <w:pStyle w:val="CatalystRFPTextBody"/>
        <w:rPr/>
      </w:pPr>
      <w:r>
        <w:rPr/>
        <w:t xml:space="preserve">The test suite defined by UASG021A has been modified in a few ways during this exercise, and an updated version has been included with this report. Apart from a </w:t>
      </w:r>
      <w:r>
        <w:rPr/>
        <w:t>series</w:t>
      </w:r>
      <w:r>
        <w:rPr/>
        <w:t xml:space="preserve"> of corrections and clarifications, the biggest change is a reordering of the test cases so that they follow a more logical order with respect to the each test’s prerequisites (</w:t>
      </w:r>
      <w:r>
        <w:rPr/>
        <w:t>and</w:t>
      </w:r>
      <w:r>
        <w:rPr/>
        <w:t xml:space="preserve"> the tests renumbered accordingly) </w:t>
      </w:r>
      <w:r>
        <w:rPr/>
        <w:t>to make future evaluations more efficient</w:t>
      </w:r>
      <w:r>
        <w:rPr/>
        <w:t xml:space="preserve">. An example of this is in the Mail User Agent tests, where tests that do not rely on any external server have been moved before those that do, </w:t>
      </w:r>
      <w:r>
        <w:rPr/>
        <w:t>and those that do have been grouped based on the characteristics of the external server</w:t>
      </w:r>
      <w:r>
        <w:rPr/>
        <w:t xml:space="preserve">. A </w:t>
      </w:r>
      <w:r>
        <w:rPr/>
        <w:t>series</w:t>
      </w:r>
      <w:r>
        <w:rPr/>
        <w:t xml:space="preserve"> of redundant test cases have also been </w:t>
      </w:r>
      <w:r>
        <w:rPr/>
        <w:t>consolidated</w:t>
      </w:r>
      <w:r>
        <w:rPr/>
        <w:t>.</w:t>
      </w:r>
    </w:p>
    <w:p>
      <w:pPr>
        <w:pStyle w:val="CatalystRFPHeading1"/>
        <w:numPr>
          <w:ilvl w:val="0"/>
          <w:numId w:val="1"/>
        </w:numPr>
        <w:ind w:left="567" w:right="0" w:hanging="567"/>
        <w:rPr/>
      </w:pPr>
      <w:bookmarkStart w:id="20" w:name="__RefHeading___Toc6372_3403238750"/>
      <w:bookmarkStart w:id="21" w:name="__RefNumPara__1113_999307258"/>
      <w:bookmarkEnd w:id="20"/>
      <w:bookmarkEnd w:id="21"/>
      <w:r>
        <w:rPr/>
        <w:t>Estimates of Effort</w:t>
      </w:r>
    </w:p>
    <w:p>
      <w:pPr>
        <w:pStyle w:val="CatalystRFPTextBody"/>
        <w:rPr/>
      </w:pPr>
      <w:r>
        <w:rPr/>
        <w:t xml:space="preserve">The first phase of this project provided tentative estimates of the effort involved in running this pilot. Having actually done so, we can </w:t>
      </w:r>
      <w:r>
        <w:rPr/>
        <w:t xml:space="preserve">now </w:t>
      </w:r>
      <w:r>
        <w:rPr/>
        <w:t xml:space="preserve">provide updated guidelines regarding the amount of </w:t>
      </w:r>
      <w:r>
        <w:rPr/>
        <w:t>effort</w:t>
      </w:r>
      <w:r>
        <w:rPr/>
        <w:t xml:space="preserve"> an evaluation may involve, depending on the type of software </w:t>
      </w:r>
      <w:r>
        <w:rPr/>
        <w:t>it aims to test:</w:t>
      </w:r>
    </w:p>
    <w:p>
      <w:pPr>
        <w:pStyle w:val="CatalystRFPTextBody"/>
        <w:numPr>
          <w:ilvl w:val="0"/>
          <w:numId w:val="9"/>
        </w:numPr>
        <w:rPr/>
      </w:pPr>
      <w:r>
        <w:rPr>
          <w:b/>
          <w:bCs/>
        </w:rPr>
        <w:t>Administrative tasks:</w:t>
      </w:r>
      <w:r>
        <w:rPr/>
        <w:t xml:space="preserve"> </w:t>
      </w:r>
      <w:r>
        <w:rPr/>
        <w:t>16</w:t>
      </w:r>
      <w:r>
        <w:rPr/>
        <w:t xml:space="preserve"> hours </w:t>
      </w:r>
      <w:r>
        <w:rPr/>
        <w:t>(applies to all categories)</w:t>
      </w:r>
    </w:p>
    <w:p>
      <w:pPr>
        <w:pStyle w:val="CatalystRFPTextBody"/>
        <w:numPr>
          <w:ilvl w:val="0"/>
          <w:numId w:val="9"/>
        </w:numPr>
        <w:rPr/>
      </w:pPr>
      <w:r>
        <w:rPr>
          <w:b/>
          <w:bCs/>
        </w:rPr>
        <w:t>Mail User Agent:</w:t>
      </w:r>
      <w:r>
        <w:rPr/>
        <w:t xml:space="preserve"> </w:t>
      </w:r>
      <w:r>
        <w:rPr/>
        <w:t>32</w:t>
      </w:r>
      <w:r>
        <w:rPr/>
        <w:t xml:space="preserve"> hours</w:t>
      </w:r>
    </w:p>
    <w:p>
      <w:pPr>
        <w:pStyle w:val="CatalystRFPTextBody"/>
        <w:numPr>
          <w:ilvl w:val="0"/>
          <w:numId w:val="9"/>
        </w:numPr>
        <w:rPr>
          <w:b/>
          <w:b/>
          <w:bCs/>
        </w:rPr>
      </w:pPr>
      <w:r>
        <w:rPr>
          <w:b/>
          <w:bCs/>
        </w:rPr>
        <w:t>Mail Submission Agent:</w:t>
      </w:r>
      <w:r>
        <w:rPr>
          <w:b w:val="false"/>
          <w:bCs w:val="false"/>
        </w:rPr>
        <w:t xml:space="preserve"> </w:t>
      </w:r>
      <w:r>
        <w:rPr>
          <w:b w:val="false"/>
          <w:bCs w:val="false"/>
        </w:rPr>
        <w:t>16</w:t>
      </w:r>
      <w:r>
        <w:rPr>
          <w:b w:val="false"/>
          <w:bCs w:val="false"/>
        </w:rPr>
        <w:t xml:space="preserve"> hours</w:t>
      </w:r>
    </w:p>
    <w:p>
      <w:pPr>
        <w:pStyle w:val="CatalystRFPTextBody"/>
        <w:numPr>
          <w:ilvl w:val="0"/>
          <w:numId w:val="9"/>
        </w:numPr>
        <w:rPr>
          <w:b/>
          <w:b/>
          <w:bCs/>
        </w:rPr>
      </w:pPr>
      <w:r>
        <w:rPr>
          <w:b/>
          <w:bCs/>
        </w:rPr>
        <w:t>Mail Transmission Agent:</w:t>
      </w:r>
      <w:r>
        <w:rPr>
          <w:b w:val="false"/>
          <w:bCs w:val="false"/>
        </w:rPr>
        <w:t xml:space="preserve"> </w:t>
      </w:r>
      <w:r>
        <w:rPr>
          <w:b w:val="false"/>
          <w:bCs w:val="false"/>
        </w:rPr>
        <w:t>16</w:t>
      </w:r>
      <w:r>
        <w:rPr>
          <w:b w:val="false"/>
          <w:bCs w:val="false"/>
        </w:rPr>
        <w:t xml:space="preserve"> hours</w:t>
      </w:r>
    </w:p>
    <w:p>
      <w:pPr>
        <w:pStyle w:val="CatalystRFPTextBody"/>
        <w:numPr>
          <w:ilvl w:val="0"/>
          <w:numId w:val="9"/>
        </w:numPr>
        <w:rPr>
          <w:b/>
          <w:b/>
          <w:bCs/>
        </w:rPr>
      </w:pPr>
      <w:r>
        <w:rPr>
          <w:b/>
          <w:bCs/>
        </w:rPr>
        <w:t>Mail Delivery Agent:</w:t>
      </w:r>
      <w:r>
        <w:rPr>
          <w:b w:val="false"/>
          <w:bCs w:val="false"/>
        </w:rPr>
        <w:t xml:space="preserve"> </w:t>
      </w:r>
      <w:r>
        <w:rPr>
          <w:b w:val="false"/>
          <w:bCs w:val="false"/>
        </w:rPr>
        <w:t>8</w:t>
      </w:r>
      <w:r>
        <w:rPr>
          <w:b w:val="false"/>
          <w:bCs w:val="false"/>
        </w:rPr>
        <w:t xml:space="preserve"> hours</w:t>
      </w:r>
    </w:p>
    <w:p>
      <w:pPr>
        <w:pStyle w:val="CatalystRFPTextBody"/>
        <w:numPr>
          <w:ilvl w:val="0"/>
          <w:numId w:val="9"/>
        </w:numPr>
        <w:rPr>
          <w:b/>
          <w:b/>
          <w:bCs/>
        </w:rPr>
      </w:pPr>
      <w:r>
        <w:rPr>
          <w:b/>
          <w:bCs/>
        </w:rPr>
        <w:t>Mail Service Provider:</w:t>
      </w:r>
      <w:r>
        <w:rPr>
          <w:b w:val="false"/>
          <w:bCs w:val="false"/>
        </w:rPr>
        <w:t xml:space="preserve"> 8 hours</w:t>
      </w:r>
    </w:p>
    <w:p>
      <w:pPr>
        <w:pStyle w:val="CatalystRFPTextBody"/>
        <w:rPr>
          <w:b/>
          <w:b/>
          <w:bCs/>
        </w:rPr>
      </w:pPr>
      <w:r>
        <w:rPr>
          <w:b w:val="false"/>
          <w:bCs w:val="false"/>
        </w:rPr>
        <w:t xml:space="preserve">As with the earlier estimates, these </w:t>
      </w:r>
      <w:r>
        <w:rPr>
          <w:b w:val="false"/>
          <w:bCs w:val="false"/>
        </w:rPr>
        <w:t>numbers</w:t>
      </w:r>
      <w:r>
        <w:rPr>
          <w:b w:val="false"/>
          <w:bCs w:val="false"/>
        </w:rPr>
        <w:t xml:space="preserve"> assume </w:t>
      </w:r>
      <w:r>
        <w:rPr>
          <w:b w:val="false"/>
          <w:bCs w:val="false"/>
        </w:rPr>
        <w:t xml:space="preserve">ready </w:t>
      </w:r>
      <w:r>
        <w:rPr>
          <w:b w:val="false"/>
          <w:bCs w:val="false"/>
        </w:rPr>
        <w:t xml:space="preserve">access to </w:t>
      </w:r>
      <w:r>
        <w:rPr>
          <w:b w:val="false"/>
          <w:bCs w:val="false"/>
        </w:rPr>
        <w:t xml:space="preserve">the </w:t>
      </w:r>
      <w:r>
        <w:rPr>
          <w:b w:val="false"/>
          <w:bCs w:val="false"/>
        </w:rPr>
        <w:t>prerequisite</w:t>
      </w:r>
      <w:r>
        <w:rPr>
          <w:b w:val="false"/>
          <w:bCs w:val="false"/>
        </w:rPr>
        <w:t>s</w:t>
      </w:r>
      <w:r>
        <w:rPr>
          <w:b w:val="false"/>
          <w:bCs w:val="false"/>
        </w:rPr>
        <w:t xml:space="preserve"> </w:t>
      </w:r>
      <w:r>
        <w:rPr>
          <w:b w:val="false"/>
          <w:bCs w:val="false"/>
        </w:rPr>
        <w:t xml:space="preserve">described in </w:t>
      </w:r>
      <w:r>
        <w:rPr>
          <w:b w:val="false"/>
          <w:bCs w:val="false"/>
        </w:rPr>
        <w:fldChar w:fldCharType="begin"/>
      </w:r>
      <w:r>
        <w:rPr>
          <w:b w:val="false"/>
          <w:bCs w:val="false"/>
        </w:rPr>
        <w:instrText> REF __RefNumPara__3402_3403238750 \h </w:instrText>
      </w:r>
      <w:r>
        <w:rPr>
          <w:b w:val="false"/>
          <w:bCs w:val="false"/>
        </w:rPr>
        <w:fldChar w:fldCharType="separate"/>
      </w:r>
      <w:r>
        <w:rPr>
          <w:b w:val="false"/>
          <w:bCs w:val="false"/>
        </w:rPr>
        <w:t>Prerequisites</w:t>
      </w:r>
      <w:r>
        <w:rPr>
          <w:b w:val="false"/>
          <w:bCs w:val="false"/>
        </w:rPr>
        <w:fldChar w:fldCharType="end"/>
      </w:r>
      <w:r>
        <w:rPr>
          <w:b w:val="false"/>
          <w:bCs w:val="false"/>
        </w:rPr>
        <w:t xml:space="preserve"> </w:t>
      </w:r>
      <w:r>
        <w:rPr>
          <w:b w:val="false"/>
          <w:bCs w:val="false"/>
        </w:rPr>
        <w:t>but</w:t>
      </w:r>
      <w:r>
        <w:rPr>
          <w:b w:val="false"/>
          <w:bCs w:val="false"/>
        </w:rPr>
        <w:t xml:space="preserve"> </w:t>
      </w:r>
      <w:r>
        <w:rPr>
          <w:b w:val="false"/>
          <w:bCs w:val="false"/>
          <w:i w:val="false"/>
          <w:iCs w:val="false"/>
        </w:rPr>
        <w:t xml:space="preserve">do </w:t>
      </w:r>
      <w:r>
        <w:rPr>
          <w:b w:val="false"/>
          <w:bCs w:val="false"/>
          <w:i/>
          <w:iCs/>
        </w:rPr>
        <w:t xml:space="preserve">not </w:t>
      </w:r>
      <w:r>
        <w:rPr>
          <w:b w:val="false"/>
          <w:bCs w:val="false"/>
          <w:i w:val="false"/>
          <w:iCs w:val="false"/>
        </w:rPr>
        <w:t>include</w:t>
      </w:r>
      <w:r>
        <w:rPr>
          <w:b w:val="false"/>
          <w:bCs w:val="false"/>
        </w:rPr>
        <w:t xml:space="preserve"> the time required to install and configure software, create DNS records, and so on; </w:t>
      </w:r>
      <w:r>
        <w:rPr>
          <w:b w:val="false"/>
          <w:bCs w:val="false"/>
        </w:rPr>
        <w:t xml:space="preserve">that time is captured within the 16 hour budget for administrative tasks, </w:t>
      </w:r>
      <w:r>
        <w:rPr>
          <w:b w:val="false"/>
          <w:bCs w:val="false"/>
        </w:rPr>
        <w:t>as well as the time required to prepare a test report.</w:t>
      </w:r>
    </w:p>
    <w:p>
      <w:pPr>
        <w:pStyle w:val="CatalystRFPHeading1"/>
        <w:numPr>
          <w:ilvl w:val="0"/>
          <w:numId w:val="1"/>
        </w:numPr>
        <w:ind w:left="567" w:right="0" w:hanging="567"/>
        <w:rPr/>
      </w:pPr>
      <w:bookmarkStart w:id="22" w:name="__RefHeading__4048_1275261973"/>
      <w:bookmarkEnd w:id="22"/>
      <w:r>
        <w:rPr/>
        <w:t xml:space="preserve">Document </w:t>
      </w:r>
      <w:r>
        <w:rPr/>
        <w:t>H</w:t>
      </w:r>
      <w:r>
        <w:rPr/>
        <w:t>istory</w:t>
      </w:r>
    </w:p>
    <w:tbl>
      <w:tblPr>
        <w:tblW w:w="9570" w:type="dxa"/>
        <w:jc w:val="left"/>
        <w:tblInd w:w="81" w:type="dxa"/>
        <w:tblBorders>
          <w:top w:val="single" w:sz="2" w:space="0" w:color="4C4C4C"/>
          <w:left w:val="single" w:sz="2" w:space="0" w:color="4C4C4C"/>
          <w:bottom w:val="single" w:sz="2" w:space="0" w:color="4C4C4C"/>
          <w:insideH w:val="single" w:sz="2" w:space="0" w:color="4C4C4C"/>
        </w:tblBorders>
        <w:tblCellMar>
          <w:top w:w="55" w:type="dxa"/>
          <w:left w:w="52" w:type="dxa"/>
          <w:bottom w:w="55" w:type="dxa"/>
          <w:right w:w="55" w:type="dxa"/>
        </w:tblCellMar>
      </w:tblPr>
      <w:tblGrid>
        <w:gridCol w:w="960"/>
        <w:gridCol w:w="1365"/>
        <w:gridCol w:w="1530"/>
        <w:gridCol w:w="5715"/>
      </w:tblGrid>
      <w:tr>
        <w:trPr>
          <w:tblHeader w:val="true"/>
          <w:cantSplit w:val="true"/>
        </w:trPr>
        <w:tc>
          <w:tcPr>
            <w:tcW w:w="960"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Version</w:t>
            </w:r>
          </w:p>
        </w:tc>
        <w:tc>
          <w:tcPr>
            <w:tcW w:w="1365"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Author</w:t>
            </w:r>
          </w:p>
        </w:tc>
        <w:tc>
          <w:tcPr>
            <w:tcW w:w="1530"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Date</w:t>
            </w:r>
          </w:p>
        </w:tc>
        <w:tc>
          <w:tcPr>
            <w:tcW w:w="5715" w:type="dxa"/>
            <w:tcBorders>
              <w:top w:val="single" w:sz="2" w:space="0" w:color="4C4C4C"/>
              <w:left w:val="single" w:sz="2" w:space="0" w:color="4C4C4C"/>
              <w:bottom w:val="single" w:sz="2" w:space="0" w:color="4C4C4C"/>
              <w:right w:val="single" w:sz="2" w:space="0" w:color="4C4C4C"/>
              <w:insideH w:val="single" w:sz="2" w:space="0" w:color="4C4C4C"/>
              <w:insideV w:val="single" w:sz="2" w:space="0" w:color="4C4C4C"/>
            </w:tcBorders>
            <w:shd w:fill="CCCCCC" w:val="clear"/>
          </w:tcPr>
          <w:p>
            <w:pPr>
              <w:pStyle w:val="CatalystRFPTablemainheader"/>
              <w:spacing w:before="113" w:after="113"/>
              <w:rPr/>
            </w:pPr>
            <w:r>
              <w:rPr/>
              <w:t>Description</w:t>
            </w:r>
          </w:p>
        </w:tc>
      </w:tr>
      <w:tr>
        <w:trPr>
          <w:cantSplit w:val="true"/>
        </w:trPr>
        <w:tc>
          <w:tcPr>
            <w:tcW w:w="960" w:type="dxa"/>
            <w:tcBorders>
              <w:left w:val="single" w:sz="2" w:space="0" w:color="4C4C4C"/>
              <w:bottom w:val="single" w:sz="2" w:space="0" w:color="4C4C4C"/>
              <w:insideH w:val="single" w:sz="2" w:space="0" w:color="4C4C4C"/>
            </w:tcBorders>
            <w:shd w:fill="E6E6E6" w:val="clear"/>
          </w:tcPr>
          <w:p>
            <w:pPr>
              <w:pStyle w:val="CatalystRFPTablecontents"/>
              <w:spacing w:lineRule="atLeast" w:line="300" w:before="0" w:after="113"/>
              <w:rPr/>
            </w:pPr>
            <w:r>
              <w:rPr/>
              <w:t>0.</w:t>
            </w:r>
            <w:r>
              <w:rPr/>
              <w:t>1</w:t>
            </w:r>
          </w:p>
        </w:tc>
        <w:tc>
          <w:tcPr>
            <w:tcW w:w="1365" w:type="dxa"/>
            <w:tcBorders>
              <w:left w:val="single" w:sz="2" w:space="0" w:color="4C4C4C"/>
              <w:bottom w:val="single" w:sz="2" w:space="0" w:color="4C4C4C"/>
              <w:insideH w:val="single" w:sz="2" w:space="0" w:color="4C4C4C"/>
            </w:tcBorders>
            <w:shd w:fill="auto" w:val="clear"/>
          </w:tcPr>
          <w:p>
            <w:pPr>
              <w:pStyle w:val="CatalystRFPTablecontents"/>
              <w:spacing w:lineRule="atLeast" w:line="300" w:before="0" w:after="113"/>
              <w:rPr/>
            </w:pPr>
            <w:r>
              <w:rPr/>
              <w:t>Evan Hanson</w:t>
            </w:r>
          </w:p>
        </w:tc>
        <w:tc>
          <w:tcPr>
            <w:tcW w:w="1530" w:type="dxa"/>
            <w:tcBorders>
              <w:left w:val="single" w:sz="2" w:space="0" w:color="4C4C4C"/>
              <w:bottom w:val="single" w:sz="2" w:space="0" w:color="4C4C4C"/>
              <w:insideH w:val="single" w:sz="2" w:space="0" w:color="4C4C4C"/>
            </w:tcBorders>
            <w:shd w:fill="auto" w:val="clear"/>
          </w:tcPr>
          <w:p>
            <w:pPr>
              <w:pStyle w:val="CatalystRFPTablecontents"/>
              <w:spacing w:before="0" w:after="113"/>
              <w:rPr/>
            </w:pPr>
            <w:r>
              <w:rPr/>
              <w:t>28 June 2019</w:t>
            </w:r>
          </w:p>
        </w:tc>
        <w:tc>
          <w:tcPr>
            <w:tcW w:w="5715"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t>Initial draft</w:t>
            </w:r>
          </w:p>
        </w:tc>
      </w:tr>
      <w:tr>
        <w:trPr>
          <w:cantSplit w:val="true"/>
        </w:trPr>
        <w:tc>
          <w:tcPr>
            <w:tcW w:w="960" w:type="dxa"/>
            <w:tcBorders>
              <w:left w:val="single" w:sz="2" w:space="0" w:color="4C4C4C"/>
              <w:bottom w:val="single" w:sz="2" w:space="0" w:color="4C4C4C"/>
              <w:insideH w:val="single" w:sz="2" w:space="0" w:color="4C4C4C"/>
            </w:tcBorders>
            <w:shd w:fill="E6E6E6" w:val="clear"/>
          </w:tcPr>
          <w:p>
            <w:pPr>
              <w:pStyle w:val="CatalystRFPTablecontents"/>
              <w:spacing w:before="0" w:after="113"/>
              <w:rPr/>
            </w:pPr>
            <w:r>
              <w:rPr/>
              <w:t>0.2</w:t>
            </w:r>
          </w:p>
        </w:tc>
        <w:tc>
          <w:tcPr>
            <w:tcW w:w="1365" w:type="dxa"/>
            <w:tcBorders>
              <w:left w:val="single" w:sz="2" w:space="0" w:color="4C4C4C"/>
              <w:bottom w:val="single" w:sz="2" w:space="0" w:color="4C4C4C"/>
              <w:insideH w:val="single" w:sz="2" w:space="0" w:color="4C4C4C"/>
            </w:tcBorders>
            <w:shd w:fill="auto" w:val="clear"/>
          </w:tcPr>
          <w:p>
            <w:pPr>
              <w:pStyle w:val="CatalystRFPTablecontents"/>
              <w:spacing w:before="0" w:after="113"/>
              <w:rPr/>
            </w:pPr>
            <w:r>
              <w:rPr/>
              <w:t>Evan Hanson</w:t>
            </w:r>
          </w:p>
        </w:tc>
        <w:tc>
          <w:tcPr>
            <w:tcW w:w="1530" w:type="dxa"/>
            <w:tcBorders>
              <w:left w:val="single" w:sz="2" w:space="0" w:color="4C4C4C"/>
              <w:bottom w:val="single" w:sz="2" w:space="0" w:color="4C4C4C"/>
              <w:insideH w:val="single" w:sz="2" w:space="0" w:color="4C4C4C"/>
            </w:tcBorders>
            <w:shd w:fill="auto" w:val="clear"/>
          </w:tcPr>
          <w:p>
            <w:pPr>
              <w:pStyle w:val="CatalystRFPTablecontents"/>
              <w:spacing w:before="0" w:after="113"/>
              <w:rPr/>
            </w:pPr>
            <w:r>
              <w:rPr/>
              <w:t>8 July 2019</w:t>
            </w:r>
          </w:p>
        </w:tc>
        <w:tc>
          <w:tcPr>
            <w:tcW w:w="5715"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t>Include compiled test results</w:t>
            </w:r>
          </w:p>
        </w:tc>
      </w:tr>
      <w:tr>
        <w:trPr>
          <w:cantSplit w:val="true"/>
        </w:trPr>
        <w:tc>
          <w:tcPr>
            <w:tcW w:w="960" w:type="dxa"/>
            <w:tcBorders>
              <w:left w:val="single" w:sz="2" w:space="0" w:color="4C4C4C"/>
              <w:bottom w:val="single" w:sz="2" w:space="0" w:color="4C4C4C"/>
              <w:insideH w:val="single" w:sz="2" w:space="0" w:color="4C4C4C"/>
            </w:tcBorders>
            <w:shd w:fill="E6E6E6" w:val="clear"/>
          </w:tcPr>
          <w:p>
            <w:pPr>
              <w:pStyle w:val="CatalystRFPTablecontents"/>
              <w:spacing w:before="0" w:after="113"/>
              <w:rPr/>
            </w:pPr>
            <w:r>
              <w:rPr/>
              <w:t>0.3</w:t>
            </w:r>
          </w:p>
        </w:tc>
        <w:tc>
          <w:tcPr>
            <w:tcW w:w="1365" w:type="dxa"/>
            <w:tcBorders>
              <w:left w:val="single" w:sz="2" w:space="0" w:color="4C4C4C"/>
              <w:bottom w:val="single" w:sz="2" w:space="0" w:color="4C4C4C"/>
              <w:insideH w:val="single" w:sz="2" w:space="0" w:color="4C4C4C"/>
            </w:tcBorders>
            <w:shd w:fill="auto" w:val="clear"/>
          </w:tcPr>
          <w:p>
            <w:pPr>
              <w:pStyle w:val="CatalystRFPTablecontents"/>
              <w:spacing w:before="0" w:after="113"/>
              <w:rPr/>
            </w:pPr>
            <w:r>
              <w:rPr/>
              <w:t>Evan Hanson</w:t>
            </w:r>
          </w:p>
        </w:tc>
        <w:tc>
          <w:tcPr>
            <w:tcW w:w="1530" w:type="dxa"/>
            <w:tcBorders>
              <w:left w:val="single" w:sz="2" w:space="0" w:color="4C4C4C"/>
              <w:bottom w:val="single" w:sz="2" w:space="0" w:color="4C4C4C"/>
              <w:insideH w:val="single" w:sz="2" w:space="0" w:color="4C4C4C"/>
            </w:tcBorders>
            <w:shd w:fill="auto" w:val="clear"/>
          </w:tcPr>
          <w:p>
            <w:pPr>
              <w:pStyle w:val="CatalystRFPTablecontents"/>
              <w:spacing w:before="0" w:after="113"/>
              <w:rPr/>
            </w:pPr>
            <w:r>
              <w:rPr/>
              <w:t>25 July 2019</w:t>
            </w:r>
          </w:p>
        </w:tc>
        <w:tc>
          <w:tcPr>
            <w:tcW w:w="5715"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t>Aggregate and anonymize test results</w:t>
            </w:r>
          </w:p>
        </w:tc>
      </w:tr>
    </w:tbl>
    <w:p>
      <w:pPr>
        <w:pStyle w:val="CatalystRFPHeading1"/>
        <w:numPr>
          <w:ilvl w:val="0"/>
          <w:numId w:val="1"/>
        </w:numPr>
        <w:ind w:left="567" w:right="0" w:hanging="567"/>
        <w:rPr/>
      </w:pPr>
      <w:bookmarkStart w:id="23" w:name="__RefHeading___Toc6462_530175337"/>
      <w:bookmarkEnd w:id="23"/>
      <w:r>
        <w:rPr/>
        <w:t>Appendices</w:t>
      </w:r>
    </w:p>
    <w:p>
      <w:pPr>
        <w:pStyle w:val="CatalystRFPHeading2"/>
        <w:numPr>
          <w:ilvl w:val="1"/>
          <w:numId w:val="1"/>
        </w:numPr>
        <w:ind w:left="0" w:right="0" w:hanging="0"/>
        <w:rPr/>
      </w:pPr>
      <w:bookmarkStart w:id="24" w:name="_toc230"/>
      <w:bookmarkStart w:id="25" w:name="__RefNumPara__2541_3473906712"/>
      <w:bookmarkStart w:id="26" w:name="__RefHeading___Toc25883_999307258"/>
      <w:bookmarkEnd w:id="24"/>
      <w:bookmarkEnd w:id="25"/>
      <w:bookmarkEnd w:id="26"/>
      <w:r>
        <w:rPr/>
        <w:t>Test Cases</w:t>
      </w:r>
    </w:p>
    <w:p>
      <w:pPr>
        <w:pStyle w:val="CatalystRFPTextBody"/>
        <w:rPr/>
      </w:pPr>
      <w:r>
        <w:rPr/>
        <w:t xml:space="preserve">The revised test cases are defined within </w:t>
      </w:r>
      <w:hyperlink w:anchor="_toc230">
        <w:r>
          <w:rPr>
            <w:rStyle w:val="InternetLink"/>
          </w:rPr>
          <w:t>UASG021B Test Cases</w:t>
        </w:r>
      </w:hyperlink>
      <w:r>
        <w:rPr/>
        <w:t xml:space="preserve"> </w:t>
      </w:r>
      <w:r>
        <w:rPr/>
        <w:t>(pending publication).</w:t>
      </w:r>
    </w:p>
    <w:p>
      <w:pPr>
        <w:pStyle w:val="CatalystRFPHeading2"/>
        <w:numPr>
          <w:ilvl w:val="1"/>
          <w:numId w:val="1"/>
        </w:numPr>
        <w:ind w:left="0" w:right="0" w:hanging="0"/>
        <w:rPr/>
      </w:pPr>
      <w:bookmarkStart w:id="27" w:name="_toc232"/>
      <w:bookmarkStart w:id="28" w:name="__RefHeading___Toc25885_999307258"/>
      <w:bookmarkEnd w:id="27"/>
      <w:bookmarkEnd w:id="28"/>
      <w:r>
        <w:rPr/>
        <w:t>Reporting Template</w:t>
      </w:r>
    </w:p>
    <w:p>
      <w:pPr>
        <w:pStyle w:val="CatalystRFPTextBody"/>
        <w:rPr/>
      </w:pPr>
      <w:r>
        <w:rPr/>
        <w:t xml:space="preserve">The template used for reporting test results is attached as </w:t>
      </w:r>
      <w:hyperlink w:anchor="_toc232">
        <w:r>
          <w:rPr>
            <w:rStyle w:val="InternetLink"/>
          </w:rPr>
          <w:t>UASG021B Reporting Template</w:t>
        </w:r>
      </w:hyperlink>
      <w:r>
        <w:rPr/>
        <w:t xml:space="preserve"> </w:t>
      </w:r>
      <w:r>
        <w:rPr/>
        <w:t>(pending publication)</w:t>
      </w:r>
      <w:r>
        <w:rPr/>
        <w:t>.</w:t>
      </w:r>
    </w:p>
    <w:p>
      <w:pPr>
        <w:pStyle w:val="CatalystRFPHeading2"/>
        <w:numPr>
          <w:ilvl w:val="1"/>
          <w:numId w:val="1"/>
        </w:numPr>
        <w:ind w:left="0" w:right="0" w:hanging="0"/>
        <w:rPr/>
      </w:pPr>
      <w:bookmarkStart w:id="29" w:name="_toc234"/>
      <w:bookmarkStart w:id="30" w:name="__RefHeading___Toc25887_999307258"/>
      <w:bookmarkEnd w:id="29"/>
      <w:bookmarkEnd w:id="30"/>
      <w:r>
        <w:rPr/>
        <w:t>Test Reports</w:t>
      </w:r>
    </w:p>
    <w:p>
      <w:pPr>
        <w:pStyle w:val="CatalystRFPTextBody"/>
        <w:rPr/>
      </w:pPr>
      <w:r>
        <w:rPr/>
        <w:t xml:space="preserve">Individual test reports for the software and services </w:t>
      </w:r>
      <w:r>
        <w:rPr>
          <w:lang w:val="en-US"/>
        </w:rPr>
        <w:t>analyzed</w:t>
      </w:r>
      <w:r>
        <w:rPr/>
        <w:t xml:space="preserve"> during this phase of the project are attached.</w:t>
      </w:r>
      <w:r>
        <w:br w:type="page"/>
      </w:r>
    </w:p>
    <w:p>
      <w:pPr>
        <w:pStyle w:val="Subtitle"/>
        <w:jc w:val="left"/>
        <w:rPr>
          <w:rFonts w:ascii="Lato" w:hAnsi="Lato"/>
          <w:b/>
          <w:b/>
          <w:bCs/>
        </w:rPr>
      </w:pPr>
      <w:r>
        <w:fldChar w:fldCharType="begin"/>
      </w:r>
      <w:r>
        <w:rPr>
          <w:b/>
          <w:bCs/>
          <w:rFonts w:ascii="Lato" w:hAnsi="Lato"/>
        </w:rPr>
        <w:instrText> TC "Test Report: Component 1" \l 1 </w:instrText>
      </w:r>
      <w:r>
        <w:rPr>
          <w:b/>
          <w:bCs/>
          <w:rFonts w:ascii="Lato" w:hAnsi="Lato"/>
        </w:rPr>
        <w:fldChar w:fldCharType="separate"/>
      </w:r>
      <w:r>
        <w:rPr>
          <w:rFonts w:ascii="Lato" w:hAnsi="Lato"/>
          <w:b/>
          <w:bCs/>
        </w:rPr>
        <w:t>Test Report: Component 1</w:t>
      </w:r>
      <w:r>
        <w:rPr>
          <w:b/>
          <w:bCs/>
          <w:rFonts w:ascii="Lato" w:hAnsi="Lato"/>
        </w:rPr>
        <w:fldChar w:fldCharType="end"/>
      </w:r>
    </w:p>
    <w:p>
      <w:pPr>
        <w:pStyle w:val="CatalystRFPHeading1"/>
        <w:numPr>
          <w:ilvl w:val="0"/>
          <w:numId w:val="16"/>
        </w:numPr>
        <w:ind w:left="567" w:right="0" w:hanging="567"/>
        <w:rPr/>
      </w:pPr>
      <w:bookmarkStart w:id="31" w:name="__RefHeading__3929_12813452591"/>
      <w:bookmarkEnd w:id="31"/>
      <w:r>
        <w:rPr/>
        <w:t>About this Document</w:t>
      </w:r>
    </w:p>
    <w:p>
      <w:pPr>
        <w:pStyle w:val="CatalystRFPTextBody"/>
        <w:rPr/>
      </w:pPr>
      <w:r>
        <w:rPr/>
        <w:t xml:space="preserve">This report </w:t>
      </w:r>
      <w:r>
        <w:rPr/>
        <w:t xml:space="preserve">describes </w:t>
      </w:r>
      <w:r>
        <w:rPr/>
        <w:t xml:space="preserve">the EAI-related behaviors of </w:t>
      </w:r>
      <w:r>
        <w:rPr/>
        <w:t xml:space="preserve">Component 1 in its capacity as a Mail User Agent (MUA). It is part of a proof-of-concept evaluation of the EAI-readiness of the email software ecosystem, the details of which can be found in </w:t>
      </w:r>
      <w:hyperlink r:id="rId13">
        <w:r>
          <w:rPr>
            <w:rStyle w:val="InternetLink"/>
          </w:rPr>
          <w:t>UASG021A</w:t>
        </w:r>
      </w:hyperlink>
      <w:r>
        <w:rPr/>
        <w:t xml:space="preserve"> (Email Address Internationalization – Discovery and Analysis).</w:t>
      </w:r>
      <w:r>
        <w:rPr/>
        <w:t xml:space="preserve"> </w:t>
      </w:r>
      <w:r>
        <w:rPr/>
        <w:t>The software has been configured and evaluated according to the test criteria and procedures described in that report for the purposes of validating the criteria and providing an estimate of effort for future evaluations.</w:t>
      </w:r>
    </w:p>
    <w:p>
      <w:pPr>
        <w:pStyle w:val="CatalystRFPHeading1"/>
        <w:numPr>
          <w:ilvl w:val="0"/>
          <w:numId w:val="16"/>
        </w:numPr>
        <w:ind w:left="567" w:right="0" w:hanging="567"/>
        <w:rPr/>
      </w:pPr>
      <w:bookmarkStart w:id="32" w:name="__RefHeading__2952_1275261973"/>
      <w:bookmarkEnd w:id="32"/>
      <w:r>
        <w:rPr/>
        <w:t xml:space="preserve">About </w:t>
      </w:r>
      <w:r>
        <w:rPr/>
        <w:t>Component 1</w:t>
      </w:r>
    </w:p>
    <w:p>
      <w:pPr>
        <w:pStyle w:val="CatalystRFPTextBody"/>
        <w:rPr/>
      </w:pPr>
      <w:r>
        <w:rPr/>
        <w:t>Component 1</w:t>
      </w:r>
      <w:r>
        <w:rPr/>
        <w:t xml:space="preserve"> is a free-to-use </w:t>
      </w:r>
      <w:r>
        <w:rPr/>
        <w:t>hosted email platform. In addition to mailbox hosting services, it provides multiple client applications including a browser-based webmail interface and a mobile application for the Android operating system, both of which were tested during this evaluation. Besides typical MUA features such as message composition and address book management, these applications also include support for sending and receiving mail through arbitrary email addresses via ESMTP, POP3 and, in the case of the mobile application, IMAP.</w:t>
      </w:r>
    </w:p>
    <w:p>
      <w:pPr>
        <w:pStyle w:val="CatalystRFPTextBody"/>
        <w:numPr>
          <w:ilvl w:val="0"/>
          <w:numId w:val="10"/>
        </w:numPr>
        <w:rPr>
          <w:b/>
          <w:b/>
          <w:bCs/>
        </w:rPr>
      </w:pPr>
      <w:r>
        <w:rPr>
          <w:b/>
          <w:bCs/>
        </w:rPr>
        <w:t>Type:</w:t>
      </w:r>
      <w:r>
        <w:rPr>
          <w:b w:val="false"/>
          <w:bCs w:val="false"/>
        </w:rPr>
        <w:t xml:space="preserve"> </w:t>
      </w:r>
      <w:r>
        <w:rPr>
          <w:b w:val="false"/>
          <w:bCs w:val="false"/>
        </w:rPr>
        <w:t>Mail User Agent (MUA)</w:t>
      </w:r>
    </w:p>
    <w:p>
      <w:pPr>
        <w:pStyle w:val="CatalystRFPTextBody"/>
        <w:numPr>
          <w:ilvl w:val="0"/>
          <w:numId w:val="10"/>
        </w:numPr>
        <w:rPr>
          <w:b/>
          <w:b/>
          <w:bCs/>
        </w:rPr>
      </w:pPr>
      <w:r>
        <w:rPr>
          <w:b/>
          <w:bCs/>
        </w:rPr>
        <w:t>Platform:</w:t>
      </w:r>
    </w:p>
    <w:p>
      <w:pPr>
        <w:pStyle w:val="CatalystRFPTextBody"/>
        <w:numPr>
          <w:ilvl w:val="1"/>
          <w:numId w:val="10"/>
        </w:numPr>
        <w:rPr>
          <w:b w:val="false"/>
          <w:b w:val="false"/>
          <w:bCs w:val="false"/>
        </w:rPr>
      </w:pPr>
      <w:r>
        <w:rPr>
          <w:b w:val="false"/>
          <w:bCs w:val="false"/>
        </w:rPr>
        <w:t>Chromium browser (version 75) on Ubuntu Linux (version 18.04)</w:t>
      </w:r>
    </w:p>
    <w:p>
      <w:pPr>
        <w:pStyle w:val="CatalystRFPTextBody"/>
        <w:numPr>
          <w:ilvl w:val="1"/>
          <w:numId w:val="10"/>
        </w:numPr>
        <w:rPr>
          <w:b/>
          <w:b/>
          <w:bCs/>
        </w:rPr>
      </w:pPr>
      <w:r>
        <w:rPr>
          <w:b w:val="false"/>
          <w:bCs w:val="false"/>
        </w:rPr>
        <w:t xml:space="preserve">Samsung </w:t>
      </w:r>
      <w:r>
        <w:rPr>
          <w:b w:val="false"/>
          <w:bCs w:val="false"/>
        </w:rPr>
        <w:t xml:space="preserve">Galaxy </w:t>
      </w:r>
      <w:r>
        <w:rPr>
          <w:b w:val="false"/>
          <w:bCs w:val="false"/>
        </w:rPr>
        <w:t>J2 running Android OS (version 5.1)</w:t>
      </w:r>
    </w:p>
    <w:p>
      <w:pPr>
        <w:pStyle w:val="CatalystRFPTextBody"/>
        <w:numPr>
          <w:ilvl w:val="1"/>
          <w:numId w:val="10"/>
        </w:numPr>
        <w:rPr>
          <w:b/>
          <w:b/>
          <w:bCs/>
        </w:rPr>
      </w:pPr>
      <w:r>
        <w:rPr>
          <w:b w:val="false"/>
          <w:bCs w:val="false"/>
        </w:rPr>
        <w:t xml:space="preserve">Samsung </w:t>
      </w:r>
      <w:r>
        <w:rPr>
          <w:b w:val="false"/>
          <w:bCs w:val="false"/>
        </w:rPr>
        <w:t xml:space="preserve">Galaxy </w:t>
      </w:r>
      <w:r>
        <w:rPr>
          <w:b w:val="false"/>
          <w:bCs w:val="false"/>
        </w:rPr>
        <w:t>S8 running Android OS (version 7.0)</w:t>
      </w:r>
    </w:p>
    <w:p>
      <w:pPr>
        <w:pStyle w:val="CatalystRFPTextBody"/>
        <w:numPr>
          <w:ilvl w:val="0"/>
          <w:numId w:val="10"/>
        </w:numPr>
        <w:rPr>
          <w:b/>
          <w:b/>
          <w:bCs/>
        </w:rPr>
      </w:pPr>
      <w:r>
        <w:rPr>
          <w:b/>
          <w:bCs/>
        </w:rPr>
        <w:t>Date:</w:t>
      </w:r>
      <w:r>
        <w:rPr>
          <w:b w:val="false"/>
          <w:bCs w:val="false"/>
        </w:rPr>
        <w:t xml:space="preserve"> </w:t>
      </w:r>
      <w:r>
        <w:rPr>
          <w:b w:val="false"/>
          <w:bCs w:val="false"/>
        </w:rPr>
        <w:t>Evaluation occurred between 28 May and 2 July 2019</w:t>
      </w:r>
    </w:p>
    <w:p>
      <w:pPr>
        <w:pStyle w:val="CatalystRFPHeading1"/>
        <w:numPr>
          <w:ilvl w:val="0"/>
          <w:numId w:val="0"/>
        </w:numPr>
        <w:spacing w:lineRule="atLeast" w:line="440"/>
        <w:ind w:left="567" w:right="0" w:hanging="567"/>
        <w:rPr/>
      </w:pPr>
      <w:r>
        <w:rPr/>
      </w:r>
      <w:r>
        <w:br w:type="page"/>
      </w:r>
    </w:p>
    <w:p>
      <w:pPr>
        <w:pStyle w:val="CatalystRFPHeading1"/>
        <w:numPr>
          <w:ilvl w:val="0"/>
          <w:numId w:val="16"/>
        </w:numPr>
        <w:ind w:left="567" w:right="0" w:hanging="567"/>
        <w:rPr/>
      </w:pPr>
      <w:bookmarkStart w:id="33" w:name="__RefHeading___Toc4354_4180556336"/>
      <w:bookmarkEnd w:id="33"/>
      <w:r>
        <w:rPr/>
        <w:t>Evaluation Results</w:t>
      </w:r>
    </w:p>
    <w:p>
      <w:pPr>
        <w:pStyle w:val="CatalystRFPHeading2"/>
        <w:numPr>
          <w:ilvl w:val="1"/>
          <w:numId w:val="16"/>
        </w:numPr>
        <w:ind w:left="0" w:right="0" w:hanging="0"/>
        <w:rPr/>
      </w:pPr>
      <w:bookmarkStart w:id="34" w:name="__RefHeading___Toc4356_4180556336"/>
      <w:bookmarkEnd w:id="34"/>
      <w:r>
        <w:rPr/>
        <w:t>Summary</w:t>
      </w:r>
    </w:p>
    <w:p>
      <w:pPr>
        <w:pStyle w:val="CatalystRFPTextBody"/>
        <w:rPr/>
      </w:pPr>
      <w:r>
        <w:rPr/>
        <w:t xml:space="preserve">This evaluation </w:t>
      </w:r>
      <w:r>
        <w:rPr/>
        <w:t>analyzed</w:t>
      </w:r>
      <w:r>
        <w:rPr/>
        <w:t xml:space="preserve"> </w:t>
      </w:r>
      <w:r>
        <w:rPr/>
        <w:t>the software</w:t>
      </w:r>
      <w:r>
        <w:rPr/>
        <w:t xml:space="preserve">’s ability to </w:t>
      </w:r>
      <w:r>
        <w:rPr/>
        <w:t xml:space="preserve">compose and read messages, </w:t>
      </w:r>
      <w:r>
        <w:rPr/>
        <w:t xml:space="preserve">send messages to and from a variety of email addresses, </w:t>
      </w:r>
      <w:r>
        <w:rPr/>
        <w:t>and interact with remote servers using SMTP, POP, and IMAP protocols</w:t>
      </w:r>
      <w:r>
        <w:rPr/>
        <w:t xml:space="preserve">. </w:t>
      </w:r>
      <w:r>
        <w:rPr/>
        <w:t>These remote servers were configured in advance. A set of email accounts were created on the platform under test using the web-based interface, then associated with two instances of the mobile application.</w:t>
      </w:r>
    </w:p>
    <w:p>
      <w:pPr>
        <w:pStyle w:val="CatalystRFPTextBody"/>
        <w:rPr/>
      </w:pPr>
      <w:r>
        <w:rPr/>
        <w:t xml:space="preserve">The two </w:t>
      </w:r>
      <w:r>
        <w:rPr/>
        <w:t xml:space="preserve">versions of the </w:t>
      </w:r>
      <w:r>
        <w:rPr/>
        <w:t xml:space="preserve">application differ </w:t>
      </w:r>
      <w:r>
        <w:rPr/>
        <w:t>only very</w:t>
      </w:r>
      <w:r>
        <w:rPr/>
        <w:t xml:space="preserve"> slightly in the features they support. In particular, the web application does not provide IMAP client functionality, so test cases EAI-MUA-04</w:t>
      </w:r>
      <w:r>
        <w:rPr/>
        <w:t>0</w:t>
      </w:r>
      <w:r>
        <w:rPr/>
        <w:t xml:space="preserve"> through EAI-MUA-06</w:t>
      </w:r>
      <w:r>
        <w:rPr/>
        <w:t>0</w:t>
      </w:r>
      <w:r>
        <w:rPr/>
        <w:t xml:space="preserve"> apply only to the </w:t>
      </w:r>
      <w:r>
        <w:rPr/>
        <w:t>mobile</w:t>
      </w:r>
      <w:r>
        <w:rPr/>
        <w:t xml:space="preserve"> application. </w:t>
      </w:r>
      <w:r>
        <w:rPr/>
        <w:t>Otherwise, in the test results below, a passing test indicates that both the web application and mobile application worked correctly, while other results mean that one or both did not work correctly as noted.</w:t>
      </w:r>
    </w:p>
    <w:p>
      <w:pPr>
        <w:pStyle w:val="CatalystRFPTextBody"/>
        <w:rPr/>
      </w:pPr>
      <w:r>
        <w:rPr/>
        <w:t>The software</w:t>
      </w:r>
      <w:r>
        <w:rPr/>
        <w:t>’s EAI-related behavior</w:t>
      </w:r>
      <w:r>
        <w:rPr/>
        <w:t xml:space="preserve"> </w:t>
      </w:r>
      <w:r>
        <w:rPr/>
        <w:t xml:space="preserve">can be </w:t>
      </w:r>
      <w:r>
        <w:rPr/>
        <w:t>divided into</w:t>
      </w:r>
      <w:r>
        <w:rPr/>
        <w:t xml:space="preserve"> two parts. The first </w:t>
      </w:r>
      <w:r>
        <w:rPr/>
        <w:t>part involves</w:t>
      </w:r>
      <w:r>
        <w:rPr/>
        <w:t xml:space="preserve"> </w:t>
      </w:r>
      <w:r>
        <w:rPr/>
        <w:t xml:space="preserve">sending and receiving </w:t>
      </w:r>
      <w:r>
        <w:rPr/>
        <w:t xml:space="preserve">messages and managing contacts </w:t>
      </w:r>
      <w:r>
        <w:rPr>
          <w:i w:val="false"/>
          <w:iCs w:val="false"/>
        </w:rPr>
        <w:t>within</w:t>
      </w:r>
      <w:r>
        <w:rPr/>
        <w:t xml:space="preserve"> </w:t>
      </w:r>
      <w:r>
        <w:rPr/>
        <w:t>a user’s</w:t>
      </w:r>
      <w:r>
        <w:rPr/>
        <w:t xml:space="preserve"> account </w:t>
      </w:r>
      <w:r>
        <w:rPr/>
        <w:t>hosted on the platform under test</w:t>
      </w:r>
      <w:r>
        <w:rPr/>
        <w:t xml:space="preserve">. </w:t>
      </w:r>
      <w:r>
        <w:rPr/>
        <w:t>For</w:t>
      </w:r>
      <w:r>
        <w:rPr/>
        <w:t xml:space="preserve"> </w:t>
      </w:r>
      <w:r>
        <w:rPr/>
        <w:t>these tasks</w:t>
      </w:r>
      <w:r>
        <w:rPr/>
        <w:t xml:space="preserve">, the software performed well; the majority of EAI inputs </w:t>
      </w:r>
      <w:r>
        <w:rPr/>
        <w:t xml:space="preserve">were </w:t>
      </w:r>
      <w:r>
        <w:rPr/>
        <w:t xml:space="preserve">handled correctly and issues only </w:t>
      </w:r>
      <w:r>
        <w:rPr/>
        <w:t>appeared</w:t>
      </w:r>
      <w:r>
        <w:rPr/>
        <w:t xml:space="preserve"> when domain label separators other than U+002E FULL STOP </w:t>
      </w:r>
      <w:r>
        <w:rPr/>
        <w:t xml:space="preserve">were used. The second part involves the software’s integration with </w:t>
      </w:r>
      <w:r>
        <w:rPr>
          <w:i/>
          <w:iCs/>
        </w:rPr>
        <w:t>other</w:t>
      </w:r>
      <w:r>
        <w:rPr/>
        <w:t xml:space="preserve"> email accounts via IMAP, POP, and SMTP connections. For these, the software performed less well; IDNs could not be used in general unless entered in A-label form, and its IMAP and POP client functionality did not support the features necessary for EAI message retrieval. Because of this, a large set of test cases could not be exercised.</w:t>
      </w:r>
    </w:p>
    <w:p>
      <w:pPr>
        <w:pStyle w:val="CatalystRFPHeading2"/>
        <w:numPr>
          <w:ilvl w:val="1"/>
          <w:numId w:val="16"/>
        </w:numPr>
        <w:ind w:left="0" w:right="0" w:hanging="0"/>
        <w:rPr/>
      </w:pPr>
      <w:bookmarkStart w:id="35" w:name="__RefHeading___Toc4358_4180556336"/>
      <w:bookmarkEnd w:id="35"/>
      <w:r>
        <w:rPr/>
        <w:t>Test Results</w:t>
      </w:r>
    </w:p>
    <w:p>
      <w:pPr>
        <w:pStyle w:val="CatalystRFPTextBody"/>
        <w:numPr>
          <w:ilvl w:val="0"/>
          <w:numId w:val="11"/>
        </w:numPr>
        <w:rPr>
          <w:b/>
          <w:b/>
          <w:bCs/>
        </w:rPr>
      </w:pPr>
      <w:r>
        <w:rPr>
          <w:b/>
          <w:bCs/>
        </w:rPr>
        <w:t>T</w:t>
      </w:r>
      <w:r>
        <w:rPr>
          <w:b/>
          <w:bCs/>
        </w:rPr>
        <w:t>otal Tests:</w:t>
      </w:r>
      <w:r>
        <w:rPr>
          <w:b w:val="false"/>
          <w:bCs w:val="false"/>
        </w:rPr>
        <w:t xml:space="preserve"> 72</w:t>
      </w:r>
    </w:p>
    <w:p>
      <w:pPr>
        <w:pStyle w:val="CatalystRFPTextBody"/>
        <w:numPr>
          <w:ilvl w:val="0"/>
          <w:numId w:val="11"/>
        </w:numPr>
        <w:rPr>
          <w:b/>
          <w:b/>
          <w:bCs/>
        </w:rPr>
      </w:pPr>
      <w:r>
        <w:rPr>
          <w:b/>
          <w:bCs/>
        </w:rPr>
        <w:t>Passing</w:t>
      </w:r>
      <w:r>
        <w:rPr>
          <w:b/>
          <w:bCs/>
        </w:rPr>
        <w:t xml:space="preserve"> </w:t>
      </w:r>
      <w:r>
        <w:rPr>
          <w:b/>
          <w:bCs/>
        </w:rPr>
        <w:t>Tests</w:t>
      </w:r>
      <w:r>
        <w:rPr>
          <w:b/>
          <w:bCs/>
        </w:rPr>
        <w:t>:</w:t>
      </w:r>
      <w:r>
        <w:rPr>
          <w:b w:val="false"/>
          <w:bCs w:val="false"/>
        </w:rPr>
        <w:t xml:space="preserve"> </w:t>
      </w:r>
      <w:r>
        <w:rPr>
          <w:b w:val="false"/>
          <w:bCs w:val="false"/>
        </w:rPr>
        <w:t>39</w:t>
      </w:r>
    </w:p>
    <w:p>
      <w:pPr>
        <w:pStyle w:val="CatalystRFPTextBody"/>
        <w:numPr>
          <w:ilvl w:val="0"/>
          <w:numId w:val="11"/>
        </w:numPr>
        <w:rPr>
          <w:b/>
          <w:b/>
          <w:bCs/>
        </w:rPr>
      </w:pPr>
      <w:r>
        <w:rPr>
          <w:b/>
          <w:bCs/>
        </w:rPr>
        <w:t>Skipped Tests:</w:t>
      </w:r>
      <w:r>
        <w:rPr>
          <w:b w:val="false"/>
          <w:bCs w:val="false"/>
        </w:rPr>
        <w:t xml:space="preserve"> </w:t>
      </w:r>
      <w:r>
        <w:rPr>
          <w:b w:val="false"/>
          <w:bCs w:val="false"/>
        </w:rPr>
        <w:t>25</w:t>
      </w:r>
    </w:p>
    <w:p>
      <w:pPr>
        <w:pStyle w:val="CatalystRFPTextBody"/>
        <w:numPr>
          <w:ilvl w:val="0"/>
          <w:numId w:val="11"/>
        </w:numPr>
        <w:rPr/>
      </w:pPr>
      <w:r>
        <w:rPr>
          <w:b/>
          <w:bCs/>
        </w:rPr>
        <w:t>Readiness Status:</w:t>
      </w:r>
      <w:r>
        <w:rPr/>
        <w:t xml:space="preserve"> </w:t>
      </w:r>
      <w:r>
        <w:rPr/>
        <w:t>N/A</w:t>
      </w:r>
    </w:p>
    <w:p>
      <w:pPr>
        <w:pStyle w:val="CatalystRFPHeading2"/>
        <w:numPr>
          <w:ilvl w:val="1"/>
          <w:numId w:val="16"/>
        </w:numPr>
        <w:ind w:left="0" w:right="0" w:hanging="0"/>
        <w:rPr/>
      </w:pPr>
      <w:bookmarkStart w:id="36" w:name="__RefHeading___Toc4360_4180556336"/>
      <w:bookmarkEnd w:id="36"/>
      <w:r>
        <w:rPr/>
        <w:t>Test Cases</w:t>
      </w:r>
    </w:p>
    <w:tbl>
      <w:tblPr>
        <w:tblW w:w="9570" w:type="dxa"/>
        <w:jc w:val="left"/>
        <w:tblInd w:w="81" w:type="dxa"/>
        <w:tblBorders>
          <w:top w:val="single" w:sz="2" w:space="0" w:color="4C4C4C"/>
          <w:left w:val="single" w:sz="2" w:space="0" w:color="4C4C4C"/>
          <w:bottom w:val="single" w:sz="2" w:space="0" w:color="4C4C4C"/>
          <w:insideH w:val="single" w:sz="2" w:space="0" w:color="4C4C4C"/>
        </w:tblBorders>
        <w:tblCellMar>
          <w:top w:w="55" w:type="dxa"/>
          <w:left w:w="52" w:type="dxa"/>
          <w:bottom w:w="55" w:type="dxa"/>
          <w:right w:w="55" w:type="dxa"/>
        </w:tblCellMar>
      </w:tblPr>
      <w:tblGrid>
        <w:gridCol w:w="1527"/>
        <w:gridCol w:w="2837"/>
        <w:gridCol w:w="968"/>
        <w:gridCol w:w="4238"/>
      </w:tblGrid>
      <w:tr>
        <w:trPr>
          <w:tblHeader w:val="true"/>
          <w:cantSplit w:val="true"/>
        </w:trPr>
        <w:tc>
          <w:tcPr>
            <w:tcW w:w="1527"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Test ID</w:t>
            </w:r>
          </w:p>
        </w:tc>
        <w:tc>
          <w:tcPr>
            <w:tcW w:w="2837"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Summary</w:t>
            </w:r>
          </w:p>
        </w:tc>
        <w:tc>
          <w:tcPr>
            <w:tcW w:w="968"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Status</w:t>
            </w:r>
          </w:p>
        </w:tc>
        <w:tc>
          <w:tcPr>
            <w:tcW w:w="4238" w:type="dxa"/>
            <w:tcBorders>
              <w:top w:val="single" w:sz="2" w:space="0" w:color="4C4C4C"/>
              <w:left w:val="single" w:sz="2" w:space="0" w:color="4C4C4C"/>
              <w:bottom w:val="single" w:sz="2" w:space="0" w:color="4C4C4C"/>
              <w:right w:val="single" w:sz="2" w:space="0" w:color="4C4C4C"/>
              <w:insideH w:val="single" w:sz="2" w:space="0" w:color="4C4C4C"/>
              <w:insideV w:val="single" w:sz="2" w:space="0" w:color="4C4C4C"/>
            </w:tcBorders>
            <w:shd w:fill="CCCCCC" w:val="clear"/>
          </w:tcPr>
          <w:p>
            <w:pPr>
              <w:pStyle w:val="CatalystRFPTablemainheader"/>
              <w:spacing w:before="113" w:after="113"/>
              <w:rPr/>
            </w:pPr>
            <w:r>
              <w:rPr/>
              <w:t>Notes</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EAI-MUA-001</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EAI values can be saved to address book</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EAI-MUA-002</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EAI values in address book display address local part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Addresses are displayed as entered.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EAI-MUA-003</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EAI values in address book display address domain part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Addresses are displayed as entered.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EAI-MUA-004</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EAI values can be recalled from address book</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EAI-MUA-005</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EAI values recalled from address book display address local part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Addresses are displayed as entered.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EAI-MUA-006</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EAI values recalled from address book display address domain part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Addresses are displayed as entered.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EAI-MUA-007</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Address book search supports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EAI-MUA-008</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Originator fields accept EAI values</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tabs>
                <w:tab w:val="clear" w:pos="408"/>
              </w:tabs>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The “Reply-to” header value is not configurable, so only the “From” header was tested.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EAI-MUA-009</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Originator fields display EAI address local part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The “Reply-to” header value is not configurable, so only the “From” header was tested. Addresses are displayed as entered.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EAI-MUA-010</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Originator fields display EAI address domain part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tabs>
                <w:tab w:val="clear" w:pos="408"/>
              </w:tabs>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The “Reply-to” header value is not configurable, so only the “From” header was tested. Addresses are displayed as entered.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EAI-MUA-011</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Destination address fields accept EAI values</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Addresses containing label separators other than FULL STOP are not supported, with an error message displayed.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EAI-MUA-012</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Destination address fields display EAI address local part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tabs>
                <w:tab w:val="clear" w:pos="408"/>
              </w:tabs>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Addresses are displayed as entered.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EAI-MUA-013</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Destination address fields display EAI address domain part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Addresses are displayed as entered.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EAI-MUA-014</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Unstructured header fields accept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EAI-MUA-015</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EAI mailto link targets are supported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EAI-MUA-016</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text linkifies EAI values</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sz w:val="20"/>
                <w:szCs w:val="20"/>
              </w:rPr>
            </w:pPr>
            <w:r>
              <w:rPr>
                <w:rFonts w:ascii="Lato" w:hAnsi="Lato"/>
                <w:b w:val="false"/>
                <w:i w:val="false"/>
                <w:strike w:val="false"/>
                <w:dstrike w:val="false"/>
                <w:outline w:val="false"/>
                <w:shadow w:val="false"/>
                <w:sz w:val="20"/>
                <w:szCs w:val="20"/>
                <w:u w:val="none"/>
                <w:em w:val="none"/>
              </w:rPr>
              <w:t>Software</w:t>
            </w:r>
            <w:r>
              <w:rPr>
                <w:rFonts w:ascii="Lato" w:hAnsi="Lato"/>
                <w:b w:val="false"/>
                <w:i w:val="false"/>
                <w:strike w:val="false"/>
                <w:dstrike w:val="false"/>
                <w:outline w:val="false"/>
                <w:shadow w:val="false"/>
                <w:sz w:val="20"/>
                <w:szCs w:val="20"/>
                <w:u w:val="none"/>
                <w:em w:val="none"/>
              </w:rPr>
              <w:t xml:space="preserve"> does not linkify email addresses in message bodies.</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EAI-MUA-01</w:t>
            </w:r>
            <w:r>
              <w:rPr>
                <w:rFonts w:ascii="Lato" w:hAnsi="Lato"/>
                <w:b/>
                <w:bCs/>
                <w:sz w:val="20"/>
                <w:szCs w:val="20"/>
              </w:rPr>
              <w:t>7</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SMTP server address can be specified by A-label</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EAI-MUA-018</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SMTP server address can be specified by U-label</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Web application’s</w:t>
            </w:r>
            <w:r>
              <w:rPr>
                <w:rFonts w:ascii="Lato" w:hAnsi="Lato"/>
                <w:sz w:val="20"/>
                <w:szCs w:val="20"/>
              </w:rPr>
              <w:t xml:space="preserve"> “Send mail as” feature </w:t>
            </w:r>
            <w:r>
              <w:rPr>
                <w:rFonts w:ascii="Lato" w:hAnsi="Lato"/>
                <w:sz w:val="20"/>
                <w:szCs w:val="20"/>
              </w:rPr>
              <w:t>worked correctly. Android SMTP configuration did not accept IDNs.</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EAI-MUA-019</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SMTP server address displayed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Web application’s</w:t>
            </w:r>
            <w:r>
              <w:rPr>
                <w:rFonts w:ascii="Lato" w:hAnsi="Lato"/>
                <w:sz w:val="20"/>
                <w:szCs w:val="20"/>
              </w:rPr>
              <w:t xml:space="preserve"> “Send mail as” feature </w:t>
            </w:r>
            <w:r>
              <w:rPr>
                <w:rFonts w:ascii="Lato" w:hAnsi="Lato"/>
                <w:sz w:val="20"/>
                <w:szCs w:val="20"/>
              </w:rPr>
              <w:t>worked correctly. Android SMTP configuration does not accept IDNs.</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EAI-MUA-020</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Connection to SMTP server at IDN address is supported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sz w:val="20"/>
                <w:szCs w:val="20"/>
              </w:rPr>
            </w:pPr>
            <w:r>
              <w:rPr>
                <w:rFonts w:ascii="Lato" w:hAnsi="Lato"/>
                <w:b w:val="false"/>
                <w:i w:val="false"/>
                <w:strike w:val="false"/>
                <w:dstrike w:val="false"/>
                <w:outline w:val="false"/>
                <w:shadow w:val="false"/>
                <w:sz w:val="20"/>
                <w:szCs w:val="20"/>
                <w:u w:val="none"/>
                <w:em w:val="none"/>
              </w:rPr>
              <w:t xml:space="preserve">Software does not </w:t>
            </w:r>
            <w:r>
              <w:rPr>
                <w:rFonts w:ascii="Lato" w:hAnsi="Lato"/>
                <w:b w:val="false"/>
                <w:i w:val="false"/>
                <w:strike w:val="false"/>
                <w:dstrike w:val="false"/>
                <w:outline w:val="false"/>
                <w:shadow w:val="false"/>
                <w:sz w:val="20"/>
                <w:szCs w:val="20"/>
                <w:u w:val="none"/>
                <w:em w:val="none"/>
              </w:rPr>
              <w:t>support IDNs.</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EAI-MUA-021</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Username can be provided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EAI-MUA-022</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Username displayed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EAI-MUA-023</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EAI originator header values are transmitted to SMTPUTF8 server</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EAI-MUA-024</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EAI destination address header values are transmitted to SMTPUTF8 server</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EAI-MUA-025</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Unicode unstructured header values are transmitted to SMTPUTF8 server</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EAI-MUA-026</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Unicode header values are not encoded with MIME encoded-words</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EAI-MUA-027</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EAI originator header values are transmitted to non-SMTPUTF8 server as ASCII</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EAI-MUA-028</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EAI destination address header values are transmitted to non-SMTPUTF8 server as ASCII</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EAI-MUA-029</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Unicode unstructured header values are transmitted to non-SMTPUTF8 server as ASCII</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EAI-MUA-030</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Message-ID of EAI message submitted to non-SMTPUTF8 server is ASCII-only</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EAI-MUA-031</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SMTPUTF8 parameter is provided with MAIL command for EAI messages</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EAI-MUA-032</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SMTPUTF8 parameter is not provided with MAIL command for non-EAI messages</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EAI-MUA-033</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Multipart MIME message parts of type message/global are recognized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EAI-MUA-034</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Single-part MIME messages of type message/global are recognized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EAI-MUA-035</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Multipart MIME message parts of type message/global are sent to non-SMTPUTF8 servers with a valid content-transfer-encoding</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The software does not allow customisation of the content type or disposition.</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EAI-MUA-036</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Single-part MIME messages of type message/global are sent to non-SMTPUTF8 servers with a valid content-transfer-encoding</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The software does not allow customisation of the content type or disposition.</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EAI-MUA-037</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Local part of EAI values in atoms are displayed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EAI-MUA-038</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Domain part of EAI values in atoms are displayed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EAI-MUA-039</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lines longer than 998 characters are limited to 998 octets</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EAI-MUA-040</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Server address can be specified by A-label</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EAI-MUA-041</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Server address can be specified by U-label</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 xml:space="preserve">Software </w:t>
            </w:r>
            <w:r>
              <w:rPr>
                <w:rFonts w:ascii="Lato" w:hAnsi="Lato"/>
                <w:sz w:val="20"/>
                <w:szCs w:val="20"/>
              </w:rPr>
              <w:t>does not accept IDNs.</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EAI-MUA-042</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Server address displayed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sz w:val="20"/>
                <w:szCs w:val="20"/>
              </w:rPr>
            </w:pPr>
            <w:r>
              <w:rPr>
                <w:rFonts w:ascii="Lato" w:hAnsi="Lato"/>
                <w:b w:val="false"/>
                <w:i w:val="false"/>
                <w:strike w:val="false"/>
                <w:dstrike w:val="false"/>
                <w:outline w:val="false"/>
                <w:shadow w:val="false"/>
                <w:sz w:val="20"/>
                <w:szCs w:val="20"/>
                <w:u w:val="none"/>
                <w:em w:val="none"/>
              </w:rPr>
              <w:t>Software</w:t>
            </w:r>
            <w:r>
              <w:rPr>
                <w:rFonts w:ascii="Lato" w:hAnsi="Lato"/>
                <w:b w:val="false"/>
                <w:i w:val="false"/>
                <w:strike w:val="false"/>
                <w:dstrike w:val="false"/>
                <w:outline w:val="false"/>
                <w:shadow w:val="false"/>
                <w:sz w:val="20"/>
                <w:szCs w:val="20"/>
                <w:u w:val="none"/>
                <w:em w:val="none"/>
              </w:rPr>
              <w:t xml:space="preserve"> does not </w:t>
            </w:r>
            <w:r>
              <w:rPr>
                <w:rFonts w:ascii="Lato" w:hAnsi="Lato"/>
                <w:b w:val="false"/>
                <w:i w:val="false"/>
                <w:strike w:val="false"/>
                <w:dstrike w:val="false"/>
                <w:outline w:val="false"/>
                <w:shadow w:val="false"/>
                <w:sz w:val="20"/>
                <w:szCs w:val="20"/>
                <w:u w:val="none"/>
                <w:em w:val="none"/>
              </w:rPr>
              <w:t>support IDNs.</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EAI-MUA-043</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Connection to IMAP server at IDN address is supported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sz w:val="20"/>
                <w:szCs w:val="20"/>
              </w:rPr>
            </w:pPr>
            <w:r>
              <w:rPr>
                <w:rFonts w:ascii="Lato" w:hAnsi="Lato"/>
                <w:b w:val="false"/>
                <w:i w:val="false"/>
                <w:strike w:val="false"/>
                <w:dstrike w:val="false"/>
                <w:outline w:val="false"/>
                <w:shadow w:val="false"/>
                <w:sz w:val="20"/>
                <w:szCs w:val="20"/>
                <w:u w:val="none"/>
                <w:em w:val="none"/>
              </w:rPr>
              <w:t>Software</w:t>
            </w:r>
            <w:r>
              <w:rPr>
                <w:rFonts w:ascii="Lato" w:hAnsi="Lato"/>
                <w:b w:val="false"/>
                <w:i w:val="false"/>
                <w:strike w:val="false"/>
                <w:dstrike w:val="false"/>
                <w:outline w:val="false"/>
                <w:shadow w:val="false"/>
                <w:sz w:val="20"/>
                <w:szCs w:val="20"/>
                <w:u w:val="none"/>
                <w:em w:val="none"/>
              </w:rPr>
              <w:t xml:space="preserve"> does not </w:t>
            </w:r>
            <w:r>
              <w:rPr>
                <w:rFonts w:ascii="Lato" w:hAnsi="Lato"/>
                <w:b w:val="false"/>
                <w:i w:val="false"/>
                <w:strike w:val="false"/>
                <w:dstrike w:val="false"/>
                <w:outline w:val="false"/>
                <w:shadow w:val="false"/>
                <w:sz w:val="20"/>
                <w:szCs w:val="20"/>
                <w:u w:val="none"/>
                <w:em w:val="none"/>
              </w:rPr>
              <w:t>support IDNs.</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EAI-MUA-044</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Username can be provided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EAI-MUA-045</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Username displayed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EAI-MUA-046</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AUTHENTICATE command is used for authentication</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The LOGIN command is used, rather than AUTHENTICATE.</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EAI-MUA-047</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 xml:space="preserve">UTF8=ACCEPT is </w:t>
            </w:r>
            <w:r>
              <w:rPr>
                <w:rFonts w:ascii="Lato" w:hAnsi="Lato"/>
                <w:sz w:val="20"/>
                <w:szCs w:val="20"/>
              </w:rPr>
              <w:t>enabled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 xml:space="preserve">The UTF8=ACCEPT </w:t>
            </w:r>
            <w:r>
              <w:rPr>
                <w:rFonts w:ascii="Lato" w:hAnsi="Lato"/>
                <w:sz w:val="20"/>
                <w:szCs w:val="20"/>
              </w:rPr>
              <w:t>option is never enabled.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EAI-MUA-048</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SEARCH command does not specify charset</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EAI-MUA-049</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APPEND command uses UTF8 extension</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EAI-MUA-050</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Mailbox with Unicode name can be created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EAI-MUA-051</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Unicode mailbox names can be accessed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EAI-MUA-052</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Unicode mailbox names display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EAI-MUA-053</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Messages in mailbox with Unicode name can be retrieved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EAI-MUA-054</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originator header is accessible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EAI-MUA-055</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destination address header is accessible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EAI-MUA-056</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Unicode value in unstructured text header is accessible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EAI-MUA-057</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Messages can be stored in mailbox with Unicode name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EAI-MUA-058</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originator header can be stored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EAI-MUA-059</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destination address header can be stored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EAI-MUA-060</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Unicode value in unstructured text header can be stored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IMAP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EAI-MUA-061</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Server address can be specified by A-label</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EAI-MUA-062</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Server address can be specified by U-label</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EAI-MUA-063</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Server address displayed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Software does not allow server address to be specified by U-label.</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EAI-MUA-064</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Connection to POP server at IDN address is supported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sz w:val="20"/>
                <w:szCs w:val="20"/>
              </w:rPr>
            </w:pPr>
            <w:r>
              <w:rPr>
                <w:rFonts w:ascii="Lato" w:hAnsi="Lato"/>
                <w:b w:val="false"/>
                <w:i w:val="false"/>
                <w:strike w:val="false"/>
                <w:dstrike w:val="false"/>
                <w:outline w:val="false"/>
                <w:shadow w:val="false"/>
                <w:sz w:val="20"/>
                <w:szCs w:val="20"/>
                <w:u w:val="none"/>
                <w:em w:val="none"/>
              </w:rPr>
              <w:t xml:space="preserve">Software does not </w:t>
            </w:r>
            <w:r>
              <w:rPr>
                <w:rFonts w:ascii="Lato" w:hAnsi="Lato"/>
                <w:b w:val="false"/>
                <w:i w:val="false"/>
                <w:strike w:val="false"/>
                <w:dstrike w:val="false"/>
                <w:outline w:val="false"/>
                <w:shadow w:val="false"/>
                <w:sz w:val="20"/>
                <w:szCs w:val="20"/>
                <w:u w:val="none"/>
                <w:em w:val="none"/>
              </w:rPr>
              <w:t>support IDNs.</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EAI-MUA-065</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Username can be provided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EAI-MUA-066</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Username displayed as Unicode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EAI-MUA-067</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Connection to server with Unicode username is supported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EAI-MUA-068</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UTF8 mode is enabled</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EAI-MUA-069</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STLS command is not used in UTF8 mode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POP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EAI-MUA-070</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originator header is accessible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POP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EAI-MUA-071</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destination address header is accessible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POP client does not enable UTF8 support.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Normal"/>
              <w:tabs>
                <w:tab w:val="clear" w:pos="408"/>
              </w:tabs>
              <w:jc w:val="left"/>
              <w:rPr>
                <w:rFonts w:ascii="Lato" w:hAnsi="Lato"/>
                <w:b/>
                <w:b/>
                <w:bCs/>
                <w:sz w:val="20"/>
                <w:szCs w:val="20"/>
              </w:rPr>
            </w:pPr>
            <w:r>
              <w:rPr>
                <w:rFonts w:ascii="Lato" w:hAnsi="Lato"/>
                <w:b/>
                <w:bCs/>
                <w:sz w:val="20"/>
                <w:szCs w:val="20"/>
              </w:rPr>
              <w:t>EAI-MUA-072</w:t>
            </w:r>
          </w:p>
        </w:tc>
        <w:tc>
          <w:tcPr>
            <w:tcW w:w="2837"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Unicode value in unstructured text header is accessible</w:t>
            </w:r>
          </w:p>
        </w:tc>
        <w:tc>
          <w:tcPr>
            <w:tcW w:w="968"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4238"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POP client does not enable UTF8 support.</w:t>
            </w:r>
          </w:p>
        </w:tc>
      </w:tr>
    </w:tbl>
    <w:p>
      <w:pPr>
        <w:sectPr>
          <w:footerReference w:type="default" r:id="rId14"/>
          <w:footnotePr>
            <w:numFmt w:val="decimal"/>
          </w:footnotePr>
          <w:type w:val="nextPage"/>
          <w:pgSz w:w="11906" w:h="16838"/>
          <w:pgMar w:left="1134" w:right="1134" w:header="0" w:top="1134" w:footer="567" w:bottom="2227" w:gutter="0"/>
          <w:pgNumType w:start="1" w:fmt="decimal"/>
          <w:formProt w:val="false"/>
          <w:textDirection w:val="lrTb"/>
          <w:docGrid w:type="default" w:linePitch="312" w:charSpace="4294961151"/>
        </w:sectPr>
        <w:pStyle w:val="Normal"/>
        <w:rPr/>
      </w:pPr>
      <w:hyperlink w:anchor="_toc234">
        <w:r>
          <w:rPr/>
        </w:r>
      </w:hyperlink>
    </w:p>
    <w:p>
      <w:pPr>
        <w:pStyle w:val="Subtitle"/>
        <w:ind w:left="0" w:right="0" w:hanging="0"/>
        <w:jc w:val="left"/>
        <w:rPr/>
      </w:pPr>
      <w:r>
        <w:fldChar w:fldCharType="begin"/>
      </w:r>
      <w:r>
        <w:rPr>
          <w:b/>
          <w:bCs/>
          <w:rFonts w:ascii="Lato" w:hAnsi="Lato"/>
        </w:rPr>
        <w:instrText> TC "Test Report: Component 2" \l 1 </w:instrText>
      </w:r>
      <w:r>
        <w:rPr>
          <w:b/>
          <w:bCs/>
          <w:rFonts w:ascii="Lato" w:hAnsi="Lato"/>
        </w:rPr>
        <w:fldChar w:fldCharType="separate"/>
      </w:r>
      <w:r>
        <w:rPr>
          <w:rFonts w:ascii="Lato" w:hAnsi="Lato"/>
          <w:b/>
          <w:bCs/>
        </w:rPr>
        <w:t xml:space="preserve">Test Report: Component </w:t>
      </w:r>
      <w:r>
        <w:rPr>
          <w:b/>
          <w:bCs/>
          <w:rFonts w:ascii="Lato" w:hAnsi="Lato"/>
        </w:rPr>
        <w:fldChar w:fldCharType="end"/>
      </w:r>
      <w:r>
        <w:rPr>
          <w:rFonts w:ascii="Lato" w:hAnsi="Lato"/>
          <w:b/>
          <w:bCs/>
        </w:rPr>
        <w:t>2</w:t>
      </w:r>
    </w:p>
    <w:p>
      <w:pPr>
        <w:pStyle w:val="CatalystRFPHeading1"/>
        <w:numPr>
          <w:ilvl w:val="0"/>
          <w:numId w:val="17"/>
        </w:numPr>
        <w:ind w:left="567" w:right="0" w:hanging="567"/>
        <w:rPr/>
      </w:pPr>
      <w:bookmarkStart w:id="37" w:name="__RefHeading___Toc5879_3473906712"/>
      <w:bookmarkEnd w:id="37"/>
      <w:r>
        <w:rPr/>
        <w:t>About this Document</w:t>
      </w:r>
    </w:p>
    <w:p>
      <w:pPr>
        <w:pStyle w:val="CatalystRFPTextBody"/>
        <w:rPr/>
      </w:pPr>
      <w:r>
        <w:rPr/>
        <w:t xml:space="preserve">This report </w:t>
      </w:r>
      <w:r>
        <w:rPr/>
        <w:t xml:space="preserve">describes </w:t>
      </w:r>
      <w:r>
        <w:rPr/>
        <w:t xml:space="preserve">the EAI-related behaviors of </w:t>
      </w:r>
      <w:r>
        <w:rPr/>
        <w:t>Component 2 in its capacity as a Mail Submission Agent (MSA), Mail Transfer Agent (MTA), and Mail Delivery Agent (MDA)</w:t>
      </w:r>
      <w:r>
        <w:rPr/>
        <w:t xml:space="preserve">. </w:t>
      </w:r>
      <w:r>
        <w:rPr/>
        <w:t xml:space="preserve">It is part of a proof-of-concept evaluation of the EAI-readiness of the email software ecosystem, the details of which can be found in </w:t>
      </w:r>
      <w:hyperlink r:id="rId15">
        <w:r>
          <w:rPr>
            <w:rStyle w:val="InternetLink"/>
          </w:rPr>
          <w:t>UASG021A</w:t>
        </w:r>
      </w:hyperlink>
      <w:r>
        <w:rPr/>
        <w:t xml:space="preserve"> (Email Address Internationalization – Discovery and Analysis). The software has been configured and evaluated according to the test criteria and procedures described in that report for the purposes of validating the criteria and providing an estimate of effort for future evaluations.</w:t>
      </w:r>
    </w:p>
    <w:p>
      <w:pPr>
        <w:pStyle w:val="CatalystRFPHeading1"/>
        <w:numPr>
          <w:ilvl w:val="0"/>
          <w:numId w:val="17"/>
        </w:numPr>
        <w:ind w:left="567" w:right="0" w:hanging="567"/>
        <w:rPr/>
      </w:pPr>
      <w:bookmarkStart w:id="38" w:name="__RefHeading__2952_12752619731"/>
      <w:bookmarkEnd w:id="38"/>
      <w:r>
        <w:rPr/>
        <w:t xml:space="preserve">About </w:t>
      </w:r>
      <w:r>
        <w:rPr/>
        <w:t>Component 2</w:t>
      </w:r>
    </w:p>
    <w:p>
      <w:pPr>
        <w:pStyle w:val="CatalystRFPTextBody"/>
        <w:rPr/>
      </w:pPr>
      <w:r>
        <w:rPr/>
        <w:t>Component 2</w:t>
      </w:r>
      <w:r>
        <w:rPr/>
        <w:t xml:space="preserve"> is a</w:t>
      </w:r>
      <w:r>
        <w:rPr/>
        <w:t>n open source</w:t>
      </w:r>
      <w:r>
        <w:rPr/>
        <w:t xml:space="preserve"> software project providing a mail transfer agent, POP3 and IMAP servers, and associated services such as integrated webmail and </w:t>
      </w:r>
      <w:r>
        <w:rPr/>
        <w:t>mailing lists</w:t>
      </w:r>
      <w:r>
        <w:rPr/>
        <w:t xml:space="preserve">. </w:t>
      </w:r>
      <w:r>
        <w:rPr/>
        <w:t>The project’s source code is available for download at its website, and the software is also available in the form of precompiled packages for a variety of Unix-based operating systems.</w:t>
      </w:r>
    </w:p>
    <w:p>
      <w:pPr>
        <w:pStyle w:val="CatalystRFPTextBody"/>
        <w:numPr>
          <w:ilvl w:val="0"/>
          <w:numId w:val="12"/>
        </w:numPr>
        <w:rPr>
          <w:b/>
          <w:b/>
          <w:bCs/>
        </w:rPr>
      </w:pPr>
      <w:r>
        <w:rPr>
          <w:b/>
          <w:bCs/>
        </w:rPr>
        <w:t>Type:</w:t>
      </w:r>
      <w:r>
        <w:rPr>
          <w:b w:val="false"/>
          <w:bCs w:val="false"/>
        </w:rPr>
        <w:t xml:space="preserve"> </w:t>
      </w:r>
      <w:r>
        <w:rPr>
          <w:b w:val="false"/>
          <w:bCs w:val="false"/>
        </w:rPr>
        <w:t>Mail Submission Agent (MSA), Mail Transfer Agent (MTA), Mail Delivery Agent (MDA)</w:t>
      </w:r>
    </w:p>
    <w:p>
      <w:pPr>
        <w:pStyle w:val="CatalystRFPTextBody"/>
        <w:numPr>
          <w:ilvl w:val="0"/>
          <w:numId w:val="12"/>
        </w:numPr>
        <w:rPr>
          <w:b/>
          <w:b/>
          <w:bCs/>
        </w:rPr>
      </w:pPr>
      <w:r>
        <w:rPr>
          <w:b/>
          <w:bCs/>
        </w:rPr>
        <w:t>Platform:</w:t>
      </w:r>
      <w:r>
        <w:rPr>
          <w:b w:val="false"/>
          <w:bCs w:val="false"/>
        </w:rPr>
        <w:t xml:space="preserve"> </w:t>
      </w:r>
      <w:r>
        <w:rPr>
          <w:b w:val="false"/>
          <w:bCs w:val="false"/>
        </w:rPr>
        <w:t>Ubuntu Linux (</w:t>
      </w:r>
      <w:r>
        <w:rPr>
          <w:b w:val="false"/>
          <w:bCs w:val="false"/>
        </w:rPr>
        <w:t xml:space="preserve">version </w:t>
      </w:r>
      <w:r>
        <w:rPr>
          <w:b w:val="false"/>
          <w:bCs w:val="false"/>
        </w:rPr>
        <w:t>18.04)</w:t>
      </w:r>
    </w:p>
    <w:p>
      <w:pPr>
        <w:pStyle w:val="CatalystRFPTextBody"/>
        <w:numPr>
          <w:ilvl w:val="0"/>
          <w:numId w:val="12"/>
        </w:numPr>
        <w:rPr/>
      </w:pPr>
      <w:r>
        <w:rPr>
          <w:b/>
          <w:bCs/>
        </w:rPr>
        <w:t>Date:</w:t>
      </w:r>
      <w:r>
        <w:rPr>
          <w:b w:val="false"/>
          <w:bCs w:val="false"/>
        </w:rPr>
        <w:t xml:space="preserve"> </w:t>
      </w:r>
      <w:r>
        <w:rPr>
          <w:b w:val="false"/>
          <w:bCs w:val="false"/>
        </w:rPr>
        <w:t>Evaluation occurred between 20 May and 24 June 2019</w:t>
      </w:r>
    </w:p>
    <w:p>
      <w:pPr>
        <w:pStyle w:val="CatalystRFPHeading1"/>
        <w:numPr>
          <w:ilvl w:val="0"/>
          <w:numId w:val="17"/>
        </w:numPr>
        <w:ind w:left="567" w:right="0" w:hanging="567"/>
        <w:rPr/>
      </w:pPr>
      <w:bookmarkStart w:id="39" w:name="__RefHeading___Toc16221_3473906712"/>
      <w:bookmarkEnd w:id="39"/>
      <w:r>
        <w:rPr/>
        <w:t>Evaluation Results</w:t>
      </w:r>
    </w:p>
    <w:p>
      <w:pPr>
        <w:pStyle w:val="CatalystRFPHeading2"/>
        <w:numPr>
          <w:ilvl w:val="1"/>
          <w:numId w:val="17"/>
        </w:numPr>
        <w:ind w:left="0" w:right="0" w:hanging="0"/>
        <w:rPr/>
      </w:pPr>
      <w:bookmarkStart w:id="40" w:name="__RefHeading___Toc4356_41805563361"/>
      <w:bookmarkEnd w:id="40"/>
      <w:r>
        <w:rPr/>
        <w:t>Summary</w:t>
      </w:r>
    </w:p>
    <w:p>
      <w:pPr>
        <w:pStyle w:val="CatalystRFPTextBody"/>
        <w:rPr/>
      </w:pPr>
      <w:r>
        <w:rPr/>
        <w:t xml:space="preserve">For this evaluation, </w:t>
      </w:r>
      <w:r>
        <w:rPr/>
        <w:t>two</w:t>
      </w:r>
      <w:r>
        <w:rPr/>
        <w:t xml:space="preserve"> Linux server</w:t>
      </w:r>
      <w:r>
        <w:rPr/>
        <w:t>s</w:t>
      </w:r>
      <w:r>
        <w:rPr/>
        <w:t xml:space="preserve"> </w:t>
      </w:r>
      <w:r>
        <w:rPr/>
        <w:t>were</w:t>
      </w:r>
      <w:r>
        <w:rPr/>
        <w:t xml:space="preserve"> provisioned. </w:t>
      </w:r>
      <w:r>
        <w:rPr/>
        <w:t>On the first, all</w:t>
      </w:r>
      <w:r>
        <w:rPr/>
        <w:t xml:space="preserve"> necessary software packages were </w:t>
      </w:r>
      <w:r>
        <w:rPr/>
        <w:t xml:space="preserve">downloaded, </w:t>
      </w:r>
      <w:r>
        <w:rPr/>
        <w:t xml:space="preserve">built and installed. </w:t>
      </w:r>
      <w:r>
        <w:rPr/>
        <w:t>The Linux host was assigned DNS entries for each Domain Use Case and the software was configured to accept and send mail for each of these. U</w:t>
      </w:r>
      <w:r>
        <w:rPr/>
        <w:t xml:space="preserve">ser accounts for </w:t>
      </w:r>
      <w:r>
        <w:rPr/>
        <w:t>each Unicode</w:t>
      </w:r>
      <w:r>
        <w:rPr/>
        <w:t xml:space="preserve"> Use Case </w:t>
      </w:r>
      <w:r>
        <w:rPr/>
        <w:t xml:space="preserve">were created, with mail for these </w:t>
      </w:r>
      <w:r>
        <w:rPr/>
        <w:t xml:space="preserve">delivered to a “Maildir” for each of those users </w:t>
      </w:r>
      <w:r>
        <w:rPr/>
        <w:t>for inspection, and the software was configured to use the PLAIN authentication method for ESMTP, POP3, and IMAP connections. The second Linux server was configured similarly, but with a version of Component 2 without EAI support for use when testing behaviors involving a server without EAI capabilities.</w:t>
      </w:r>
    </w:p>
    <w:p>
      <w:pPr>
        <w:pStyle w:val="CatalystRFPTextBody"/>
        <w:rPr/>
      </w:pPr>
      <w:r>
        <w:rPr/>
        <w:t xml:space="preserve">By default, </w:t>
      </w:r>
      <w:r>
        <w:rPr/>
        <w:t>Component 2</w:t>
      </w:r>
      <w:r>
        <w:rPr/>
        <w:t xml:space="preserve"> will attempt to upgrade plain text connections to use TLS encryption. </w:t>
      </w:r>
      <w:r>
        <w:rPr/>
        <w:t>This feature was disabled so that network connections would not be encrypted. A piece of software called Wireshark was installed and configured to log traffic for these protocols to a file for inspection, allowing protocol-level messages exchanged between Component 2 and other systems to be reviewed. The software was then exercised using a combination of client services such as Gmail and Coremail and local utilities such as Sendmail and Telnet.</w:t>
      </w:r>
    </w:p>
    <w:p>
      <w:pPr>
        <w:pStyle w:val="CatalystRFPTextBody"/>
        <w:rPr/>
      </w:pPr>
      <w:r>
        <w:rPr/>
        <w:t xml:space="preserve">The software was found to handle EAI inputs well. </w:t>
      </w:r>
      <w:r>
        <w:rPr/>
        <w:t>Five of the 68 test cases found potential issues with EAI support, but only two of these represent missing features (the “LANG” extension for POP3 access, as defined by RFC 6856).</w:t>
      </w:r>
      <w:r>
        <w:rPr/>
        <w:t xml:space="preserve"> </w:t>
      </w:r>
      <w:r>
        <w:rPr/>
        <w:t>Six of the test cases could not be exercised because the MSA does not attempt transform EAI messages into a form suitable for transfer to a non-EAI server as permitted by RFC 6531 (but rather rejects them), and the final one was skipped because the MDA did not add trace information to delivered messages. Due to the non-passing test cases, no level of EAI-readiness has been assigned in this report. However, because those test cases are advisory, and based on the overall results, we feel that this software is a positive example of EAI support.</w:t>
      </w:r>
    </w:p>
    <w:p>
      <w:pPr>
        <w:pStyle w:val="CatalystRFPHeading2"/>
        <w:numPr>
          <w:ilvl w:val="1"/>
          <w:numId w:val="17"/>
        </w:numPr>
        <w:ind w:left="0" w:right="0" w:hanging="0"/>
        <w:rPr/>
      </w:pPr>
      <w:bookmarkStart w:id="41" w:name="__RefHeading___Toc4358_41805563361"/>
      <w:bookmarkEnd w:id="41"/>
      <w:r>
        <w:rPr/>
        <w:t>Test Results</w:t>
      </w:r>
    </w:p>
    <w:p>
      <w:pPr>
        <w:pStyle w:val="CatalystRFPTextBody"/>
        <w:numPr>
          <w:ilvl w:val="0"/>
          <w:numId w:val="13"/>
        </w:numPr>
        <w:rPr>
          <w:b/>
          <w:b/>
          <w:bCs/>
        </w:rPr>
      </w:pPr>
      <w:r>
        <w:rPr>
          <w:b/>
          <w:bCs/>
        </w:rPr>
        <w:t>T</w:t>
      </w:r>
      <w:r>
        <w:rPr>
          <w:b/>
          <w:bCs/>
        </w:rPr>
        <w:t>otal Tests:</w:t>
      </w:r>
      <w:r>
        <w:rPr>
          <w:b w:val="false"/>
          <w:bCs w:val="false"/>
        </w:rPr>
        <w:t xml:space="preserve"> 68</w:t>
      </w:r>
    </w:p>
    <w:p>
      <w:pPr>
        <w:pStyle w:val="CatalystRFPTextBody"/>
        <w:numPr>
          <w:ilvl w:val="0"/>
          <w:numId w:val="13"/>
        </w:numPr>
        <w:rPr>
          <w:b/>
          <w:b/>
          <w:bCs/>
        </w:rPr>
      </w:pPr>
      <w:r>
        <w:rPr>
          <w:b/>
          <w:bCs/>
        </w:rPr>
        <w:t>Passing Tests:</w:t>
      </w:r>
      <w:r>
        <w:rPr>
          <w:b w:val="false"/>
          <w:bCs w:val="false"/>
        </w:rPr>
        <w:t xml:space="preserve"> 56</w:t>
      </w:r>
    </w:p>
    <w:p>
      <w:pPr>
        <w:pStyle w:val="CatalystRFPTextBody"/>
        <w:numPr>
          <w:ilvl w:val="0"/>
          <w:numId w:val="13"/>
        </w:numPr>
        <w:rPr>
          <w:b/>
          <w:b/>
          <w:bCs/>
        </w:rPr>
      </w:pPr>
      <w:r>
        <w:rPr>
          <w:b/>
          <w:bCs/>
        </w:rPr>
        <w:t>Skipped Tests:</w:t>
      </w:r>
      <w:r>
        <w:rPr>
          <w:b w:val="false"/>
          <w:bCs w:val="false"/>
        </w:rPr>
        <w:t xml:space="preserve"> 7</w:t>
      </w:r>
    </w:p>
    <w:p>
      <w:pPr>
        <w:pStyle w:val="CatalystRFPTextBody"/>
        <w:numPr>
          <w:ilvl w:val="0"/>
          <w:numId w:val="13"/>
        </w:numPr>
        <w:rPr/>
      </w:pPr>
      <w:r>
        <w:rPr>
          <w:b/>
          <w:bCs/>
        </w:rPr>
        <w:t>Readiness Status:</w:t>
      </w:r>
      <w:r>
        <w:rPr/>
        <w:t xml:space="preserve"> </w:t>
      </w:r>
      <w:r>
        <w:rPr/>
        <w:t>N/A</w:t>
      </w:r>
    </w:p>
    <w:p>
      <w:pPr>
        <w:pStyle w:val="CatalystRFPHeading2"/>
        <w:numPr>
          <w:ilvl w:val="1"/>
          <w:numId w:val="17"/>
        </w:numPr>
        <w:ind w:left="0" w:right="0" w:hanging="0"/>
        <w:rPr/>
      </w:pPr>
      <w:bookmarkStart w:id="42" w:name="__RefHeading___Toc4360_41805563361"/>
      <w:bookmarkEnd w:id="42"/>
      <w:r>
        <w:rPr/>
        <w:t>Test Cases</w:t>
      </w:r>
    </w:p>
    <w:tbl>
      <w:tblPr>
        <w:tblW w:w="9570" w:type="dxa"/>
        <w:jc w:val="left"/>
        <w:tblInd w:w="81" w:type="dxa"/>
        <w:tblBorders>
          <w:top w:val="single" w:sz="2" w:space="0" w:color="4C4C4C"/>
          <w:left w:val="single" w:sz="2" w:space="0" w:color="4C4C4C"/>
          <w:bottom w:val="single" w:sz="2" w:space="0" w:color="4C4C4C"/>
          <w:insideH w:val="single" w:sz="2" w:space="0" w:color="4C4C4C"/>
        </w:tblBorders>
        <w:tblCellMar>
          <w:top w:w="55" w:type="dxa"/>
          <w:left w:w="52" w:type="dxa"/>
          <w:bottom w:w="55" w:type="dxa"/>
          <w:right w:w="55" w:type="dxa"/>
        </w:tblCellMar>
      </w:tblPr>
      <w:tblGrid>
        <w:gridCol w:w="1759"/>
        <w:gridCol w:w="3450"/>
        <w:gridCol w:w="859"/>
        <w:gridCol w:w="3502"/>
      </w:tblGrid>
      <w:tr>
        <w:trPr>
          <w:tblHeader w:val="true"/>
          <w:cantSplit w:val="true"/>
        </w:trPr>
        <w:tc>
          <w:tcPr>
            <w:tcW w:w="1759"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Test ID</w:t>
            </w:r>
          </w:p>
        </w:tc>
        <w:tc>
          <w:tcPr>
            <w:tcW w:w="3450"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Summary</w:t>
            </w:r>
          </w:p>
        </w:tc>
        <w:tc>
          <w:tcPr>
            <w:tcW w:w="859"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Status</w:t>
            </w:r>
          </w:p>
        </w:tc>
        <w:tc>
          <w:tcPr>
            <w:tcW w:w="3502" w:type="dxa"/>
            <w:tcBorders>
              <w:top w:val="single" w:sz="2" w:space="0" w:color="4C4C4C"/>
              <w:left w:val="single" w:sz="2" w:space="0" w:color="4C4C4C"/>
              <w:bottom w:val="single" w:sz="2" w:space="0" w:color="4C4C4C"/>
              <w:right w:val="single" w:sz="2" w:space="0" w:color="4C4C4C"/>
              <w:insideH w:val="single" w:sz="2" w:space="0" w:color="4C4C4C"/>
              <w:insideV w:val="single" w:sz="2" w:space="0" w:color="4C4C4C"/>
            </w:tcBorders>
            <w:shd w:fill="CCCCCC" w:val="clear"/>
          </w:tcPr>
          <w:p>
            <w:pPr>
              <w:pStyle w:val="CatalystRFPTablemainheader"/>
              <w:spacing w:before="113" w:after="113"/>
              <w:rPr/>
            </w:pPr>
            <w:r>
              <w:rPr/>
              <w:t>Notes</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EAI-MSA-001</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SMTPUTF8 capability is advertised</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EAI-MSA-002</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8BITMIME capability is advertised</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EAI-MSA-003</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EHLO command argument is transmitted as ASCII</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EAI-MSA-004</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SMTPUTF8 parameter is provided with MAIL command for EAI messages</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EAI-MSA-005</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EAI reverse path values are transmitted to SMTPUTF8 server</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EAI-MSA-006</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EAI forward path values are transmitted to SMTPUTF8 server</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EAI-MSA-007</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EAI originator header values are transmitted to SMTPUTF8 server</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EAI-MSA-008</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EAI destination address header values are transmitted to SMTPUTF8 server</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EAI-MSA-009</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Unicode unstructured header values are transmitted to SMTPUTF8 server</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EAI-MSA-010</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SMTPUTF8 parameter is not provided for non-EAI messages</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SMTPUTF8 parameter is provided in all cases when destination server advertises SMTPUTF8 support.</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EAI-MSA-011</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EAI messages sent to non-SMTPUTF8 server are rejected or transformed</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Messages are rejected with suitable reply codes (550 and 553).</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EAI-MSA-012</w:t>
            </w:r>
          </w:p>
        </w:tc>
        <w:tc>
          <w:tcPr>
            <w:tcW w:w="3450" w:type="dxa"/>
            <w:tcBorders>
              <w:left w:val="single" w:sz="2" w:space="0" w:color="4C4C4C"/>
              <w:bottom w:val="single" w:sz="2" w:space="0" w:color="4C4C4C"/>
              <w:insideH w:val="single" w:sz="2" w:space="0" w:color="4C4C4C"/>
            </w:tcBorders>
            <w:shd w:fill="auto" w:val="clear"/>
          </w:tcPr>
          <w:p>
            <w:pPr>
              <w:pStyle w:val="TableContents"/>
              <w:jc w:val="left"/>
              <w:rPr>
                <w:rFonts w:ascii="Lato" w:hAnsi="Lato"/>
                <w:sz w:val="20"/>
                <w:szCs w:val="20"/>
              </w:rPr>
            </w:pPr>
            <w:r>
              <w:rPr>
                <w:rFonts w:ascii="Lato" w:hAnsi="Lato"/>
                <w:sz w:val="20"/>
                <w:szCs w:val="20"/>
              </w:rPr>
              <w:t>EAI reverse path values are transmitted to non-SMTPUTF8 server as ASCII</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The software rejects EAI messages submitted to a non-SMTPUTF capable server.</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EAI-MSA-01</w:t>
            </w:r>
            <w:r>
              <w:rPr>
                <w:rFonts w:ascii="Lato" w:hAnsi="Lato"/>
                <w:b/>
                <w:bCs/>
                <w:sz w:val="20"/>
                <w:szCs w:val="20"/>
              </w:rPr>
              <w:t>3</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EAI forward path values are transmitted to non-SMTPUTF8 server as ASCII</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The software rejects EAI messages submitted to a non-SMTPUTF capable server.</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EAI-MSA-01</w:t>
            </w:r>
            <w:r>
              <w:rPr>
                <w:rFonts w:ascii="Lato" w:hAnsi="Lato"/>
                <w:b/>
                <w:bCs/>
                <w:sz w:val="20"/>
                <w:szCs w:val="20"/>
              </w:rPr>
              <w:t>4</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EAI originator header values are transmitted to non-SMTPUTF8 server as ASCII</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The software rejects EAI messages submitted to a non-SMTPUTF capable server.</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EAI-MSA-01</w:t>
            </w:r>
            <w:r>
              <w:rPr>
                <w:rFonts w:ascii="Lato" w:hAnsi="Lato"/>
                <w:b/>
                <w:bCs/>
                <w:sz w:val="20"/>
                <w:szCs w:val="20"/>
              </w:rPr>
              <w:t>5</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EAI destination address header values are transmitted to non-SMTPUTF8 server as ASCII</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The software rejects EAI messages submitted to a non-SMTPUTF capable server.</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EAI-MSA-01</w:t>
            </w:r>
            <w:r>
              <w:rPr>
                <w:rFonts w:ascii="Lato" w:hAnsi="Lato"/>
                <w:b/>
                <w:bCs/>
                <w:sz w:val="20"/>
                <w:szCs w:val="20"/>
              </w:rPr>
              <w:t>6</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Unicode unstructured header values are transmitted to non-SMTPUTF8 server as ASCII</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The software rejects EAI messages submitted to a non-SMTPUTF capable server.</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EAI-MSA-01</w:t>
            </w:r>
            <w:r>
              <w:rPr>
                <w:rFonts w:ascii="Lato" w:hAnsi="Lato"/>
                <w:b/>
                <w:bCs/>
                <w:sz w:val="20"/>
                <w:szCs w:val="20"/>
              </w:rPr>
              <w:t>7</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Message-ID of EAI message transmitted to non-SMTPUTF8 server is ASCII-only</w:t>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N/A</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The software rejects EAI messages submitted to a non-SMTPUTF capable server.</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01</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SMTPUTF8 capability is advertised</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02</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8BITMIME capability is advertised</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03</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EHLO command argument is transmitted as ASCII</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04</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SMTPUTF8 parameter is provided for EAI messages</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05</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Trace information includes domain in U-label form</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sz w:val="20"/>
                <w:szCs w:val="20"/>
              </w:rPr>
            </w:pPr>
            <w:r>
              <w:rPr>
                <w:rFonts w:ascii="Lato" w:hAnsi="Lato"/>
                <w:b w:val="false"/>
                <w:i w:val="false"/>
                <w:strike w:val="false"/>
                <w:dstrike w:val="false"/>
                <w:outline w:val="false"/>
                <w:shadow w:val="false"/>
                <w:sz w:val="20"/>
                <w:szCs w:val="20"/>
                <w:u w:val="none"/>
                <w:em w:val="none"/>
              </w:rPr>
              <w:t>Trace information includes the WITH protocol type “UTF8ESMTP” (with an S and/or A suffix as appropriate) rather than “UTF8SMTP” as specified b</w:t>
            </w:r>
            <w:r>
              <w:rPr>
                <w:rFonts w:ascii="Lato" w:hAnsi="Lato"/>
                <w:b w:val="false"/>
                <w:i w:val="false"/>
                <w:strike w:val="false"/>
                <w:dstrike w:val="false"/>
                <w:outline w:val="false"/>
                <w:shadow w:val="false"/>
                <w:sz w:val="20"/>
                <w:szCs w:val="20"/>
                <w:u w:val="none"/>
                <w:em w:val="none"/>
              </w:rPr>
              <w:t>y RFC 6531.</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06</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Trace information indicates SMTPUTF8 protocol</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07</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EAI reverse path values are transmitted to SMTPUTF8 server</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08</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EAI forward path values are transmitted to SMTPUTF8 server</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09</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EAI originator header values are transmitted to SMTPUTF8 server</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10</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EAI destination address header values are transmitted to SMTPUTF8 server</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11</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Unicode unstructured header values are transmitted to SMTPUTF8 server</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12</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SMTPUTF8 parameter is not provided for non-EAI messages</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SMTPUTF8 parameter is provided in all cases when destination server advertises SMTPUTF8 support.</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MTA</w:t>
            </w:r>
            <w:r>
              <w:rPr>
                <w:rFonts w:ascii="Lato" w:hAnsi="Lato"/>
                <w:b/>
                <w:bCs/>
                <w:sz w:val="20"/>
                <w:szCs w:val="20"/>
              </w:rPr>
              <w:t>-0</w:t>
            </w:r>
            <w:r>
              <w:rPr>
                <w:rFonts w:ascii="Lato" w:hAnsi="Lato"/>
                <w:b/>
                <w:bCs/>
                <w:sz w:val="20"/>
                <w:szCs w:val="20"/>
              </w:rPr>
              <w:t>13</w:t>
            </w:r>
          </w:p>
        </w:tc>
        <w:tc>
          <w:tcPr>
            <w:tcW w:w="3450" w:type="dxa"/>
            <w:tcBorders>
              <w:left w:val="single" w:sz="2" w:space="0" w:color="4C4C4C"/>
              <w:bottom w:val="single" w:sz="2" w:space="0" w:color="4C4C4C"/>
              <w:insideH w:val="single" w:sz="2" w:space="0" w:color="4C4C4C"/>
            </w:tcBorders>
            <w:shd w:fill="auto" w:val="clear"/>
          </w:tcPr>
          <w:p>
            <w:pPr>
              <w:pStyle w:val="Normal"/>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EAI messages sent to non-SMTPUTF8 server are rejected</w:t>
            </w:r>
          </w:p>
          <w:p>
            <w:pPr>
              <w:pStyle w:val="Normal"/>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01</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Trace information includes domain in U-label form</w:t>
            </w:r>
          </w:p>
          <w:p>
            <w:pPr>
              <w:pStyle w:val="Normal"/>
              <w:tabs>
                <w:tab w:val="clear" w:pos="408"/>
              </w:tabs>
              <w:jc w:val="left"/>
              <w:rPr>
                <w:rFonts w:ascii="Lato" w:hAnsi="Lato"/>
                <w:sz w:val="20"/>
                <w:szCs w:val="20"/>
              </w:rPr>
            </w:pPr>
            <w:r>
              <w:rPr>
                <w:rFonts w:ascii="Lato" w:hAnsi="Lato"/>
                <w:sz w:val="20"/>
                <w:szCs w:val="20"/>
              </w:rPr>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02</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Trace information indicates SMTPUTF8 protocol</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N/A</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sz w:val="20"/>
                <w:szCs w:val="20"/>
              </w:rPr>
            </w:pPr>
            <w:r>
              <w:rPr>
                <w:rFonts w:ascii="Lato" w:hAnsi="Lato"/>
                <w:b w:val="false"/>
                <w:i w:val="false"/>
                <w:strike w:val="false"/>
                <w:dstrike w:val="false"/>
                <w:outline w:val="false"/>
                <w:shadow w:val="false"/>
                <w:sz w:val="20"/>
                <w:szCs w:val="20"/>
                <w:u w:val="none"/>
                <w:em w:val="none"/>
              </w:rPr>
              <w:t xml:space="preserve">Trace information </w:t>
            </w:r>
            <w:r>
              <w:rPr>
                <w:rFonts w:ascii="Lato" w:hAnsi="Lato"/>
                <w:b w:val="false"/>
                <w:i w:val="false"/>
                <w:strike w:val="false"/>
                <w:dstrike w:val="false"/>
                <w:outline w:val="false"/>
                <w:shadow w:val="false"/>
                <w:sz w:val="20"/>
                <w:szCs w:val="20"/>
                <w:u w:val="none"/>
                <w:em w:val="none"/>
              </w:rPr>
              <w:t>is not applied by MDA.</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03</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originator header is delivered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04</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destination address header is delivered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05</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Unicode value in unstructured header is delivered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06</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is delivered to EAI address</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07</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Unicode username is accepted via IMAP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08</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UTF8=ACCEPT or UTF8=ONLY capability is advertised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09</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AUTHENTICATE command is supported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10</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ENABLE UTF8=ACCEPT command is accepted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11</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SEARCH command with CHARSET specification is rejected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12</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APPEND UTF8 command is accepted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13</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APPEND UTF8 preserves Unicode header values</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14</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CREATE command with Unicode mailbox name is accepted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15</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SELECT command with Unicode mailbox name is accepted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16</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EXAMINE command with Unicode mailbox name is accepted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17</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SUBSCRIBE command with Unicode mailbox name is accepted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18</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LIST response includes Unicode mailbox name</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19</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IMAP LSUB response includes Unicode mailbox names</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20</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Mailbox with Unicode name can be created via IMAP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21</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Mailbox with Unicode name can be subscribed via IMAP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22</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Messages in mailbox with Unicode name are accessible via IMAP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23</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originator header can be stored via IMAP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24</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destination address header can be stored via IMAP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25</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Unicode value in unstructured header can be stored via IMAP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26</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originator header is accessible via IMAP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27</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EAI address in destination address header is accessible via IMAP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28</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Unicode value in unstructured header is accessible via IMAP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29</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POP UTF8 USER capability is advertised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30</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POP UTF8 command is accepted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31</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POP UTF8 USER command is accepted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32</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POP LANG capability is advertised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sz w:val="20"/>
                <w:szCs w:val="20"/>
              </w:rPr>
            </w:pPr>
            <w:r>
              <w:rPr>
                <w:rFonts w:ascii="Lato" w:hAnsi="Lato"/>
                <w:b w:val="false"/>
                <w:i w:val="false"/>
                <w:strike w:val="false"/>
                <w:dstrike w:val="false"/>
                <w:outline w:val="false"/>
                <w:shadow w:val="false"/>
                <w:sz w:val="20"/>
                <w:szCs w:val="20"/>
                <w:u w:val="none"/>
                <w:em w:val="none"/>
              </w:rPr>
              <w:t xml:space="preserve">The LANG </w:t>
            </w:r>
            <w:r>
              <w:rPr>
                <w:rFonts w:ascii="Lato" w:hAnsi="Lato"/>
                <w:b w:val="false"/>
                <w:i w:val="false"/>
                <w:strike w:val="false"/>
                <w:dstrike w:val="false"/>
                <w:outline w:val="false"/>
                <w:shadow w:val="false"/>
                <w:sz w:val="20"/>
                <w:szCs w:val="20"/>
                <w:u w:val="none"/>
                <w:em w:val="none"/>
              </w:rPr>
              <w:t>extension</w:t>
            </w:r>
            <w:r>
              <w:rPr>
                <w:rFonts w:ascii="Lato" w:hAnsi="Lato"/>
                <w:b w:val="false"/>
                <w:i w:val="false"/>
                <w:strike w:val="false"/>
                <w:dstrike w:val="false"/>
                <w:outline w:val="false"/>
                <w:shadow w:val="false"/>
                <w:sz w:val="20"/>
                <w:szCs w:val="20"/>
                <w:u w:val="none"/>
                <w:em w:val="none"/>
              </w:rPr>
              <w:t xml:space="preserve"> is not supported.</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33</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POP LANG command is accepted</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Normal"/>
              <w:rPr>
                <w:rFonts w:ascii="Lato" w:hAnsi="Lato"/>
                <w:sz w:val="20"/>
                <w:szCs w:val="20"/>
              </w:rPr>
            </w:pPr>
            <w:r>
              <w:rPr>
                <w:rFonts w:ascii="Lato" w:hAnsi="Lato"/>
                <w:b w:val="false"/>
                <w:i w:val="false"/>
                <w:strike w:val="false"/>
                <w:dstrike w:val="false"/>
                <w:outline w:val="false"/>
                <w:shadow w:val="false"/>
                <w:sz w:val="20"/>
                <w:szCs w:val="20"/>
                <w:u w:val="none"/>
                <w:em w:val="none"/>
              </w:rPr>
              <w:t xml:space="preserve">The LANG </w:t>
            </w:r>
            <w:r>
              <w:rPr>
                <w:rFonts w:ascii="Lato" w:hAnsi="Lato"/>
                <w:b w:val="false"/>
                <w:i w:val="false"/>
                <w:strike w:val="false"/>
                <w:dstrike w:val="false"/>
                <w:outline w:val="false"/>
                <w:shadow w:val="false"/>
                <w:sz w:val="20"/>
                <w:szCs w:val="20"/>
                <w:u w:val="none"/>
                <w:em w:val="none"/>
              </w:rPr>
              <w:t>extension</w:t>
            </w:r>
            <w:r>
              <w:rPr>
                <w:rFonts w:ascii="Lato" w:hAnsi="Lato"/>
                <w:b w:val="false"/>
                <w:i w:val="false"/>
                <w:strike w:val="false"/>
                <w:dstrike w:val="false"/>
                <w:outline w:val="false"/>
                <w:shadow w:val="false"/>
                <w:sz w:val="20"/>
                <w:szCs w:val="20"/>
                <w:u w:val="none"/>
                <w:em w:val="none"/>
              </w:rPr>
              <w:t xml:space="preserve"> is not supported.</w:t>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34</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POP STLS command is rejected in UTF8 mode</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35</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POP LIST command reports size of Unicode message as octet count</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36</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Unicode username is accepted via POP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w:t>
            </w:r>
            <w:r>
              <w:rPr>
                <w:rFonts w:ascii="Lato" w:hAnsi="Lato"/>
                <w:b/>
                <w:bCs/>
                <w:sz w:val="20"/>
                <w:szCs w:val="20"/>
              </w:rPr>
              <w:t>MDA</w:t>
            </w:r>
            <w:r>
              <w:rPr>
                <w:rFonts w:ascii="Lato" w:hAnsi="Lato"/>
                <w:b/>
                <w:bCs/>
                <w:sz w:val="20"/>
                <w:szCs w:val="20"/>
              </w:rPr>
              <w:t>-0</w:t>
            </w:r>
            <w:r>
              <w:rPr>
                <w:rFonts w:ascii="Lato" w:hAnsi="Lato"/>
                <w:b/>
                <w:bCs/>
                <w:sz w:val="20"/>
                <w:szCs w:val="20"/>
              </w:rPr>
              <w:t>37</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Unicode value in originator header is accessible via POP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r>
        <w:trPr>
          <w:trHeight w:val="418" w:hRule="atLeast"/>
          <w:cantSplit w:val="true"/>
        </w:trPr>
        <w:tc>
          <w:tcPr>
            <w:tcW w:w="1759" w:type="dxa"/>
            <w:tcBorders>
              <w:left w:val="single" w:sz="2" w:space="0" w:color="4C4C4C"/>
              <w:bottom w:val="single" w:sz="2" w:space="0" w:color="4C4C4C"/>
              <w:insideH w:val="single" w:sz="2" w:space="0" w:color="4C4C4C"/>
            </w:tcBorders>
            <w:shd w:fill="E6E6E6" w:val="clear"/>
          </w:tcPr>
          <w:p>
            <w:pPr>
              <w:pStyle w:val="TableContents"/>
              <w:jc w:val="left"/>
              <w:rPr>
                <w:rFonts w:ascii="Lato" w:hAnsi="Lato"/>
                <w:b/>
                <w:b/>
                <w:bCs/>
                <w:sz w:val="20"/>
                <w:szCs w:val="20"/>
              </w:rPr>
            </w:pPr>
            <w:r>
              <w:rPr>
                <w:rFonts w:ascii="Lato" w:hAnsi="Lato"/>
                <w:b/>
                <w:bCs/>
                <w:sz w:val="20"/>
                <w:szCs w:val="20"/>
              </w:rPr>
              <w:t>EAI-MDA-03</w:t>
            </w:r>
            <w:r>
              <w:rPr>
                <w:rFonts w:ascii="Lato" w:hAnsi="Lato"/>
                <w:b/>
                <w:bCs/>
                <w:sz w:val="20"/>
                <w:szCs w:val="20"/>
              </w:rPr>
              <w:t>8</w:t>
            </w:r>
          </w:p>
        </w:tc>
        <w:tc>
          <w:tcPr>
            <w:tcW w:w="3450"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sz w:val="20"/>
                <w:szCs w:val="20"/>
              </w:rPr>
            </w:pPr>
            <w:r>
              <w:rPr>
                <w:rFonts w:ascii="Lato" w:hAnsi="Lato"/>
                <w:sz w:val="20"/>
                <w:szCs w:val="20"/>
              </w:rPr>
              <w:t>Message with Unicode value in destination address header is accessible via POP</w:t>
            </w:r>
          </w:p>
        </w:tc>
        <w:tc>
          <w:tcPr>
            <w:tcW w:w="859" w:type="dxa"/>
            <w:tcBorders>
              <w:left w:val="single" w:sz="2" w:space="0" w:color="4C4C4C"/>
              <w:bottom w:val="single" w:sz="2" w:space="0" w:color="4C4C4C"/>
              <w:insideH w:val="single" w:sz="2" w:space="0" w:color="4C4C4C"/>
            </w:tcBorders>
            <w:shd w:fill="auto" w:val="clear"/>
          </w:tcPr>
          <w:p>
            <w:pPr>
              <w:pStyle w:val="Normal"/>
              <w:tabs>
                <w:tab w:val="clear" w:pos="408"/>
              </w:tabs>
              <w:jc w:val="left"/>
              <w:rPr>
                <w:rFonts w:ascii="Lato" w:hAnsi="Lato"/>
                <w:b/>
                <w:b/>
                <w:bCs/>
                <w:sz w:val="20"/>
                <w:szCs w:val="20"/>
              </w:rPr>
            </w:pPr>
            <w:r>
              <w:rPr>
                <w:rFonts w:ascii="Lato" w:hAnsi="Lato"/>
                <w:b/>
                <w:bCs/>
                <w:sz w:val="20"/>
                <w:szCs w:val="20"/>
              </w:rPr>
              <w:t>PASS</w:t>
            </w:r>
          </w:p>
        </w:tc>
        <w:tc>
          <w:tcPr>
            <w:tcW w:w="3502"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r>
          </w:p>
        </w:tc>
      </w:tr>
    </w:tbl>
    <w:p>
      <w:pPr>
        <w:sectPr>
          <w:footerReference w:type="default" r:id="rId16"/>
          <w:footnotePr>
            <w:numFmt w:val="decimal"/>
          </w:footnotePr>
          <w:type w:val="nextPage"/>
          <w:pgSz w:w="11906" w:h="16838"/>
          <w:pgMar w:left="1134" w:right="1134" w:header="0" w:top="1134" w:footer="567" w:bottom="2227" w:gutter="0"/>
          <w:pgNumType w:start="1" w:fmt="decimal"/>
          <w:formProt w:val="false"/>
          <w:textDirection w:val="lrTb"/>
          <w:docGrid w:type="default" w:linePitch="312" w:charSpace="4294961151"/>
        </w:sectPr>
        <w:pStyle w:val="CatalystRFPHeading1"/>
        <w:numPr>
          <w:ilvl w:val="0"/>
          <w:numId w:val="0"/>
        </w:numPr>
        <w:spacing w:lineRule="atLeast" w:line="440"/>
        <w:ind w:left="0" w:right="0" w:hanging="0"/>
        <w:rPr/>
      </w:pPr>
      <w:r>
        <w:rPr/>
      </w:r>
    </w:p>
    <w:p>
      <w:pPr>
        <w:pStyle w:val="Subtitle"/>
        <w:tabs>
          <w:tab w:val="clear" w:pos="408"/>
        </w:tabs>
        <w:spacing w:lineRule="atLeast" w:line="482"/>
        <w:ind w:left="0" w:right="0" w:hanging="0"/>
        <w:jc w:val="left"/>
        <w:rPr/>
      </w:pPr>
      <w:r>
        <w:fldChar w:fldCharType="begin"/>
      </w:r>
      <w:r>
        <w:rPr>
          <w:b/>
          <w:bCs/>
          <w:rFonts w:ascii="Lato" w:hAnsi="Lato"/>
        </w:rPr>
        <w:instrText> TC "Test Report: Component 3" \l 1 </w:instrText>
      </w:r>
      <w:r>
        <w:rPr>
          <w:b/>
          <w:bCs/>
          <w:rFonts w:ascii="Lato" w:hAnsi="Lato"/>
        </w:rPr>
        <w:fldChar w:fldCharType="separate"/>
      </w:r>
      <w:r>
        <w:rPr>
          <w:rFonts w:ascii="Lato" w:hAnsi="Lato"/>
          <w:b/>
          <w:bCs/>
        </w:rPr>
        <w:t xml:space="preserve">Test Report: Component </w:t>
      </w:r>
      <w:r>
        <w:rPr>
          <w:b/>
          <w:bCs/>
          <w:rFonts w:ascii="Lato" w:hAnsi="Lato"/>
        </w:rPr>
        <w:fldChar w:fldCharType="end"/>
      </w:r>
      <w:r>
        <w:rPr>
          <w:rFonts w:ascii="Lato" w:hAnsi="Lato"/>
          <w:b/>
          <w:bCs/>
        </w:rPr>
        <w:t>3</w:t>
      </w:r>
    </w:p>
    <w:p>
      <w:pPr>
        <w:pStyle w:val="CatalystRFPHeading1"/>
        <w:numPr>
          <w:ilvl w:val="0"/>
          <w:numId w:val="18"/>
        </w:numPr>
        <w:ind w:left="567" w:right="0" w:hanging="567"/>
        <w:rPr/>
      </w:pPr>
      <w:bookmarkStart w:id="43" w:name="__RefHeading___Toc7854_3473906712"/>
      <w:bookmarkEnd w:id="43"/>
      <w:r>
        <w:rPr/>
        <w:t>About this Document</w:t>
      </w:r>
    </w:p>
    <w:p>
      <w:pPr>
        <w:pStyle w:val="CatalystRFPTextBody"/>
        <w:rPr/>
      </w:pPr>
      <w:r>
        <w:rPr/>
        <w:t xml:space="preserve">This report </w:t>
      </w:r>
      <w:r>
        <w:rPr/>
        <w:t xml:space="preserve">describes </w:t>
      </w:r>
      <w:r>
        <w:rPr/>
        <w:t xml:space="preserve">the EAI-related behaviors of </w:t>
      </w:r>
      <w:r>
        <w:rPr/>
        <w:t>Component 3 in its capacity as a Mail Service Provider (MSP)</w:t>
      </w:r>
      <w:r>
        <w:rPr/>
        <w:t xml:space="preserve">. </w:t>
      </w:r>
      <w:r>
        <w:rPr/>
        <w:t xml:space="preserve">It is part of a proof-of-concept evaluation of the EAI-readiness of the email software ecosystem, the details of which can be found in </w:t>
      </w:r>
      <w:hyperlink r:id="rId17">
        <w:r>
          <w:rPr>
            <w:rStyle w:val="InternetLink"/>
          </w:rPr>
          <w:t>UASG021A</w:t>
        </w:r>
      </w:hyperlink>
      <w:r>
        <w:rPr/>
        <w:t xml:space="preserve"> (Email Address Internationalization – Discovery and Analysis).</w:t>
      </w:r>
      <w:r>
        <w:rPr/>
        <w:t xml:space="preserve"> </w:t>
      </w:r>
      <w:r>
        <w:rPr/>
        <w:t>The software has been configured and evaluated according to the test criteria and procedures described in that report for the purposes of validating the criteria and providing an estimate of effort for future evaluations.</w:t>
      </w:r>
    </w:p>
    <w:p>
      <w:pPr>
        <w:pStyle w:val="CatalystRFPHeading1"/>
        <w:numPr>
          <w:ilvl w:val="0"/>
          <w:numId w:val="18"/>
        </w:numPr>
        <w:ind w:left="567" w:right="0" w:hanging="567"/>
        <w:rPr/>
      </w:pPr>
      <w:bookmarkStart w:id="44" w:name="__RefHeading__2952_12752619734"/>
      <w:bookmarkEnd w:id="44"/>
      <w:r>
        <w:rPr/>
        <w:t xml:space="preserve">About </w:t>
      </w:r>
      <w:r>
        <w:rPr/>
        <w:t>Component 3</w:t>
      </w:r>
    </w:p>
    <w:p>
      <w:pPr>
        <w:pStyle w:val="CatalystRFPTextBody"/>
        <w:rPr/>
      </w:pPr>
      <w:r>
        <w:rPr/>
        <w:t>Component 3</w:t>
      </w:r>
      <w:r>
        <w:rPr/>
        <w:t xml:space="preserve"> is an enterprise email software suite </w:t>
      </w:r>
      <w:r>
        <w:rPr/>
        <w:t xml:space="preserve">including </w:t>
      </w:r>
      <w:r>
        <w:rPr/>
        <w:t xml:space="preserve">most features common to </w:t>
      </w:r>
      <w:r>
        <w:rPr/>
        <w:t>enterprise</w:t>
      </w:r>
      <w:r>
        <w:rPr/>
        <w:t xml:space="preserve"> </w:t>
      </w:r>
      <w:r>
        <w:rPr/>
        <w:t xml:space="preserve">email </w:t>
      </w:r>
      <w:r>
        <w:rPr/>
        <w:t xml:space="preserve">offerings. </w:t>
      </w:r>
      <w:r>
        <w:rPr/>
        <w:t xml:space="preserve">The software </w:t>
      </w:r>
      <w:r>
        <w:rPr/>
        <w:t>is available</w:t>
      </w:r>
      <w:r>
        <w:rPr/>
        <w:t xml:space="preserve"> for purchase either as a downloadable package for installation within a client-managed environment or as a hosted service operated by the vendor. The company offers a trial of the hosted offering, as well as a branded, free-to-use instance of the software on which a user can specify a username to register an email account. This username is then used as the local part of their email address, while the domain part is selected by the user from a predefined set of vendor-managed domains spanning multiple languages.</w:t>
      </w:r>
    </w:p>
    <w:p>
      <w:pPr>
        <w:pStyle w:val="CatalystRFPTextBody"/>
        <w:numPr>
          <w:ilvl w:val="0"/>
          <w:numId w:val="14"/>
        </w:numPr>
        <w:rPr>
          <w:b/>
          <w:b/>
          <w:bCs/>
        </w:rPr>
      </w:pPr>
      <w:r>
        <w:rPr>
          <w:b/>
          <w:bCs/>
        </w:rPr>
        <w:t>Type:</w:t>
      </w:r>
      <w:r>
        <w:rPr>
          <w:b w:val="false"/>
          <w:bCs w:val="false"/>
        </w:rPr>
        <w:t xml:space="preserve"> </w:t>
      </w:r>
      <w:r>
        <w:rPr>
          <w:b w:val="false"/>
          <w:bCs w:val="false"/>
        </w:rPr>
        <w:t>Mail Service Provider (MSP)</w:t>
      </w:r>
    </w:p>
    <w:p>
      <w:pPr>
        <w:pStyle w:val="CatalystRFPTextBody"/>
        <w:numPr>
          <w:ilvl w:val="0"/>
          <w:numId w:val="14"/>
        </w:numPr>
        <w:rPr>
          <w:b/>
          <w:b/>
          <w:bCs/>
        </w:rPr>
      </w:pPr>
      <w:r>
        <w:rPr>
          <w:b/>
          <w:bCs/>
        </w:rPr>
        <w:t>Platform:</w:t>
      </w:r>
      <w:r>
        <w:rPr>
          <w:b w:val="false"/>
          <w:bCs w:val="false"/>
        </w:rPr>
        <w:t xml:space="preserve"> </w:t>
      </w:r>
      <w:r>
        <w:rPr>
          <w:b w:val="false"/>
          <w:bCs w:val="false"/>
        </w:rPr>
        <w:t>Chromium browser (version 75) on Ubuntu Linux (version 18.04)</w:t>
      </w:r>
    </w:p>
    <w:p>
      <w:pPr>
        <w:pStyle w:val="CatalystRFPTextBody"/>
        <w:numPr>
          <w:ilvl w:val="0"/>
          <w:numId w:val="14"/>
        </w:numPr>
        <w:rPr/>
      </w:pPr>
      <w:r>
        <w:rPr>
          <w:b/>
          <w:bCs/>
        </w:rPr>
        <w:t>Date:</w:t>
      </w:r>
      <w:r>
        <w:rPr>
          <w:b w:val="false"/>
          <w:bCs w:val="false"/>
        </w:rPr>
        <w:t xml:space="preserve"> </w:t>
      </w:r>
      <w:r>
        <w:rPr>
          <w:b w:val="false"/>
          <w:bCs w:val="false"/>
        </w:rPr>
        <w:t>Evaluation occurred between 17 June and 26 June 2019</w:t>
      </w:r>
    </w:p>
    <w:p>
      <w:pPr>
        <w:pStyle w:val="CatalystRFPHeading1"/>
        <w:numPr>
          <w:ilvl w:val="0"/>
          <w:numId w:val="18"/>
        </w:numPr>
        <w:ind w:left="567" w:right="0" w:hanging="567"/>
        <w:rPr/>
      </w:pPr>
      <w:bookmarkStart w:id="45" w:name="__RefHeading___Toc7856_3473906712"/>
      <w:bookmarkEnd w:id="45"/>
      <w:r>
        <w:rPr/>
        <w:t>Evaluation Results</w:t>
      </w:r>
    </w:p>
    <w:p>
      <w:pPr>
        <w:pStyle w:val="CatalystRFPHeading2"/>
        <w:numPr>
          <w:ilvl w:val="1"/>
          <w:numId w:val="18"/>
        </w:numPr>
        <w:ind w:left="0" w:right="0" w:hanging="0"/>
        <w:rPr/>
      </w:pPr>
      <w:bookmarkStart w:id="46" w:name="__RefHeading___Toc4356_41805563364"/>
      <w:bookmarkEnd w:id="46"/>
      <w:r>
        <w:rPr/>
        <w:t>Summary</w:t>
      </w:r>
    </w:p>
    <w:p>
      <w:pPr>
        <w:pStyle w:val="CatalystRFPTextBody"/>
        <w:rPr/>
      </w:pPr>
      <w:r>
        <w:rPr/>
        <w:t>This</w:t>
      </w:r>
      <w:r>
        <w:rPr/>
        <w:t xml:space="preserve"> evaluation included both the free trial of </w:t>
      </w:r>
      <w:r>
        <w:rPr/>
        <w:t>the</w:t>
      </w:r>
      <w:r>
        <w:rPr/>
        <w:t xml:space="preserve"> software suite and the free hosted instance. The former was tested from the point of view of an enterprise email administrator responsible for creating and managing user email accounts, while the latter was tested from the point of view of a</w:t>
      </w:r>
      <w:r>
        <w:rPr/>
        <w:t>n individual</w:t>
      </w:r>
      <w:r>
        <w:rPr/>
        <w:t xml:space="preserve"> user registering a personal email address </w:t>
      </w:r>
      <w:r>
        <w:rPr/>
        <w:t>at</w:t>
      </w:r>
      <w:r>
        <w:rPr/>
        <w:t xml:space="preserve"> one of the </w:t>
      </w:r>
      <w:r>
        <w:rPr/>
        <w:t>vendor-managed domains</w:t>
      </w:r>
      <w:r>
        <w:rPr/>
        <w:t>.</w:t>
      </w:r>
    </w:p>
    <w:p>
      <w:pPr>
        <w:pStyle w:val="CatalystRFPTextBody"/>
        <w:rPr/>
      </w:pPr>
      <w:r>
        <w:rPr>
          <w:rFonts w:eastAsia="Lato" w:cs="Lato" w:ascii="Lato" w:hAnsi="Lato"/>
          <w:sz w:val="20"/>
          <w:szCs w:val="20"/>
        </w:rPr>
        <w:t xml:space="preserve">A trial was registered under an ASCII domain. Within this trial account, the ability to create accounts with EAI local address parts and mailbox names was tested. Accounts under the </w:t>
      </w:r>
      <w:r>
        <w:rPr>
          <w:rFonts w:eastAsia="Lato" w:cs="Lato" w:ascii="Lato" w:hAnsi="Lato"/>
          <w:sz w:val="20"/>
          <w:szCs w:val="20"/>
        </w:rPr>
        <w:t xml:space="preserve">hosted </w:t>
      </w:r>
      <w:r>
        <w:rPr>
          <w:rFonts w:eastAsia="Lato" w:cs="Lato" w:ascii="Lato" w:hAnsi="Lato"/>
          <w:sz w:val="20"/>
          <w:szCs w:val="20"/>
        </w:rPr>
        <w:t xml:space="preserve">service were </w:t>
      </w:r>
      <w:r>
        <w:rPr>
          <w:rFonts w:eastAsia="Lato" w:cs="Lato" w:ascii="Lato" w:hAnsi="Lato"/>
          <w:sz w:val="20"/>
          <w:szCs w:val="20"/>
        </w:rPr>
        <w:t>also</w:t>
      </w:r>
      <w:r>
        <w:rPr>
          <w:rFonts w:eastAsia="Lato" w:cs="Lato" w:ascii="Lato" w:hAnsi="Lato"/>
          <w:sz w:val="20"/>
          <w:szCs w:val="20"/>
        </w:rPr>
        <w:t xml:space="preserve"> created under the</w:t>
      </w:r>
      <w:r>
        <w:rPr>
          <w:rFonts w:eastAsia="Lato" w:cs="Lato" w:ascii="Lato" w:hAnsi="Lato"/>
          <w:bCs w:val="false"/>
          <w:iCs w:val="false"/>
          <w:caps w:val="false"/>
          <w:smallCaps w:val="false"/>
          <w:color w:val="auto"/>
          <w:spacing w:val="0"/>
          <w:sz w:val="20"/>
          <w:szCs w:val="20"/>
        </w:rPr>
        <w:t xml:space="preserve"> </w:t>
      </w:r>
      <w:r>
        <w:rPr>
          <w:rFonts w:eastAsia="Lato" w:cs="Lato" w:ascii="Lato" w:hAnsi="Lato"/>
          <w:bCs w:val="false"/>
          <w:iCs w:val="false"/>
          <w:caps w:val="false"/>
          <w:smallCaps w:val="false"/>
          <w:color w:val="auto"/>
          <w:spacing w:val="0"/>
          <w:sz w:val="20"/>
          <w:szCs w:val="20"/>
        </w:rPr>
        <w:t xml:space="preserve">various </w:t>
      </w:r>
      <w:r>
        <w:rPr>
          <w:rFonts w:eastAsia="Lato" w:cs="Lato" w:ascii="Lato" w:hAnsi="Lato"/>
          <w:bCs w:val="false"/>
          <w:iCs w:val="false"/>
          <w:caps w:val="false"/>
          <w:smallCaps w:val="false"/>
          <w:color w:val="000000"/>
          <w:spacing w:val="0"/>
          <w:sz w:val="20"/>
          <w:szCs w:val="20"/>
        </w:rPr>
        <w:t xml:space="preserve">domains </w:t>
      </w:r>
      <w:r>
        <w:rPr>
          <w:rFonts w:eastAsia="Lato" w:cs="Lato" w:ascii="Lato" w:hAnsi="Lato"/>
          <w:sz w:val="20"/>
          <w:szCs w:val="20"/>
        </w:rPr>
        <w:t xml:space="preserve">in order to test the </w:t>
      </w:r>
      <w:r>
        <w:rPr>
          <w:rFonts w:eastAsia="Lato" w:cs="Lato" w:ascii="Lato" w:hAnsi="Lato"/>
          <w:sz w:val="20"/>
          <w:szCs w:val="20"/>
        </w:rPr>
        <w:t xml:space="preserve">software’s </w:t>
      </w:r>
      <w:r>
        <w:rPr>
          <w:rFonts w:eastAsia="Lato" w:cs="Lato" w:ascii="Lato" w:hAnsi="Lato"/>
          <w:sz w:val="20"/>
          <w:szCs w:val="20"/>
        </w:rPr>
        <w:t xml:space="preserve">handling of address domain parts and the ability to send and receive messages. Local address parts and mailbox names were also retested on </w:t>
      </w:r>
      <w:r>
        <w:rPr>
          <w:rFonts w:eastAsia="Lato" w:cs="Lato" w:ascii="Lato" w:hAnsi="Lato"/>
          <w:sz w:val="20"/>
          <w:szCs w:val="20"/>
        </w:rPr>
        <w:t>the hosted service</w:t>
      </w:r>
      <w:r>
        <w:rPr>
          <w:rFonts w:eastAsia="Lato" w:cs="Lato" w:ascii="Lato" w:hAnsi="Lato"/>
          <w:sz w:val="20"/>
          <w:szCs w:val="20"/>
        </w:rPr>
        <w:t xml:space="preserve"> for completeness.</w:t>
      </w:r>
    </w:p>
    <w:p>
      <w:pPr>
        <w:pStyle w:val="CatalystRFPTextBody"/>
        <w:rPr/>
      </w:pPr>
      <w:r>
        <w:rPr/>
        <w:t xml:space="preserve">The primary difficulty encountered during the evaluation was </w:t>
      </w:r>
      <w:r>
        <w:rPr/>
        <w:t>due to</w:t>
      </w:r>
      <w:r>
        <w:rPr/>
        <w:t xml:space="preserve"> </w:t>
      </w:r>
      <w:r>
        <w:rPr/>
        <w:t xml:space="preserve">the application’s </w:t>
      </w:r>
      <w:r>
        <w:rPr/>
        <w:t>rejection of mixed scripts, which is a</w:t>
      </w:r>
      <w:r>
        <w:rPr/>
        <w:t xml:space="preserve">n intentional </w:t>
      </w:r>
      <w:r>
        <w:rPr/>
        <w:t xml:space="preserve">policy enforced by the software. According to this policy, mixing </w:t>
      </w:r>
      <w:r>
        <w:rPr/>
        <w:t>e.g. Latin</w:t>
      </w:r>
      <w:r>
        <w:rPr/>
        <w:t xml:space="preserve"> and </w:t>
      </w:r>
      <w:r>
        <w:rPr/>
        <w:t>non-</w:t>
      </w:r>
      <w:r>
        <w:rPr/>
        <w:t xml:space="preserve">Latin-based text </w:t>
      </w:r>
      <w:r>
        <w:rPr/>
        <w:t>with</w:t>
      </w:r>
      <w:r>
        <w:rPr/>
        <w:t xml:space="preserve">in an address is forbidden. </w:t>
      </w:r>
      <w:r>
        <w:rPr/>
        <w:t>This is not strictly related to EAI, but it did interfere with the evaluation since some Use Cases needed to be adjusted. The vendor</w:t>
      </w:r>
      <w:r>
        <w:rPr/>
        <w:t xml:space="preserve"> provided help when </w:t>
      </w:r>
      <w:r>
        <w:rPr/>
        <w:t>these</w:t>
      </w:r>
      <w:r>
        <w:rPr/>
        <w:t xml:space="preserve"> issue</w:t>
      </w:r>
      <w:r>
        <w:rPr/>
        <w:t>s</w:t>
      </w:r>
      <w:r>
        <w:rPr/>
        <w:t xml:space="preserve"> w</w:t>
      </w:r>
      <w:r>
        <w:rPr/>
        <w:t>ere</w:t>
      </w:r>
      <w:r>
        <w:rPr/>
        <w:t xml:space="preserve"> encountered, and in one case manually created an address for </w:t>
      </w:r>
      <w:r>
        <w:rPr/>
        <w:t xml:space="preserve">use during </w:t>
      </w:r>
      <w:r>
        <w:rPr/>
        <w:t>testing.</w:t>
      </w:r>
    </w:p>
    <w:p>
      <w:pPr>
        <w:pStyle w:val="CatalystRFPHeading2"/>
        <w:numPr>
          <w:ilvl w:val="1"/>
          <w:numId w:val="18"/>
        </w:numPr>
        <w:ind w:left="0" w:right="0" w:hanging="0"/>
        <w:rPr/>
      </w:pPr>
      <w:bookmarkStart w:id="47" w:name="__RefHeading___Toc4358_41805563364"/>
      <w:bookmarkEnd w:id="47"/>
      <w:r>
        <w:rPr/>
        <w:t>Test Results</w:t>
      </w:r>
    </w:p>
    <w:p>
      <w:pPr>
        <w:pStyle w:val="CatalystRFPTextBody"/>
        <w:numPr>
          <w:ilvl w:val="0"/>
          <w:numId w:val="15"/>
        </w:numPr>
        <w:rPr>
          <w:b/>
          <w:b/>
          <w:bCs/>
        </w:rPr>
      </w:pPr>
      <w:r>
        <w:rPr>
          <w:b/>
          <w:bCs/>
        </w:rPr>
        <w:t>T</w:t>
      </w:r>
      <w:r>
        <w:rPr>
          <w:b/>
          <w:bCs/>
        </w:rPr>
        <w:t>otal Tests:</w:t>
      </w:r>
      <w:r>
        <w:rPr>
          <w:b w:val="false"/>
          <w:bCs w:val="false"/>
        </w:rPr>
        <w:t xml:space="preserve"> 12</w:t>
      </w:r>
    </w:p>
    <w:p>
      <w:pPr>
        <w:pStyle w:val="CatalystRFPTextBody"/>
        <w:numPr>
          <w:ilvl w:val="0"/>
          <w:numId w:val="15"/>
        </w:numPr>
        <w:rPr>
          <w:b/>
          <w:b/>
          <w:bCs/>
        </w:rPr>
      </w:pPr>
      <w:r>
        <w:rPr>
          <w:b/>
          <w:bCs/>
        </w:rPr>
        <w:t>Passing Tests:</w:t>
      </w:r>
      <w:r>
        <w:rPr>
          <w:b w:val="false"/>
          <w:bCs w:val="false"/>
        </w:rPr>
        <w:t xml:space="preserve"> 10</w:t>
      </w:r>
    </w:p>
    <w:p>
      <w:pPr>
        <w:pStyle w:val="CatalystRFPTextBody"/>
        <w:numPr>
          <w:ilvl w:val="0"/>
          <w:numId w:val="15"/>
        </w:numPr>
        <w:rPr>
          <w:b/>
          <w:b/>
          <w:bCs/>
        </w:rPr>
      </w:pPr>
      <w:r>
        <w:rPr>
          <w:b/>
          <w:bCs/>
        </w:rPr>
        <w:t>Skipped Tests</w:t>
      </w:r>
      <w:r>
        <w:rPr>
          <w:b w:val="false"/>
          <w:bCs w:val="false"/>
        </w:rPr>
        <w:t>: 2</w:t>
      </w:r>
    </w:p>
    <w:p>
      <w:pPr>
        <w:pStyle w:val="CatalystRFPTextBody"/>
        <w:numPr>
          <w:ilvl w:val="0"/>
          <w:numId w:val="15"/>
        </w:numPr>
        <w:rPr/>
      </w:pPr>
      <w:r>
        <w:rPr>
          <w:b/>
          <w:bCs/>
        </w:rPr>
        <w:t>Readiness Status:</w:t>
      </w:r>
      <w:r>
        <w:rPr/>
        <w:t xml:space="preserve"> </w:t>
      </w:r>
      <w:r>
        <w:rPr/>
        <w:t>Phase 2</w:t>
      </w:r>
    </w:p>
    <w:p>
      <w:pPr>
        <w:pStyle w:val="CatalystRFPHeading2"/>
        <w:numPr>
          <w:ilvl w:val="1"/>
          <w:numId w:val="18"/>
        </w:numPr>
        <w:ind w:left="0" w:right="0" w:hanging="0"/>
        <w:rPr/>
      </w:pPr>
      <w:bookmarkStart w:id="48" w:name="__RefHeading___Toc4360_41805563364"/>
      <w:bookmarkEnd w:id="48"/>
      <w:r>
        <w:rPr/>
        <w:t>Test Cases</w:t>
      </w:r>
    </w:p>
    <w:tbl>
      <w:tblPr>
        <w:tblW w:w="9570" w:type="dxa"/>
        <w:jc w:val="left"/>
        <w:tblInd w:w="81" w:type="dxa"/>
        <w:tblBorders>
          <w:top w:val="single" w:sz="2" w:space="0" w:color="4C4C4C"/>
          <w:left w:val="single" w:sz="2" w:space="0" w:color="4C4C4C"/>
          <w:bottom w:val="single" w:sz="2" w:space="0" w:color="4C4C4C"/>
          <w:insideH w:val="single" w:sz="2" w:space="0" w:color="4C4C4C"/>
        </w:tblBorders>
        <w:tblCellMar>
          <w:top w:w="55" w:type="dxa"/>
          <w:left w:w="52" w:type="dxa"/>
          <w:bottom w:w="55" w:type="dxa"/>
          <w:right w:w="55" w:type="dxa"/>
        </w:tblCellMar>
      </w:tblPr>
      <w:tblGrid>
        <w:gridCol w:w="1527"/>
        <w:gridCol w:w="3232"/>
        <w:gridCol w:w="914"/>
        <w:gridCol w:w="3897"/>
      </w:tblGrid>
      <w:tr>
        <w:trPr>
          <w:tblHeader w:val="true"/>
          <w:cantSplit w:val="true"/>
        </w:trPr>
        <w:tc>
          <w:tcPr>
            <w:tcW w:w="1527"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Test ID</w:t>
            </w:r>
          </w:p>
        </w:tc>
        <w:tc>
          <w:tcPr>
            <w:tcW w:w="3232"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Summary</w:t>
            </w:r>
          </w:p>
        </w:tc>
        <w:tc>
          <w:tcPr>
            <w:tcW w:w="914" w:type="dxa"/>
            <w:tcBorders>
              <w:top w:val="single" w:sz="2" w:space="0" w:color="4C4C4C"/>
              <w:left w:val="single" w:sz="2" w:space="0" w:color="4C4C4C"/>
              <w:bottom w:val="single" w:sz="2" w:space="0" w:color="4C4C4C"/>
              <w:insideH w:val="single" w:sz="2" w:space="0" w:color="4C4C4C"/>
            </w:tcBorders>
            <w:shd w:fill="CCCCCC" w:val="clear"/>
          </w:tcPr>
          <w:p>
            <w:pPr>
              <w:pStyle w:val="CatalystRFPTablemainheader"/>
              <w:spacing w:before="113" w:after="113"/>
              <w:rPr/>
            </w:pPr>
            <w:r>
              <w:rPr/>
              <w:t>Status</w:t>
            </w:r>
          </w:p>
        </w:tc>
        <w:tc>
          <w:tcPr>
            <w:tcW w:w="3897" w:type="dxa"/>
            <w:tcBorders>
              <w:top w:val="single" w:sz="2" w:space="0" w:color="4C4C4C"/>
              <w:left w:val="single" w:sz="2" w:space="0" w:color="4C4C4C"/>
              <w:bottom w:val="single" w:sz="2" w:space="0" w:color="4C4C4C"/>
              <w:right w:val="single" w:sz="2" w:space="0" w:color="4C4C4C"/>
              <w:insideH w:val="single" w:sz="2" w:space="0" w:color="4C4C4C"/>
              <w:insideV w:val="single" w:sz="2" w:space="0" w:color="4C4C4C"/>
            </w:tcBorders>
            <w:shd w:fill="CCCCCC" w:val="clear"/>
          </w:tcPr>
          <w:p>
            <w:pPr>
              <w:pStyle w:val="CatalystRFPTablemainheader"/>
              <w:spacing w:before="113" w:after="113"/>
              <w:rPr/>
            </w:pPr>
            <w:r>
              <w:rPr/>
              <w:t>Notes</w:t>
            </w:r>
          </w:p>
        </w:tc>
      </w:tr>
      <w:tr>
        <w:trPr>
          <w:trHeight w:val="704"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-001</w:t>
            </w:r>
          </w:p>
        </w:tc>
        <w:tc>
          <w:tcPr>
            <w:tcW w:w="3232" w:type="dxa"/>
            <w:tcBorders>
              <w:left w:val="single" w:sz="2" w:space="0" w:color="4C4C4C"/>
              <w:bottom w:val="single" w:sz="2" w:space="0" w:color="4C4C4C"/>
              <w:insideH w:val="single" w:sz="2" w:space="0" w:color="4C4C4C"/>
            </w:tcBorders>
            <w:shd w:fill="auto" w:val="clear"/>
          </w:tcPr>
          <w:p>
            <w:pPr>
              <w:pStyle w:val="CatalystRFPTablecontents"/>
              <w:spacing w:before="0" w:after="113"/>
              <w:rPr>
                <w:rFonts w:ascii="Lato" w:hAnsi="Lato"/>
                <w:sz w:val="20"/>
                <w:szCs w:val="20"/>
              </w:rPr>
            </w:pPr>
            <w:r>
              <w:rPr>
                <w:rFonts w:ascii="Lato" w:hAnsi="Lato"/>
                <w:sz w:val="20"/>
                <w:szCs w:val="20"/>
              </w:rPr>
              <w:t>Local part of address containing Unicode is accepted</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PASS</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t>Characters that triggered mixed script errors were removed.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-00</w:t>
            </w:r>
            <w:r>
              <w:rPr>
                <w:b/>
                <w:bCs/>
              </w:rPr>
              <w:t>2</w:t>
            </w:r>
          </w:p>
        </w:tc>
        <w:tc>
          <w:tcPr>
            <w:tcW w:w="3232" w:type="dxa"/>
            <w:tcBorders>
              <w:left w:val="single" w:sz="2" w:space="0" w:color="4C4C4C"/>
              <w:bottom w:val="single" w:sz="2" w:space="0" w:color="4C4C4C"/>
              <w:insideH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Domain part of address containing Unicode is accepted</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N/A</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t xml:space="preserve">Domain part is provided by software </w:t>
            </w:r>
            <w:r>
              <w:rPr/>
              <w:t>and thus not configurable</w:t>
            </w:r>
            <w:r>
              <w:rPr/>
              <w:t xml:space="preserve">. It is consistently </w:t>
            </w:r>
            <w:r>
              <w:rPr/>
              <w:t xml:space="preserve">however </w:t>
            </w:r>
            <w:r>
              <w:rPr/>
              <w:t xml:space="preserve">displayed in U-label form </w:t>
            </w:r>
            <w:r>
              <w:rPr/>
              <w:t>as expected.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-00</w:t>
            </w:r>
            <w:r>
              <w:rPr>
                <w:b/>
                <w:bCs/>
              </w:rPr>
              <w:t>3</w:t>
            </w:r>
          </w:p>
        </w:tc>
        <w:tc>
          <w:tcPr>
            <w:tcW w:w="3232" w:type="dxa"/>
            <w:tcBorders>
              <w:left w:val="single" w:sz="2" w:space="0" w:color="4C4C4C"/>
              <w:bottom w:val="single" w:sz="2" w:space="0" w:color="4C4C4C"/>
              <w:insideH w:val="single" w:sz="2" w:space="0" w:color="4C4C4C"/>
            </w:tcBorders>
            <w:shd w:fill="auto" w:val="clear"/>
          </w:tcPr>
          <w:p>
            <w:pPr>
              <w:pStyle w:val="Normal"/>
              <w:rPr>
                <w:rFonts w:ascii="Lato" w:hAnsi="Lato"/>
                <w:sz w:val="20"/>
                <w:szCs w:val="20"/>
              </w:rPr>
            </w:pPr>
            <w:r>
              <w:rPr>
                <w:rFonts w:ascii="Lato" w:hAnsi="Lato"/>
                <w:b w:val="false"/>
                <w:i w:val="false"/>
                <w:strike w:val="false"/>
                <w:dstrike w:val="false"/>
                <w:outline w:val="false"/>
                <w:shadow w:val="false"/>
                <w:sz w:val="20"/>
                <w:szCs w:val="20"/>
                <w:u w:val="none"/>
                <w:em w:val="none"/>
              </w:rPr>
              <w:t xml:space="preserve">Local part of address containing Unicode is displayed as </w:t>
            </w:r>
            <w:r>
              <w:rPr>
                <w:rFonts w:ascii="Lato" w:hAnsi="Lato"/>
                <w:b w:val="false"/>
                <w:i w:val="false"/>
                <w:strike w:val="false"/>
                <w:dstrike w:val="false"/>
                <w:outline w:val="false"/>
                <w:shadow w:val="false"/>
                <w:sz w:val="20"/>
                <w:szCs w:val="20"/>
                <w:u w:val="none"/>
                <w:em w:val="none"/>
              </w:rPr>
              <w:t>entered</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PASS</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t>Characters that triggered mixed script errors were removed.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-00</w:t>
            </w:r>
            <w:r>
              <w:rPr>
                <w:b/>
                <w:bCs/>
              </w:rPr>
              <w:t>4</w:t>
            </w:r>
          </w:p>
        </w:tc>
        <w:tc>
          <w:tcPr>
            <w:tcW w:w="3232" w:type="dxa"/>
            <w:tcBorders>
              <w:left w:val="single" w:sz="2" w:space="0" w:color="4C4C4C"/>
              <w:bottom w:val="single" w:sz="2" w:space="0" w:color="4C4C4C"/>
              <w:insideH w:val="single" w:sz="2" w:space="0" w:color="4C4C4C"/>
            </w:tcBorders>
            <w:shd w:fill="auto" w:val="clear"/>
          </w:tcPr>
          <w:p>
            <w:pPr>
              <w:pStyle w:val="Normal"/>
              <w:rPr>
                <w:rFonts w:ascii="Lato" w:hAnsi="Lato"/>
                <w:sz w:val="20"/>
                <w:szCs w:val="20"/>
              </w:rPr>
            </w:pPr>
            <w:r>
              <w:rPr>
                <w:rFonts w:ascii="Lato" w:hAnsi="Lato"/>
                <w:b w:val="false"/>
                <w:i w:val="false"/>
                <w:strike w:val="false"/>
                <w:dstrike w:val="false"/>
                <w:outline w:val="false"/>
                <w:shadow w:val="false"/>
                <w:sz w:val="20"/>
                <w:szCs w:val="20"/>
                <w:u w:val="none"/>
                <w:em w:val="none"/>
              </w:rPr>
              <w:t xml:space="preserve">Domain part of address containing Unicode is displayed as </w:t>
            </w:r>
            <w:r>
              <w:rPr>
                <w:rFonts w:ascii="Lato" w:hAnsi="Lato"/>
                <w:b w:val="false"/>
                <w:i w:val="false"/>
                <w:strike w:val="false"/>
                <w:dstrike w:val="false"/>
                <w:outline w:val="false"/>
                <w:shadow w:val="false"/>
                <w:sz w:val="20"/>
                <w:szCs w:val="20"/>
                <w:u w:val="none"/>
                <w:em w:val="none"/>
              </w:rPr>
              <w:t>entered</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N/A</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t xml:space="preserve">Domain part is provided by software </w:t>
            </w:r>
            <w:r>
              <w:rPr/>
              <w:t>and thus not configurable</w:t>
            </w:r>
            <w:r>
              <w:rPr/>
              <w:t xml:space="preserve">. It is </w:t>
            </w:r>
            <w:r>
              <w:rPr/>
              <w:t>however</w:t>
            </w:r>
            <w:r>
              <w:rPr/>
              <w:t xml:space="preserve"> consistently displayed in U-label form </w:t>
            </w:r>
            <w:r>
              <w:rPr/>
              <w:t>as expected.</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-00</w:t>
            </w:r>
            <w:r>
              <w:rPr>
                <w:b/>
                <w:bCs/>
              </w:rPr>
              <w:t>5</w:t>
            </w:r>
          </w:p>
        </w:tc>
        <w:tc>
          <w:tcPr>
            <w:tcW w:w="3232" w:type="dxa"/>
            <w:tcBorders>
              <w:left w:val="single" w:sz="2" w:space="0" w:color="4C4C4C"/>
              <w:bottom w:val="single" w:sz="2" w:space="0" w:color="4C4C4C"/>
              <w:insideH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Address with ASCII equivalent of local part containing Unicode is provided</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PASS</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t xml:space="preserve">Address is not automatically provided, but can be created by the user </w:t>
            </w:r>
            <w:r>
              <w:rPr/>
              <w:t>from their account settings page</w:t>
            </w:r>
            <w:r>
              <w:rPr/>
              <w: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-00</w:t>
            </w:r>
            <w:r>
              <w:rPr>
                <w:b/>
                <w:bCs/>
              </w:rPr>
              <w:t>6</w:t>
            </w:r>
          </w:p>
        </w:tc>
        <w:tc>
          <w:tcPr>
            <w:tcW w:w="3232" w:type="dxa"/>
            <w:tcBorders>
              <w:left w:val="single" w:sz="2" w:space="0" w:color="4C4C4C"/>
              <w:bottom w:val="single" w:sz="2" w:space="0" w:color="4C4C4C"/>
              <w:insideH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Address with ASCII equivalent of domain part containing Unicode is provided</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PASS</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t xml:space="preserve">Address is not automatically provided, but can be created by the user </w:t>
            </w:r>
            <w:r>
              <w:rPr/>
              <w:t>from their account settings page</w:t>
            </w:r>
            <w:r>
              <w:rPr/>
              <w:t>.</w:t>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-00</w:t>
            </w:r>
            <w:r>
              <w:rPr>
                <w:b/>
                <w:bCs/>
              </w:rPr>
              <w:t>7</w:t>
            </w:r>
          </w:p>
        </w:tc>
        <w:tc>
          <w:tcPr>
            <w:tcW w:w="3232" w:type="dxa"/>
            <w:tcBorders>
              <w:left w:val="single" w:sz="2" w:space="0" w:color="4C4C4C"/>
              <w:bottom w:val="single" w:sz="2" w:space="0" w:color="4C4C4C"/>
              <w:insideH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Mailbox name containing Unicode is accepted</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PASS</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-00</w:t>
            </w:r>
            <w:r>
              <w:rPr>
                <w:b/>
                <w:bCs/>
              </w:rPr>
              <w:t>8</w:t>
            </w:r>
          </w:p>
        </w:tc>
        <w:tc>
          <w:tcPr>
            <w:tcW w:w="3232" w:type="dxa"/>
            <w:tcBorders>
              <w:left w:val="single" w:sz="2" w:space="0" w:color="4C4C4C"/>
              <w:bottom w:val="single" w:sz="2" w:space="0" w:color="4C4C4C"/>
              <w:insideH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Mailbox name containing Unicode is displayed as entered</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PASS</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-00</w:t>
            </w:r>
            <w:r>
              <w:rPr>
                <w:b/>
                <w:bCs/>
              </w:rPr>
              <w:t>9</w:t>
            </w:r>
          </w:p>
        </w:tc>
        <w:tc>
          <w:tcPr>
            <w:tcW w:w="3232" w:type="dxa"/>
            <w:tcBorders>
              <w:left w:val="single" w:sz="2" w:space="0" w:color="4C4C4C"/>
              <w:bottom w:val="single" w:sz="2" w:space="0" w:color="4C4C4C"/>
              <w:insideH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Address with local part containing Unicode receives messages</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PASS</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w:t>
            </w:r>
            <w:r>
              <w:rPr>
                <w:b/>
                <w:bCs/>
              </w:rPr>
              <w:t>10</w:t>
            </w:r>
          </w:p>
        </w:tc>
        <w:tc>
          <w:tcPr>
            <w:tcW w:w="3232" w:type="dxa"/>
            <w:tcBorders>
              <w:left w:val="single" w:sz="2" w:space="0" w:color="4C4C4C"/>
              <w:bottom w:val="single" w:sz="2" w:space="0" w:color="4C4C4C"/>
              <w:insideH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Address with domain part containing Unicode receives messages</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PASS</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w:t>
            </w:r>
            <w:r>
              <w:rPr>
                <w:b/>
                <w:bCs/>
              </w:rPr>
              <w:t>1</w:t>
            </w:r>
            <w:r>
              <w:rPr>
                <w:b/>
                <w:bCs/>
              </w:rPr>
              <w:t>1</w:t>
            </w:r>
          </w:p>
        </w:tc>
        <w:tc>
          <w:tcPr>
            <w:tcW w:w="3232" w:type="dxa"/>
            <w:tcBorders>
              <w:left w:val="single" w:sz="2" w:space="0" w:color="4C4C4C"/>
              <w:bottom w:val="single" w:sz="2" w:space="0" w:color="4C4C4C"/>
              <w:insideH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Address with local part containing Unicode sends messages</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PASS</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r>
          </w:p>
        </w:tc>
      </w:tr>
      <w:tr>
        <w:trPr>
          <w:trHeight w:val="418" w:hRule="atLeast"/>
          <w:cantSplit w:val="true"/>
        </w:trPr>
        <w:tc>
          <w:tcPr>
            <w:tcW w:w="1527" w:type="dxa"/>
            <w:tcBorders>
              <w:left w:val="single" w:sz="2" w:space="0" w:color="4C4C4C"/>
              <w:bottom w:val="single" w:sz="2" w:space="0" w:color="4C4C4C"/>
              <w:insideH w:val="single" w:sz="2" w:space="0" w:color="4C4C4C"/>
            </w:tcBorders>
            <w:shd w:fill="E6E6E6" w:val="clear"/>
          </w:tcPr>
          <w:p>
            <w:pPr>
              <w:pStyle w:val="CatalystRFPTablecontents"/>
              <w:spacing w:before="0" w:after="113"/>
              <w:rPr>
                <w:b/>
                <w:b/>
                <w:bCs/>
              </w:rPr>
            </w:pPr>
            <w:r>
              <w:rPr>
                <w:b/>
                <w:bCs/>
              </w:rPr>
              <w:t>EAI-</w:t>
            </w:r>
            <w:r>
              <w:rPr>
                <w:b/>
                <w:bCs/>
              </w:rPr>
              <w:t>MSP</w:t>
            </w:r>
            <w:r>
              <w:rPr>
                <w:b/>
                <w:bCs/>
              </w:rPr>
              <w:t>-0</w:t>
            </w:r>
            <w:r>
              <w:rPr>
                <w:b/>
                <w:bCs/>
              </w:rPr>
              <w:t>12</w:t>
            </w:r>
          </w:p>
        </w:tc>
        <w:tc>
          <w:tcPr>
            <w:tcW w:w="3232" w:type="dxa"/>
            <w:tcBorders>
              <w:left w:val="single" w:sz="2" w:space="0" w:color="4C4C4C"/>
              <w:bottom w:val="single" w:sz="2" w:space="0" w:color="4C4C4C"/>
              <w:insideH w:val="single" w:sz="2" w:space="0" w:color="4C4C4C"/>
            </w:tcBorders>
            <w:shd w:fill="auto" w:val="clear"/>
          </w:tcPr>
          <w:p>
            <w:pPr>
              <w:pStyle w:val="Normal"/>
              <w:rPr>
                <w:rFonts w:ascii="Lato" w:hAnsi="Lato"/>
                <w:b w:val="false"/>
                <w:b w:val="false"/>
                <w:i w:val="false"/>
                <w:i w:val="false"/>
                <w:strike w:val="false"/>
                <w:dstrike w:val="false"/>
                <w:outline w:val="false"/>
                <w:shadow w:val="false"/>
                <w:sz w:val="20"/>
                <w:szCs w:val="20"/>
                <w:u w:val="none"/>
                <w:em w:val="none"/>
              </w:rPr>
            </w:pPr>
            <w:r>
              <w:rPr>
                <w:rFonts w:ascii="Lato" w:hAnsi="Lato"/>
                <w:b w:val="false"/>
                <w:i w:val="false"/>
                <w:strike w:val="false"/>
                <w:dstrike w:val="false"/>
                <w:outline w:val="false"/>
                <w:shadow w:val="false"/>
                <w:sz w:val="20"/>
                <w:szCs w:val="20"/>
                <w:u w:val="none"/>
                <w:em w:val="none"/>
              </w:rPr>
              <w:t>Address with domain part containing Unicode sends messages</w:t>
            </w:r>
          </w:p>
        </w:tc>
        <w:tc>
          <w:tcPr>
            <w:tcW w:w="914" w:type="dxa"/>
            <w:tcBorders>
              <w:left w:val="single" w:sz="2" w:space="0" w:color="4C4C4C"/>
              <w:bottom w:val="single" w:sz="2" w:space="0" w:color="4C4C4C"/>
              <w:insideH w:val="single" w:sz="2" w:space="0" w:color="4C4C4C"/>
            </w:tcBorders>
            <w:shd w:fill="auto" w:val="clear"/>
          </w:tcPr>
          <w:p>
            <w:pPr>
              <w:pStyle w:val="CatalystRFPTablecontents"/>
              <w:spacing w:before="0" w:after="113"/>
              <w:rPr>
                <w:b/>
                <w:b/>
                <w:bCs/>
              </w:rPr>
            </w:pPr>
            <w:r>
              <w:rPr>
                <w:b/>
                <w:bCs/>
              </w:rPr>
              <w:t>PASS</w:t>
            </w:r>
          </w:p>
        </w:tc>
        <w:tc>
          <w:tcPr>
            <w:tcW w:w="3897" w:type="dxa"/>
            <w:tcBorders>
              <w:left w:val="single" w:sz="2" w:space="0" w:color="4C4C4C"/>
              <w:bottom w:val="single" w:sz="2" w:space="0" w:color="4C4C4C"/>
              <w:right w:val="single" w:sz="2" w:space="0" w:color="4C4C4C"/>
              <w:insideH w:val="single" w:sz="2" w:space="0" w:color="4C4C4C"/>
              <w:insideV w:val="single" w:sz="2" w:space="0" w:color="4C4C4C"/>
            </w:tcBorders>
            <w:shd w:fill="auto" w:val="clear"/>
          </w:tcPr>
          <w:p>
            <w:pPr>
              <w:pStyle w:val="CatalystRFPTablecontents"/>
              <w:spacing w:before="0" w:after="113"/>
              <w:rPr/>
            </w:pPr>
            <w:r>
              <w:rPr/>
            </w:r>
          </w:p>
        </w:tc>
      </w:tr>
    </w:tbl>
    <w:p>
      <w:pPr>
        <w:pStyle w:val="TextBody"/>
        <w:tabs>
          <w:tab w:val="clear" w:pos="408"/>
        </w:tabs>
        <w:spacing w:lineRule="atLeast" w:line="346" w:before="0" w:after="120"/>
        <w:ind w:left="0" w:right="0" w:hanging="0"/>
        <w:jc w:val="left"/>
        <w:rPr/>
      </w:pPr>
      <w:r>
        <w:fldChar w:fldCharType="begin"/>
      </w:r>
      <w:r>
        <w:rPr/>
        <w:instrText> TC " " \l 1 </w:instrText>
      </w:r>
      <w:r>
        <w:rPr/>
        <w:fldChar w:fldCharType="separate"/>
      </w:r>
      <w:r>
        <w:rPr/>
      </w:r>
      <w:r>
        <w:rPr/>
        <w:fldChar w:fldCharType="end"/>
      </w:r>
    </w:p>
    <w:sectPr>
      <w:footerReference w:type="default" r:id="rId18"/>
      <w:footnotePr>
        <w:numFmt w:val="decimal"/>
      </w:footnotePr>
      <w:type w:val="nextPage"/>
      <w:pgSz w:w="11906" w:h="16838"/>
      <w:pgMar w:left="1134" w:right="1134" w:header="0" w:top="1134" w:footer="567" w:bottom="2227" w:gutter="0"/>
      <w:pgNumType w:start="1"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ato">
    <w:charset w:val="01"/>
    <w:family w:val="auto"/>
    <w:pitch w:val="variable"/>
  </w:font>
  <w:font w:name="Lato Light">
    <w:charset w:val="01"/>
    <w:family w:val="auto"/>
    <w:pitch w:val="variable"/>
  </w:font>
  <w:font w:name="OpenSymbol">
    <w:altName w:val="Arial Unicode MS"/>
    <w:charset w:val="01"/>
    <w:family w:val="auto"/>
    <w:pitch w:val="default"/>
  </w:font>
  <w:font w:name="Arial">
    <w:charset w:val="01"/>
    <w:family w:val="swiss"/>
    <w:pitch w:val="variable"/>
  </w:font>
  <w:font w:name="Courier 10 Pitch">
    <w:charset w:val="01"/>
    <w:family w:val="auto"/>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talystRFPFooter"/>
      <w:rPr/>
    </w:pPr>
    <w:r>
      <w:rPr/>
      <w:drawing>
        <wp:anchor behindDoc="0" distT="0" distB="0" distL="0" distR="0" simplePos="0" locked="0" layoutInCell="1" allowOverlap="1" relativeHeight="52">
          <wp:simplePos x="0" y="0"/>
          <wp:positionH relativeFrom="page">
            <wp:align>left</wp:align>
          </wp:positionH>
          <wp:positionV relativeFrom="page">
            <wp:align>bottom</wp:align>
          </wp:positionV>
          <wp:extent cx="7560310" cy="270002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tretch>
                    <a:fillRect/>
                  </a:stretch>
                </pic:blipFill>
                <pic:spPr bwMode="auto">
                  <a:xfrm>
                    <a:off x="0" y="0"/>
                    <a:ext cx="7560310" cy="270002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talystRFPFooter"/>
      <w:rPr/>
    </w:pPr>
    <w:r>
      <w:drawing>
        <wp:anchor behindDoc="0" distT="0" distB="0" distL="0" distR="0" simplePos="0" locked="0" layoutInCell="1" allowOverlap="1" relativeHeight="50">
          <wp:simplePos x="0" y="0"/>
          <wp:positionH relativeFrom="leftMargin">
            <wp:posOffset>0</wp:posOffset>
          </wp:positionH>
          <wp:positionV relativeFrom="page">
            <wp:align>bottom</wp:align>
          </wp:positionV>
          <wp:extent cx="2016125" cy="612140"/>
          <wp:effectExtent l="0" t="0" r="0" b="0"/>
          <wp:wrapSquare wrapText="largest"/>
          <wp:docPr id="3"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 descr=""/>
                  <pic:cNvPicPr>
                    <a:picLocks noChangeAspect="1" noChangeArrowheads="1"/>
                  </pic:cNvPicPr>
                </pic:nvPicPr>
                <pic:blipFill>
                  <a:blip r:embed="rId1"/>
                  <a:stretch>
                    <a:fillRect/>
                  </a:stretch>
                </pic:blipFill>
                <pic:spPr bwMode="auto">
                  <a:xfrm>
                    <a:off x="0" y="0"/>
                    <a:ext cx="2016125" cy="612140"/>
                  </a:xfrm>
                  <a:prstGeom prst="rect">
                    <a:avLst/>
                  </a:prstGeom>
                </pic:spPr>
              </pic:pic>
            </a:graphicData>
          </a:graphic>
        </wp:anchor>
      </w:drawing>
      <w:drawing>
        <wp:anchor behindDoc="0" distT="0" distB="0" distL="0" distR="0" simplePos="0" locked="0" layoutInCell="1" allowOverlap="1" relativeHeight="51">
          <wp:simplePos x="0" y="0"/>
          <wp:positionH relativeFrom="leftMargin">
            <wp:align>left</wp:align>
          </wp:positionH>
          <wp:positionV relativeFrom="page">
            <wp:posOffset>9773920</wp:posOffset>
          </wp:positionV>
          <wp:extent cx="7560310" cy="237490"/>
          <wp:effectExtent l="0" t="0" r="0" b="0"/>
          <wp:wrapSquare wrapText="largest"/>
          <wp:docPr id="4"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 descr=""/>
                  <pic:cNvPicPr>
                    <a:picLocks noChangeAspect="1" noChangeArrowheads="1"/>
                  </pic:cNvPicPr>
                </pic:nvPicPr>
                <pic:blipFill>
                  <a:blip r:embed="rId2"/>
                  <a:stretch>
                    <a:fillRect/>
                  </a:stretch>
                </pic:blipFill>
                <pic:spPr bwMode="auto">
                  <a:xfrm>
                    <a:off x="0" y="0"/>
                    <a:ext cx="7560310" cy="237490"/>
                  </a:xfrm>
                  <a:prstGeom prst="rect">
                    <a:avLst/>
                  </a:prstGeom>
                </pic:spPr>
              </pic:pic>
            </a:graphicData>
          </a:graphic>
        </wp:anchor>
      </w:drawing>
    </w:r>
    <w:r>
      <w:rPr>
        <w:rStyle w:val="CatalystFooterlight"/>
        <w:rFonts w:ascii="Lato" w:hAnsi="Lato"/>
      </w:rPr>
      <w:t xml:space="preserve"> </w:t>
    </w:r>
    <w:r>
      <w:rPr/>
      <w:fldChar w:fldCharType="begin"/>
    </w:r>
    <w:r>
      <w:rPr/>
      <w:instrText> REF "ProjectFullName" </w:instrText>
    </w:r>
    <w:r>
      <w:rPr/>
      <w:fldChar w:fldCharType="separate"/>
    </w:r>
    <w:r>
      <w:rPr/>
      <w:t>Email Address Internationalization (EAI): Evaluation of Major Email Software and Services</w:t>
    </w:r>
    <w:r>
      <w:rPr/>
      <w:fldChar w:fldCharType="end"/>
    </w:r>
    <w:r>
      <w:rPr>
        <w:sz w:val="16"/>
        <w:szCs w:val="16"/>
      </w:rPr>
      <w:t xml:space="preserve"> </w:t>
    </w:r>
    <w:r>
      <w:rPr>
        <w:sz w:val="16"/>
        <w:szCs w:val="16"/>
      </w:rPr>
      <w:t xml:space="preserve">// </w:t>
    </w:r>
    <w:r>
      <w:rPr>
        <w:sz w:val="16"/>
        <w:szCs w:val="16"/>
      </w:rPr>
      <w:fldChar w:fldCharType="begin"/>
    </w:r>
    <w:r>
      <w:rPr>
        <w:sz w:val="16"/>
        <w:szCs w:val="16"/>
      </w:rPr>
      <w:instrText> REF "ClientFullName" </w:instrText>
    </w:r>
    <w:r>
      <w:rPr>
        <w:sz w:val="16"/>
        <w:szCs w:val="16"/>
      </w:rPr>
      <w:fldChar w:fldCharType="separate"/>
    </w:r>
    <w:r>
      <w:rPr>
        <w:sz w:val="16"/>
        <w:szCs w:val="16"/>
      </w:rPr>
      <w:t>UASG</w:t>
    </w:r>
    <w:r>
      <w:rPr>
        <w:sz w:val="16"/>
        <w:szCs w:val="16"/>
      </w:rPr>
      <w:fldChar w:fldCharType="end"/>
    </w:r>
  </w:p>
  <w:p>
    <w:pPr>
      <w:pStyle w:val="CatalystRFPFooter"/>
      <w:rPr>
        <w:sz w:val="16"/>
        <w:szCs w:val="16"/>
      </w:rPr>
    </w:pPr>
    <w:r>
      <w:rPr>
        <w:sz w:val="16"/>
        <w:szCs w:val="16"/>
      </w:rPr>
      <w:t>User Field PublicationDate = July 2019</w:t>
    </w:r>
  </w:p>
  <w:p>
    <w:pPr>
      <w:pStyle w:val="CatalystRFPFooter"/>
      <w:rPr/>
    </w:pPr>
    <w:r>
      <w:rPr/>
      <w:t xml:space="preserve">Version </w:t>
    </w:r>
    <w:r>
      <w:rPr/>
      <w:t>User Field Version = 0.3</w:t>
    </w:r>
    <w:r>
      <w:rPr/>
      <w:t xml:space="preserve"> //</w:t>
    </w:r>
    <w:r>
      <w:rPr/>
      <w:t>User Field Classification = Commercial in Confidence</w:t>
    </w:r>
    <w:r>
      <w:rPr/>
      <w:t xml:space="preserve"> // www.catalyst.net.nz</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talystRFPFooter"/>
      <w:rPr/>
    </w:pPr>
    <w:r>
      <w:drawing>
        <wp:anchor behindDoc="0" distT="0" distB="0" distL="0" distR="0" simplePos="0" locked="0" layoutInCell="1" allowOverlap="1" relativeHeight="26">
          <wp:simplePos x="0" y="0"/>
          <wp:positionH relativeFrom="page">
            <wp:posOffset>0</wp:posOffset>
          </wp:positionH>
          <wp:positionV relativeFrom="page">
            <wp:align>bottom</wp:align>
          </wp:positionV>
          <wp:extent cx="2016125" cy="612140"/>
          <wp:effectExtent l="0" t="0" r="0" b="0"/>
          <wp:wrapSquare wrapText="largest"/>
          <wp:docPr id="7"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1" descr=""/>
                  <pic:cNvPicPr>
                    <a:picLocks noChangeAspect="1" noChangeArrowheads="1"/>
                  </pic:cNvPicPr>
                </pic:nvPicPr>
                <pic:blipFill>
                  <a:blip r:embed="rId1"/>
                  <a:stretch>
                    <a:fillRect/>
                  </a:stretch>
                </pic:blipFill>
                <pic:spPr bwMode="auto">
                  <a:xfrm>
                    <a:off x="0" y="0"/>
                    <a:ext cx="2016125" cy="612140"/>
                  </a:xfrm>
                  <a:prstGeom prst="rect">
                    <a:avLst/>
                  </a:prstGeom>
                </pic:spPr>
              </pic:pic>
            </a:graphicData>
          </a:graphic>
        </wp:anchor>
      </w:drawing>
      <w:drawing>
        <wp:anchor behindDoc="0" distT="0" distB="0" distL="0" distR="0" simplePos="0" locked="0" layoutInCell="1" allowOverlap="1" relativeHeight="49">
          <wp:simplePos x="0" y="0"/>
          <wp:positionH relativeFrom="column">
            <wp:align>center</wp:align>
          </wp:positionH>
          <wp:positionV relativeFrom="page">
            <wp:posOffset>9773920</wp:posOffset>
          </wp:positionV>
          <wp:extent cx="7560310" cy="237490"/>
          <wp:effectExtent l="0" t="0" r="0" b="0"/>
          <wp:wrapSquare wrapText="largest"/>
          <wp:docPr id="8"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 descr=""/>
                  <pic:cNvPicPr>
                    <a:picLocks noChangeAspect="1" noChangeArrowheads="1"/>
                  </pic:cNvPicPr>
                </pic:nvPicPr>
                <pic:blipFill>
                  <a:blip r:embed="rId2"/>
                  <a:stretch>
                    <a:fillRect/>
                  </a:stretch>
                </pic:blipFill>
                <pic:spPr bwMode="auto">
                  <a:xfrm>
                    <a:off x="0" y="0"/>
                    <a:ext cx="7560310" cy="237490"/>
                  </a:xfrm>
                  <a:prstGeom prst="rect">
                    <a:avLst/>
                  </a:prstGeom>
                </pic:spPr>
              </pic:pic>
            </a:graphicData>
          </a:graphic>
        </wp:anchor>
      </w:drawing>
    </w:r>
    <w:r>
      <w:rPr/>
      <w:fldChar w:fldCharType="begin"/>
    </w:r>
    <w:r>
      <w:rPr/>
      <w:instrText> REF "ProjectFullName" </w:instrText>
    </w:r>
    <w:r>
      <w:rPr/>
      <w:fldChar w:fldCharType="separate"/>
    </w:r>
    <w:r>
      <w:rPr/>
      <w:t>Email Address Internationalization (EAI): Evaluation of Major Email Software and Services</w:t>
    </w:r>
    <w:r>
      <w:rPr/>
      <w:fldChar w:fldCharType="end"/>
    </w:r>
    <w:r>
      <w:rPr>
        <w:sz w:val="16"/>
        <w:szCs w:val="16"/>
      </w:rPr>
      <w:t xml:space="preserve"> </w:t>
    </w:r>
    <w:r>
      <w:rPr>
        <w:sz w:val="16"/>
        <w:szCs w:val="16"/>
      </w:rPr>
      <w:t xml:space="preserve">// </w:t>
    </w:r>
    <w:r>
      <w:rPr>
        <w:sz w:val="16"/>
        <w:szCs w:val="16"/>
      </w:rPr>
      <w:fldChar w:fldCharType="begin"/>
    </w:r>
    <w:r>
      <w:rPr>
        <w:sz w:val="16"/>
        <w:szCs w:val="16"/>
      </w:rPr>
      <w:instrText> REF "ClientFullName" </w:instrText>
    </w:r>
    <w:r>
      <w:rPr>
        <w:sz w:val="16"/>
        <w:szCs w:val="16"/>
      </w:rPr>
      <w:fldChar w:fldCharType="separate"/>
    </w:r>
    <w:r>
      <w:rPr>
        <w:sz w:val="16"/>
        <w:szCs w:val="16"/>
      </w:rPr>
      <w:t>UASG</w:t>
    </w:r>
    <w:r>
      <w:rPr>
        <w:sz w:val="16"/>
        <w:szCs w:val="16"/>
      </w:rPr>
      <w:fldChar w:fldCharType="end"/>
    </w:r>
  </w:p>
  <w:p>
    <w:pPr>
      <w:pStyle w:val="CatalystRFPFooter"/>
      <w:rPr>
        <w:sz w:val="16"/>
        <w:szCs w:val="16"/>
      </w:rPr>
    </w:pPr>
    <w:r>
      <w:rPr>
        <w:sz w:val="16"/>
        <w:szCs w:val="16"/>
      </w:rPr>
      <w:t>User Field PublicationDate = July 2019</w:t>
    </w:r>
  </w:p>
  <w:p>
    <w:pPr>
      <w:pStyle w:val="CatalystRFPFooter"/>
      <w:rPr/>
    </w:pPr>
    <w:r>
      <w:rPr>
        <w:rStyle w:val="CatalystFooterlight"/>
        <w:rFonts w:ascii="Lato" w:hAnsi="Lato"/>
        <w:szCs w:val="16"/>
      </w:rPr>
      <w:t xml:space="preserve">Version </w:t>
    </w:r>
    <w:r>
      <w:rPr>
        <w:rStyle w:val="CatalystFooterlight"/>
        <w:rFonts w:ascii="Lato" w:hAnsi="Lato"/>
        <w:szCs w:val="16"/>
      </w:rPr>
      <w:t>User Field Version = 0.3</w:t>
    </w:r>
    <w:r>
      <w:rPr>
        <w:rStyle w:val="CatalystFooterlight"/>
        <w:rFonts w:ascii="Lato" w:hAnsi="Lato"/>
        <w:szCs w:val="16"/>
      </w:rPr>
      <w:t xml:space="preserve"> // </w:t>
    </w:r>
    <w:r>
      <w:rPr>
        <w:rStyle w:val="CatalystFooterlight"/>
        <w:rFonts w:ascii="Lato" w:hAnsi="Lato"/>
        <w:szCs w:val="16"/>
      </w:rPr>
      <w:t>User Field Classification = Commercial in Confidence</w:t>
    </w:r>
    <w:r>
      <w:rPr>
        <w:rStyle w:val="CatalystFooterlight"/>
        <w:rFonts w:ascii="Lato" w:hAnsi="Lato"/>
        <w:szCs w:val="16"/>
      </w:rPr>
      <w:t xml:space="preserve"> </w:t>
    </w:r>
    <w:r>
      <w:rPr>
        <w:rStyle w:val="CatalystFooterlight"/>
      </w:rPr>
      <w:t>//</w:t>
    </w:r>
    <w:r>
      <w:rPr>
        <w:rStyle w:val="CatalystFooterlight"/>
        <w:rFonts w:ascii="Lato" w:hAnsi="Lato"/>
        <w:szCs w:val="16"/>
      </w:rPr>
      <w:t xml:space="preserve"> </w:t>
    </w:r>
    <w:r>
      <w:rPr/>
      <w:t xml:space="preserve">Page </w:t>
    </w:r>
    <w:r>
      <w:rPr/>
      <w:fldChar w:fldCharType="begin"/>
    </w:r>
    <w:r>
      <w:rPr/>
      <w:instrText> PAGE </w:instrText>
    </w:r>
    <w:r>
      <w:rPr/>
      <w:fldChar w:fldCharType="separate"/>
    </w:r>
    <w:r>
      <w:rPr/>
      <w:t>6</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talystRFPFooter"/>
      <w:rPr/>
    </w:pPr>
    <w:r>
      <w:drawing>
        <wp:anchor behindDoc="0" distT="0" distB="0" distL="0" distR="0" simplePos="0" locked="0" layoutInCell="1" allowOverlap="1" relativeHeight="26">
          <wp:simplePos x="0" y="0"/>
          <wp:positionH relativeFrom="page">
            <wp:posOffset>0</wp:posOffset>
          </wp:positionH>
          <wp:positionV relativeFrom="page">
            <wp:align>bottom</wp:align>
          </wp:positionV>
          <wp:extent cx="2016125" cy="612140"/>
          <wp:effectExtent l="0" t="0" r="0" b="0"/>
          <wp:wrapSquare wrapText="largest"/>
          <wp:docPr id="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 descr=""/>
                  <pic:cNvPicPr>
                    <a:picLocks noChangeAspect="1" noChangeArrowheads="1"/>
                  </pic:cNvPicPr>
                </pic:nvPicPr>
                <pic:blipFill>
                  <a:blip r:embed="rId1"/>
                  <a:stretch>
                    <a:fillRect/>
                  </a:stretch>
                </pic:blipFill>
                <pic:spPr bwMode="auto">
                  <a:xfrm>
                    <a:off x="0" y="0"/>
                    <a:ext cx="2016125" cy="612140"/>
                  </a:xfrm>
                  <a:prstGeom prst="rect">
                    <a:avLst/>
                  </a:prstGeom>
                </pic:spPr>
              </pic:pic>
            </a:graphicData>
          </a:graphic>
        </wp:anchor>
      </w:drawing>
      <w:drawing>
        <wp:anchor behindDoc="0" distT="0" distB="0" distL="0" distR="0" simplePos="0" locked="0" layoutInCell="1" allowOverlap="1" relativeHeight="49">
          <wp:simplePos x="0" y="0"/>
          <wp:positionH relativeFrom="column">
            <wp:align>center</wp:align>
          </wp:positionH>
          <wp:positionV relativeFrom="page">
            <wp:posOffset>9773920</wp:posOffset>
          </wp:positionV>
          <wp:extent cx="7560310" cy="237490"/>
          <wp:effectExtent l="0" t="0" r="0" b="0"/>
          <wp:wrapSquare wrapText="largest"/>
          <wp:docPr id="10"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 descr=""/>
                  <pic:cNvPicPr>
                    <a:picLocks noChangeAspect="1" noChangeArrowheads="1"/>
                  </pic:cNvPicPr>
                </pic:nvPicPr>
                <pic:blipFill>
                  <a:blip r:embed="rId2"/>
                  <a:stretch>
                    <a:fillRect/>
                  </a:stretch>
                </pic:blipFill>
                <pic:spPr bwMode="auto">
                  <a:xfrm>
                    <a:off x="0" y="0"/>
                    <a:ext cx="7560310" cy="237490"/>
                  </a:xfrm>
                  <a:prstGeom prst="rect">
                    <a:avLst/>
                  </a:prstGeom>
                </pic:spPr>
              </pic:pic>
            </a:graphicData>
          </a:graphic>
        </wp:anchor>
      </w:drawing>
    </w:r>
    <w:r>
      <w:rPr/>
      <w:fldChar w:fldCharType="begin"/>
    </w:r>
    <w:r>
      <w:rPr/>
      <w:instrText> REF "ProjectFullName" </w:instrText>
    </w:r>
    <w:r>
      <w:rPr/>
      <w:fldChar w:fldCharType="separate"/>
    </w:r>
    <w:r>
      <w:rPr/>
      <w:t>Email Address Internationalization (EAI): Evaluation of Major Email Software and Services</w:t>
    </w:r>
    <w:r>
      <w:rPr/>
      <w:fldChar w:fldCharType="end"/>
    </w:r>
    <w:r>
      <w:rPr>
        <w:sz w:val="16"/>
        <w:szCs w:val="16"/>
      </w:rPr>
      <w:t xml:space="preserve"> </w:t>
    </w:r>
    <w:r>
      <w:rPr>
        <w:sz w:val="16"/>
        <w:szCs w:val="16"/>
      </w:rPr>
      <w:t xml:space="preserve">// </w:t>
    </w:r>
    <w:r>
      <w:rPr>
        <w:sz w:val="16"/>
        <w:szCs w:val="16"/>
      </w:rPr>
      <w:fldChar w:fldCharType="begin"/>
    </w:r>
    <w:r>
      <w:rPr>
        <w:sz w:val="16"/>
        <w:szCs w:val="16"/>
      </w:rPr>
      <w:instrText> REF "ClientFullName" </w:instrText>
    </w:r>
    <w:r>
      <w:rPr>
        <w:sz w:val="16"/>
        <w:szCs w:val="16"/>
      </w:rPr>
      <w:fldChar w:fldCharType="separate"/>
    </w:r>
    <w:r>
      <w:rPr>
        <w:sz w:val="16"/>
        <w:szCs w:val="16"/>
      </w:rPr>
      <w:t>UASG</w:t>
    </w:r>
    <w:r>
      <w:rPr>
        <w:sz w:val="16"/>
        <w:szCs w:val="16"/>
      </w:rPr>
      <w:fldChar w:fldCharType="end"/>
    </w:r>
  </w:p>
  <w:p>
    <w:pPr>
      <w:pStyle w:val="CatalystRFPFooter"/>
      <w:rPr>
        <w:sz w:val="16"/>
        <w:szCs w:val="16"/>
      </w:rPr>
    </w:pPr>
    <w:r>
      <w:rPr>
        <w:sz w:val="16"/>
        <w:szCs w:val="16"/>
      </w:rPr>
      <w:t>User Field PublicationDate = July 2019</w:t>
    </w:r>
  </w:p>
  <w:p>
    <w:pPr>
      <w:pStyle w:val="CatalystRFPFooter"/>
      <w:rPr/>
    </w:pPr>
    <w:r>
      <w:rPr>
        <w:rStyle w:val="CatalystFooterlight"/>
        <w:rFonts w:ascii="Lato" w:hAnsi="Lato"/>
        <w:szCs w:val="16"/>
      </w:rPr>
      <w:t xml:space="preserve">Version </w:t>
    </w:r>
    <w:r>
      <w:rPr>
        <w:rStyle w:val="CatalystFooterlight"/>
        <w:rFonts w:ascii="Lato" w:hAnsi="Lato"/>
        <w:szCs w:val="16"/>
      </w:rPr>
      <w:t>User Field Version = 0.3</w:t>
    </w:r>
    <w:r>
      <w:rPr>
        <w:rStyle w:val="CatalystFooterlight"/>
        <w:rFonts w:ascii="Lato" w:hAnsi="Lato"/>
        <w:szCs w:val="16"/>
      </w:rPr>
      <w:t xml:space="preserve"> // </w:t>
    </w:r>
    <w:r>
      <w:rPr>
        <w:rStyle w:val="CatalystFooterlight"/>
        <w:rFonts w:ascii="Lato" w:hAnsi="Lato"/>
        <w:szCs w:val="16"/>
      </w:rPr>
      <w:t>User Field Classification = Commercial in Confidence</w:t>
    </w:r>
    <w:r>
      <w:rPr>
        <w:rStyle w:val="CatalystFooterlight"/>
        <w:rFonts w:ascii="Lato" w:hAnsi="Lato"/>
        <w:szCs w:val="16"/>
      </w:rPr>
      <w:t xml:space="preserve"> </w:t>
    </w:r>
    <w:r>
      <w:rPr>
        <w:rStyle w:val="CatalystFooterlight"/>
      </w:rPr>
      <w:t>//</w:t>
    </w:r>
    <w:r>
      <w:rPr>
        <w:rStyle w:val="CatalystFooterlight"/>
        <w:rFonts w:ascii="Lato" w:hAnsi="Lato"/>
        <w:szCs w:val="16"/>
      </w:rPr>
      <w:t xml:space="preserve"> </w:t>
    </w:r>
    <w:r>
      <w:rPr/>
      <w:t xml:space="preserve">Page </w:t>
    </w:r>
    <w:r>
      <w:rPr/>
      <w:fldChar w:fldCharType="begin"/>
    </w:r>
    <w:r>
      <w:rPr/>
      <w:instrText> PAGE </w:instrText>
    </w:r>
    <w:r>
      <w:rPr/>
      <w:fldChar w:fldCharType="separate"/>
    </w:r>
    <w:r>
      <w:rPr/>
      <w:t>6</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talystRFPFooter"/>
      <w:rPr/>
    </w:pPr>
    <w:r>
      <w:drawing>
        <wp:anchor behindDoc="0" distT="0" distB="0" distL="0" distR="0" simplePos="0" locked="0" layoutInCell="1" allowOverlap="1" relativeHeight="26">
          <wp:simplePos x="0" y="0"/>
          <wp:positionH relativeFrom="page">
            <wp:posOffset>0</wp:posOffset>
          </wp:positionH>
          <wp:positionV relativeFrom="page">
            <wp:align>bottom</wp:align>
          </wp:positionV>
          <wp:extent cx="2016125" cy="612140"/>
          <wp:effectExtent l="0" t="0" r="0" b="0"/>
          <wp:wrapSquare wrapText="largest"/>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
                  <a:stretch>
                    <a:fillRect/>
                  </a:stretch>
                </pic:blipFill>
                <pic:spPr bwMode="auto">
                  <a:xfrm>
                    <a:off x="0" y="0"/>
                    <a:ext cx="2016125" cy="612140"/>
                  </a:xfrm>
                  <a:prstGeom prst="rect">
                    <a:avLst/>
                  </a:prstGeom>
                </pic:spPr>
              </pic:pic>
            </a:graphicData>
          </a:graphic>
        </wp:anchor>
      </w:drawing>
      <w:drawing>
        <wp:anchor behindDoc="0" distT="0" distB="0" distL="0" distR="0" simplePos="0" locked="0" layoutInCell="1" allowOverlap="1" relativeHeight="49">
          <wp:simplePos x="0" y="0"/>
          <wp:positionH relativeFrom="column">
            <wp:align>center</wp:align>
          </wp:positionH>
          <wp:positionV relativeFrom="page">
            <wp:posOffset>9773920</wp:posOffset>
          </wp:positionV>
          <wp:extent cx="7560310" cy="237490"/>
          <wp:effectExtent l="0" t="0" r="0" b="0"/>
          <wp:wrapSquare wrapText="largest"/>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2"/>
                  <a:stretch>
                    <a:fillRect/>
                  </a:stretch>
                </pic:blipFill>
                <pic:spPr bwMode="auto">
                  <a:xfrm>
                    <a:off x="0" y="0"/>
                    <a:ext cx="7560310" cy="237490"/>
                  </a:xfrm>
                  <a:prstGeom prst="rect">
                    <a:avLst/>
                  </a:prstGeom>
                </pic:spPr>
              </pic:pic>
            </a:graphicData>
          </a:graphic>
        </wp:anchor>
      </w:drawing>
    </w:r>
    <w:r>
      <w:rPr/>
      <w:fldChar w:fldCharType="begin"/>
    </w:r>
    <w:r>
      <w:rPr/>
      <w:instrText> REF "ProjectFullName" </w:instrText>
    </w:r>
    <w:r>
      <w:rPr/>
      <w:fldChar w:fldCharType="separate"/>
    </w:r>
    <w:r>
      <w:rPr/>
      <w:t>Email Address Internationalization (EAI): Evaluation of Major Email Software and Services</w:t>
    </w:r>
    <w:r>
      <w:rPr/>
      <w:fldChar w:fldCharType="end"/>
    </w:r>
    <w:r>
      <w:rPr>
        <w:sz w:val="16"/>
        <w:szCs w:val="16"/>
      </w:rPr>
      <w:t xml:space="preserve"> </w:t>
    </w:r>
    <w:r>
      <w:rPr>
        <w:sz w:val="16"/>
        <w:szCs w:val="16"/>
      </w:rPr>
      <w:t xml:space="preserve">// </w:t>
    </w:r>
    <w:r>
      <w:rPr>
        <w:sz w:val="16"/>
        <w:szCs w:val="16"/>
      </w:rPr>
      <w:fldChar w:fldCharType="begin"/>
    </w:r>
    <w:r>
      <w:rPr>
        <w:sz w:val="16"/>
        <w:szCs w:val="16"/>
      </w:rPr>
      <w:instrText> REF "ClientFullName" </w:instrText>
    </w:r>
    <w:r>
      <w:rPr>
        <w:sz w:val="16"/>
        <w:szCs w:val="16"/>
      </w:rPr>
      <w:fldChar w:fldCharType="separate"/>
    </w:r>
    <w:r>
      <w:rPr>
        <w:sz w:val="16"/>
        <w:szCs w:val="16"/>
      </w:rPr>
      <w:t>UASG</w:t>
    </w:r>
    <w:r>
      <w:rPr>
        <w:sz w:val="16"/>
        <w:szCs w:val="16"/>
      </w:rPr>
      <w:fldChar w:fldCharType="end"/>
    </w:r>
  </w:p>
  <w:p>
    <w:pPr>
      <w:pStyle w:val="CatalystRFPFooter"/>
      <w:rPr>
        <w:sz w:val="16"/>
        <w:szCs w:val="16"/>
      </w:rPr>
    </w:pPr>
    <w:r>
      <w:rPr>
        <w:sz w:val="16"/>
        <w:szCs w:val="16"/>
      </w:rPr>
      <w:t>User Field PublicationDate = July 2019</w:t>
    </w:r>
  </w:p>
  <w:p>
    <w:pPr>
      <w:pStyle w:val="CatalystRFPFooter"/>
      <w:rPr/>
    </w:pPr>
    <w:r>
      <w:rPr>
        <w:rStyle w:val="CatalystFooterlight"/>
        <w:rFonts w:ascii="Lato" w:hAnsi="Lato"/>
        <w:szCs w:val="16"/>
      </w:rPr>
      <w:t xml:space="preserve">Version </w:t>
    </w:r>
    <w:r>
      <w:rPr>
        <w:rStyle w:val="CatalystFooterlight"/>
        <w:rFonts w:ascii="Lato" w:hAnsi="Lato"/>
        <w:szCs w:val="16"/>
      </w:rPr>
      <w:t>User Field Version = 0.3</w:t>
    </w:r>
    <w:r>
      <w:rPr>
        <w:rStyle w:val="CatalystFooterlight"/>
        <w:rFonts w:ascii="Lato" w:hAnsi="Lato"/>
        <w:szCs w:val="16"/>
      </w:rPr>
      <w:t xml:space="preserve"> // </w:t>
    </w:r>
    <w:r>
      <w:rPr>
        <w:rStyle w:val="CatalystFooterlight"/>
        <w:rFonts w:ascii="Lato" w:hAnsi="Lato"/>
        <w:szCs w:val="16"/>
      </w:rPr>
      <w:t>User Field Classification = Commercial in Confidence</w:t>
    </w:r>
    <w:r>
      <w:rPr>
        <w:rStyle w:val="CatalystFooterlight"/>
        <w:rFonts w:ascii="Lato" w:hAnsi="Lato"/>
        <w:szCs w:val="16"/>
      </w:rPr>
      <w:t xml:space="preserve"> </w:t>
    </w:r>
    <w:r>
      <w:rPr>
        <w:rStyle w:val="CatalystFooterlight"/>
      </w:rPr>
      <w:t>//</w:t>
    </w:r>
    <w:r>
      <w:rPr>
        <w:rStyle w:val="CatalystFooterlight"/>
        <w:rFonts w:ascii="Lato" w:hAnsi="Lato"/>
        <w:szCs w:val="16"/>
      </w:rPr>
      <w:t xml:space="preserve"> </w:t>
    </w:r>
    <w:r>
      <w:rPr/>
      <w:t xml:space="preserve">Page </w:t>
    </w:r>
    <w:r>
      <w:rPr/>
      <w:fldChar w:fldCharType="begin"/>
    </w:r>
    <w:r>
      <w:rPr/>
      <w:instrText> PAGE </w:instrText>
    </w:r>
    <w:r>
      <w:rPr/>
      <w:fldChar w:fldCharType="separate"/>
    </w:r>
    <w:r>
      <w:rPr/>
      <w:t>6</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tab/>
        <w:t xml:space="preserve">Note that this document contains </w:t>
      </w:r>
      <w:r>
        <w:rPr>
          <w:i/>
          <w:iCs/>
        </w:rPr>
        <w:t>updated</w:t>
      </w:r>
      <w:r>
        <w:rPr>
          <w:i w:val="false"/>
          <w:iCs w:val="false"/>
        </w:rPr>
        <w:t xml:space="preserve"> test cases and differs from the one distributed with UASG021A.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CatalystRFPHeading1"/>
      <w:numFmt w:val="decimal"/>
      <w:lvlText w:val=" %1 "/>
      <w:lvlJc w:val="left"/>
      <w:pPr>
        <w:tabs>
          <w:tab w:val="num" w:pos="567"/>
        </w:tabs>
        <w:ind w:left="567" w:hanging="567"/>
      </w:pPr>
    </w:lvl>
    <w:lvl w:ilvl="1">
      <w:start w:val="1"/>
      <w:pStyle w:val="CatalystRFPHeading2"/>
      <w:numFmt w:val="decimal"/>
      <w:lvlText w:val=" %1.%2 "/>
      <w:lvlJc w:val="left"/>
      <w:pPr>
        <w:ind w:left="0" w:hanging="0"/>
      </w:pPr>
    </w:lvl>
    <w:lvl w:ilvl="2">
      <w:start w:val="1"/>
      <w:pStyle w:val="CatalystRFPHeading3"/>
      <w:numFmt w:val="decimal"/>
      <w:lvlText w:val=" %1.%2.%3 "/>
      <w:lvlJc w:val="left"/>
      <w:pPr>
        <w:tabs>
          <w:tab w:val="num" w:pos="720"/>
        </w:tabs>
        <w:ind w:left="720" w:hanging="720"/>
      </w:pPr>
    </w:lvl>
    <w:lvl w:ilvl="3">
      <w:start w:val="1"/>
      <w:pStyle w:val="Heading4"/>
      <w:numFmt w:val="decimal"/>
      <w:lvlText w:val=" %1.%2.%3.%4 "/>
      <w:lvlJc w:val="left"/>
      <w:pPr>
        <w:tabs>
          <w:tab w:val="num" w:pos="864"/>
        </w:tabs>
        <w:ind w:left="864" w:hanging="864"/>
      </w:pPr>
    </w:lvl>
    <w:lvl w:ilvl="4">
      <w:start w:val="1"/>
      <w:pStyle w:val="Heading5"/>
      <w:numFmt w:val="decimal"/>
      <w:lvlText w:val=" %1.%2.%3.%4.%5 "/>
      <w:lvlJc w:val="left"/>
      <w:pPr>
        <w:tabs>
          <w:tab w:val="num" w:pos="1008"/>
        </w:tabs>
        <w:ind w:left="1008" w:hanging="1008"/>
      </w:pPr>
    </w:lvl>
    <w:lvl w:ilvl="5">
      <w:start w:val="1"/>
      <w:pStyle w:val="Heading6"/>
      <w:numFmt w:val="decimal"/>
      <w:lvlText w:val=" %1.%2.%3.%4.%5.%6 "/>
      <w:lvlJc w:val="left"/>
      <w:pPr>
        <w:tabs>
          <w:tab w:val="num" w:pos="1152"/>
        </w:tabs>
        <w:ind w:left="1152" w:hanging="1152"/>
      </w:pPr>
    </w:lvl>
    <w:lvl w:ilvl="6">
      <w:start w:val="1"/>
      <w:pStyle w:val="Heading7"/>
      <w:numFmt w:val="decimal"/>
      <w:lvlText w:val=" %1.%2.%3.%4.%5.%6.%7 "/>
      <w:lvlJc w:val="left"/>
      <w:pPr>
        <w:tabs>
          <w:tab w:val="num" w:pos="1296"/>
        </w:tabs>
        <w:ind w:left="1296" w:hanging="1296"/>
      </w:pPr>
    </w:lvl>
    <w:lvl w:ilvl="7">
      <w:start w:val="1"/>
      <w:pStyle w:val="Heading8"/>
      <w:numFmt w:val="decimal"/>
      <w:lvlText w:val=" %1.%2.%3.%4.%5.%6.%7.%8 "/>
      <w:lvlJc w:val="left"/>
      <w:pPr>
        <w:tabs>
          <w:tab w:val="num" w:pos="1440"/>
        </w:tabs>
        <w:ind w:left="1440" w:hanging="1440"/>
      </w:pPr>
    </w:lvl>
    <w:lvl w:ilvl="8">
      <w:start w:val="1"/>
      <w:pStyle w:val="Heading9"/>
      <w:numFmt w:val="decimal"/>
      <w:lvlText w:val=" %1.%2.%3.%4.%5.%6.%7.%8.%9 "/>
      <w:lvlJc w:val="left"/>
      <w:pPr>
        <w:tabs>
          <w:tab w:val="num" w:pos="1584"/>
        </w:tabs>
        <w:ind w:left="1584" w:hanging="1584"/>
      </w:pPr>
    </w:lvl>
  </w:abstractNum>
  <w:abstractNum w:abstractNumId="2">
    <w:lvl w:ilvl="0">
      <w:start w:val="1"/>
      <w:numFmt w:val="decimal"/>
      <w:lvlText w:val="%1."/>
      <w:lvlJc w:val="left"/>
      <w:pPr>
        <w:tabs>
          <w:tab w:val="num" w:pos="1134"/>
        </w:tabs>
        <w:ind w:left="1134" w:hanging="567"/>
      </w:pPr>
    </w:lvl>
    <w:lvl w:ilvl="1">
      <w:start w:val="1"/>
      <w:numFmt w:val="decimal"/>
      <w:lvlText w:val="%1.%2."/>
      <w:lvlJc w:val="left"/>
      <w:pPr>
        <w:tabs>
          <w:tab w:val="num" w:pos="1701"/>
        </w:tabs>
        <w:ind w:left="1701" w:hanging="567"/>
      </w:pPr>
    </w:lvl>
    <w:lvl w:ilvl="2">
      <w:start w:val="1"/>
      <w:numFmt w:val="decimal"/>
      <w:lvlText w:val="%3."/>
      <w:lvlJc w:val="left"/>
      <w:pPr>
        <w:tabs>
          <w:tab w:val="num" w:pos="2268"/>
        </w:tabs>
        <w:ind w:left="2268" w:hanging="567"/>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134"/>
        </w:tabs>
        <w:ind w:left="1134" w:hanging="567"/>
      </w:pPr>
      <w:rPr>
        <w:rFonts w:ascii="Symbol" w:hAnsi="Symbol" w:cs="Symbol" w:hint="default"/>
        <w:rFonts w:cs="OpenSymbol"/>
      </w:rPr>
    </w:lvl>
    <w:lvl w:ilvl="1">
      <w:start w:val="1"/>
      <w:numFmt w:val="bullet"/>
      <w:lvlText w:val=""/>
      <w:lvlJc w:val="left"/>
      <w:pPr>
        <w:tabs>
          <w:tab w:val="num" w:pos="1701"/>
        </w:tabs>
        <w:ind w:left="1701" w:hanging="567"/>
      </w:pPr>
      <w:rPr>
        <w:rFonts w:ascii="Symbol" w:hAnsi="Symbol" w:cs="Symbol" w:hint="default"/>
        <w:rFonts w:cs="OpenSymbol"/>
      </w:rPr>
    </w:lvl>
    <w:lvl w:ilvl="2">
      <w:start w:val="1"/>
      <w:numFmt w:val="bullet"/>
      <w:lvlText w:val=""/>
      <w:lvlJc w:val="left"/>
      <w:pPr>
        <w:tabs>
          <w:tab w:val="num" w:pos="2268"/>
        </w:tabs>
        <w:ind w:left="2268" w:hanging="567"/>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
    <w:lvl w:ilvl="0">
      <w:start w:val="1"/>
      <w:numFmt w:val="bullet"/>
      <w:lvlText w:val=""/>
      <w:lvlJc w:val="left"/>
      <w:pPr>
        <w:tabs>
          <w:tab w:val="num" w:pos="283"/>
        </w:tabs>
        <w:ind w:left="283" w:hanging="283"/>
      </w:pPr>
      <w:rPr>
        <w:rFonts w:ascii="Symbol" w:hAnsi="Symbol" w:cs="Symbol" w:hint="default"/>
        <w:rFonts w:cs="OpenSymbol"/>
      </w:rPr>
    </w:lvl>
    <w:lvl w:ilvl="1">
      <w:start w:val="1"/>
      <w:numFmt w:val="bullet"/>
      <w:lvlText w:val=""/>
      <w:lvlJc w:val="left"/>
      <w:pPr>
        <w:tabs>
          <w:tab w:val="num" w:pos="567"/>
        </w:tabs>
        <w:ind w:left="567" w:hanging="284"/>
      </w:pPr>
      <w:rPr>
        <w:rFonts w:ascii="Symbol" w:hAnsi="Symbol" w:cs="Symbol" w:hint="default"/>
        <w:rFonts w:cs="OpenSymbol"/>
      </w:rPr>
    </w:lvl>
    <w:lvl w:ilvl="2">
      <w:start w:val="1"/>
      <w:numFmt w:val="bullet"/>
      <w:lvlText w:val=""/>
      <w:lvlJc w:val="left"/>
      <w:pPr>
        <w:tabs>
          <w:tab w:val="num" w:pos="850"/>
        </w:tabs>
        <w:ind w:left="850" w:hanging="283"/>
      </w:pPr>
      <w:rPr>
        <w:rFonts w:ascii="Symbol" w:hAnsi="Symbol" w:cs="Symbol" w:hint="default"/>
        <w:rFonts w:cs="OpenSymbol"/>
      </w:rPr>
    </w:lvl>
    <w:lvl w:ilvl="3">
      <w:start w:val="1"/>
      <w:numFmt w:val="bullet"/>
      <w:lvlText w:val=""/>
      <w:lvlJc w:val="left"/>
      <w:pPr>
        <w:tabs>
          <w:tab w:val="num" w:pos="1134"/>
        </w:tabs>
        <w:ind w:left="1134" w:hanging="284"/>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decimal"/>
      <w:lvlText w:val="Appendix %1"/>
      <w:lvlJc w:val="left"/>
      <w:pPr>
        <w:tabs>
          <w:tab w:val="num" w:pos="1984"/>
        </w:tabs>
        <w:ind w:left="1984" w:hanging="1984"/>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tabs>
          <w:tab w:val="num" w:pos="1134"/>
        </w:tabs>
        <w:ind w:left="1134" w:hanging="567"/>
      </w:pPr>
      <w:rPr/>
    </w:lvl>
    <w:lvl w:ilvl="1">
      <w:start w:val="1"/>
      <w:numFmt w:val="lowerRoman"/>
      <w:lvlText w:val="%2."/>
      <w:lvlJc w:val="left"/>
      <w:pPr>
        <w:tabs>
          <w:tab w:val="num" w:pos="1701"/>
        </w:tabs>
        <w:ind w:left="1701" w:hanging="567"/>
      </w:pPr>
      <w:rPr/>
    </w:lvl>
    <w:lvl w:ilvl="2">
      <w:start w:val="1"/>
      <w:numFmt w:val="decimal"/>
      <w:lvlText w:val="%3."/>
      <w:lvlJc w:val="left"/>
      <w:pPr>
        <w:tabs>
          <w:tab w:val="num" w:pos="2268"/>
        </w:tabs>
        <w:ind w:left="2268" w:hanging="567"/>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6">
    <w:lvl w:ilvl="0">
      <w:start w:val="1"/>
      <w:numFmt w:val="decimal"/>
      <w:lvlText w:val=" %1 "/>
      <w:lvlJc w:val="left"/>
      <w:pPr>
        <w:tabs>
          <w:tab w:val="num" w:pos="567"/>
        </w:tabs>
        <w:ind w:left="567" w:hanging="567"/>
      </w:pPr>
    </w:lvl>
    <w:lvl w:ilvl="1">
      <w:start w:val="1"/>
      <w:numFmt w:val="decimal"/>
      <w:lvlText w:val=" %1.%2 "/>
      <w:lvlJc w:val="left"/>
      <w:pPr>
        <w:ind w:left="0" w:hanging="0"/>
      </w:pPr>
    </w:lvl>
    <w:lvl w:ilvl="2">
      <w:start w:val="1"/>
      <w:numFmt w:val="decimal"/>
      <w:lvlText w:val=" %1.%2.%3 "/>
      <w:lvlJc w:val="left"/>
      <w:pPr>
        <w:tabs>
          <w:tab w:val="num" w:pos="720"/>
        </w:tabs>
        <w:ind w:left="720" w:hanging="720"/>
      </w:pPr>
    </w:lvl>
    <w:lvl w:ilvl="3">
      <w:start w:val="1"/>
      <w:numFmt w:val="decimal"/>
      <w:lvlText w:val=" %1.%2.%3.%4 "/>
      <w:lvlJc w:val="left"/>
      <w:pPr>
        <w:tabs>
          <w:tab w:val="num" w:pos="864"/>
        </w:tabs>
        <w:ind w:left="864" w:hanging="864"/>
      </w:pPr>
    </w:lvl>
    <w:lvl w:ilvl="4">
      <w:start w:val="1"/>
      <w:numFmt w:val="decimal"/>
      <w:lvlText w:val=" %1.%2.%3.%4.%5 "/>
      <w:lvlJc w:val="left"/>
      <w:pPr>
        <w:tabs>
          <w:tab w:val="num" w:pos="1008"/>
        </w:tabs>
        <w:ind w:left="1008" w:hanging="1008"/>
      </w:pPr>
    </w:lvl>
    <w:lvl w:ilvl="5">
      <w:start w:val="1"/>
      <w:numFmt w:val="decimal"/>
      <w:lvlText w:val=" %1.%2.%3.%4.%5.%6 "/>
      <w:lvlJc w:val="left"/>
      <w:pPr>
        <w:tabs>
          <w:tab w:val="num" w:pos="1152"/>
        </w:tabs>
        <w:ind w:left="1152" w:hanging="1152"/>
      </w:pPr>
    </w:lvl>
    <w:lvl w:ilvl="6">
      <w:start w:val="1"/>
      <w:numFmt w:val="decimal"/>
      <w:lvlText w:val=" %1.%2.%3.%4.%5.%6.%7 "/>
      <w:lvlJc w:val="left"/>
      <w:pPr>
        <w:tabs>
          <w:tab w:val="num" w:pos="1296"/>
        </w:tabs>
        <w:ind w:left="1296" w:hanging="1296"/>
      </w:pPr>
    </w:lvl>
    <w:lvl w:ilvl="7">
      <w:start w:val="1"/>
      <w:numFmt w:val="decimal"/>
      <w:lvlText w:val=" %1.%2.%3.%4.%5.%6.%7.%8 "/>
      <w:lvlJc w:val="left"/>
      <w:pPr>
        <w:tabs>
          <w:tab w:val="num" w:pos="1440"/>
        </w:tabs>
        <w:ind w:left="1440" w:hanging="1440"/>
      </w:pPr>
    </w:lvl>
    <w:lvl w:ilvl="8">
      <w:start w:val="1"/>
      <w:numFmt w:val="decimal"/>
      <w:lvlText w:val=" %1.%2.%3.%4.%5.%6.%7.%8.%9 "/>
      <w:lvlJc w:val="left"/>
      <w:pPr>
        <w:tabs>
          <w:tab w:val="num" w:pos="1584"/>
        </w:tabs>
        <w:ind w:left="1584" w:hanging="1584"/>
      </w:pPr>
    </w:lvl>
  </w:abstractNum>
  <w:abstractNum w:abstractNumId="17">
    <w:lvl w:ilvl="0">
      <w:start w:val="1"/>
      <w:numFmt w:val="decimal"/>
      <w:lvlText w:val=" %1 "/>
      <w:lvlJc w:val="left"/>
      <w:pPr>
        <w:tabs>
          <w:tab w:val="num" w:pos="567"/>
        </w:tabs>
        <w:ind w:left="567" w:hanging="567"/>
      </w:pPr>
    </w:lvl>
    <w:lvl w:ilvl="1">
      <w:start w:val="1"/>
      <w:numFmt w:val="decimal"/>
      <w:lvlText w:val=" %1.%2 "/>
      <w:lvlJc w:val="left"/>
      <w:pPr>
        <w:ind w:left="0" w:hanging="0"/>
      </w:pPr>
    </w:lvl>
    <w:lvl w:ilvl="2">
      <w:start w:val="1"/>
      <w:numFmt w:val="decimal"/>
      <w:lvlText w:val=" %1.%2.%3 "/>
      <w:lvlJc w:val="left"/>
      <w:pPr>
        <w:tabs>
          <w:tab w:val="num" w:pos="720"/>
        </w:tabs>
        <w:ind w:left="720" w:hanging="720"/>
      </w:pPr>
    </w:lvl>
    <w:lvl w:ilvl="3">
      <w:start w:val="1"/>
      <w:numFmt w:val="decimal"/>
      <w:lvlText w:val=" %1.%2.%3.%4 "/>
      <w:lvlJc w:val="left"/>
      <w:pPr>
        <w:tabs>
          <w:tab w:val="num" w:pos="864"/>
        </w:tabs>
        <w:ind w:left="864" w:hanging="864"/>
      </w:pPr>
    </w:lvl>
    <w:lvl w:ilvl="4">
      <w:start w:val="1"/>
      <w:numFmt w:val="decimal"/>
      <w:lvlText w:val=" %1.%2.%3.%4.%5 "/>
      <w:lvlJc w:val="left"/>
      <w:pPr>
        <w:tabs>
          <w:tab w:val="num" w:pos="1008"/>
        </w:tabs>
        <w:ind w:left="1008" w:hanging="1008"/>
      </w:pPr>
    </w:lvl>
    <w:lvl w:ilvl="5">
      <w:start w:val="1"/>
      <w:numFmt w:val="decimal"/>
      <w:lvlText w:val=" %1.%2.%3.%4.%5.%6 "/>
      <w:lvlJc w:val="left"/>
      <w:pPr>
        <w:tabs>
          <w:tab w:val="num" w:pos="1152"/>
        </w:tabs>
        <w:ind w:left="1152" w:hanging="1152"/>
      </w:pPr>
    </w:lvl>
    <w:lvl w:ilvl="6">
      <w:start w:val="1"/>
      <w:numFmt w:val="decimal"/>
      <w:lvlText w:val=" %1.%2.%3.%4.%5.%6.%7 "/>
      <w:lvlJc w:val="left"/>
      <w:pPr>
        <w:tabs>
          <w:tab w:val="num" w:pos="1296"/>
        </w:tabs>
        <w:ind w:left="1296" w:hanging="1296"/>
      </w:pPr>
    </w:lvl>
    <w:lvl w:ilvl="7">
      <w:start w:val="1"/>
      <w:numFmt w:val="decimal"/>
      <w:lvlText w:val=" %1.%2.%3.%4.%5.%6.%7.%8 "/>
      <w:lvlJc w:val="left"/>
      <w:pPr>
        <w:tabs>
          <w:tab w:val="num" w:pos="1440"/>
        </w:tabs>
        <w:ind w:left="1440" w:hanging="1440"/>
      </w:pPr>
    </w:lvl>
    <w:lvl w:ilvl="8">
      <w:start w:val="1"/>
      <w:numFmt w:val="decimal"/>
      <w:lvlText w:val=" %1.%2.%3.%4.%5.%6.%7.%8.%9 "/>
      <w:lvlJc w:val="left"/>
      <w:pPr>
        <w:tabs>
          <w:tab w:val="num" w:pos="1584"/>
        </w:tabs>
        <w:ind w:left="1584" w:hanging="1584"/>
      </w:pPr>
    </w:lvl>
  </w:abstractNum>
  <w:abstractNum w:abstractNumId="18">
    <w:lvl w:ilvl="0">
      <w:start w:val="1"/>
      <w:numFmt w:val="decimal"/>
      <w:lvlText w:val=" %1 "/>
      <w:lvlJc w:val="left"/>
      <w:pPr>
        <w:tabs>
          <w:tab w:val="num" w:pos="567"/>
        </w:tabs>
        <w:ind w:left="567" w:hanging="567"/>
      </w:pPr>
    </w:lvl>
    <w:lvl w:ilvl="1">
      <w:start w:val="1"/>
      <w:numFmt w:val="decimal"/>
      <w:lvlText w:val=" %1.%2 "/>
      <w:lvlJc w:val="left"/>
      <w:pPr>
        <w:ind w:left="0" w:hanging="0"/>
      </w:pPr>
    </w:lvl>
    <w:lvl w:ilvl="2">
      <w:start w:val="1"/>
      <w:numFmt w:val="decimal"/>
      <w:lvlText w:val=" %1.%2.%3 "/>
      <w:lvlJc w:val="left"/>
      <w:pPr>
        <w:tabs>
          <w:tab w:val="num" w:pos="720"/>
        </w:tabs>
        <w:ind w:left="720" w:hanging="720"/>
      </w:pPr>
    </w:lvl>
    <w:lvl w:ilvl="3">
      <w:start w:val="1"/>
      <w:numFmt w:val="decimal"/>
      <w:lvlText w:val=" %1.%2.%3.%4 "/>
      <w:lvlJc w:val="left"/>
      <w:pPr>
        <w:tabs>
          <w:tab w:val="num" w:pos="864"/>
        </w:tabs>
        <w:ind w:left="864" w:hanging="864"/>
      </w:pPr>
    </w:lvl>
    <w:lvl w:ilvl="4">
      <w:start w:val="1"/>
      <w:numFmt w:val="decimal"/>
      <w:lvlText w:val=" %1.%2.%3.%4.%5 "/>
      <w:lvlJc w:val="left"/>
      <w:pPr>
        <w:tabs>
          <w:tab w:val="num" w:pos="1008"/>
        </w:tabs>
        <w:ind w:left="1008" w:hanging="1008"/>
      </w:pPr>
    </w:lvl>
    <w:lvl w:ilvl="5">
      <w:start w:val="1"/>
      <w:numFmt w:val="decimal"/>
      <w:lvlText w:val=" %1.%2.%3.%4.%5.%6 "/>
      <w:lvlJc w:val="left"/>
      <w:pPr>
        <w:tabs>
          <w:tab w:val="num" w:pos="1152"/>
        </w:tabs>
        <w:ind w:left="1152" w:hanging="1152"/>
      </w:pPr>
    </w:lvl>
    <w:lvl w:ilvl="6">
      <w:start w:val="1"/>
      <w:numFmt w:val="decimal"/>
      <w:lvlText w:val=" %1.%2.%3.%4.%5.%6.%7 "/>
      <w:lvlJc w:val="left"/>
      <w:pPr>
        <w:tabs>
          <w:tab w:val="num" w:pos="1296"/>
        </w:tabs>
        <w:ind w:left="1296" w:hanging="1296"/>
      </w:pPr>
    </w:lvl>
    <w:lvl w:ilvl="7">
      <w:start w:val="1"/>
      <w:numFmt w:val="decimal"/>
      <w:lvlText w:val=" %1.%2.%3.%4.%5.%6.%7.%8 "/>
      <w:lvlJc w:val="left"/>
      <w:pPr>
        <w:tabs>
          <w:tab w:val="num" w:pos="1440"/>
        </w:tabs>
        <w:ind w:left="1440" w:hanging="1440"/>
      </w:pPr>
    </w:lvl>
    <w:lvl w:ilvl="8">
      <w:start w:val="1"/>
      <w:numFmt w:val="decimal"/>
      <w:lvlText w:val=" %1.%2.%3.%4.%5.%6.%7.%8.%9 "/>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95"/>
  <w:defaultTabStop w:val="408"/>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Lohit Hindi"/>
        <w:kern w:val="2"/>
        <w:sz w:val="24"/>
        <w:szCs w:val="24"/>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DejaVu Sans" w:cs="Lohit Hindi"/>
      <w:color w:val="auto"/>
      <w:kern w:val="2"/>
      <w:sz w:val="24"/>
      <w:szCs w:val="24"/>
      <w:lang w:val="en-GB" w:eastAsia="zh-CN" w:bidi="hi-IN"/>
    </w:rPr>
  </w:style>
  <w:style w:type="paragraph" w:styleId="Heading1">
    <w:name w:val="Heading 1"/>
    <w:basedOn w:val="Heading"/>
    <w:next w:val="TextBody"/>
    <w:qFormat/>
    <w:pPr/>
    <w:rPr>
      <w:b/>
      <w:bCs/>
      <w:sz w:val="32"/>
      <w:szCs w:val="32"/>
    </w:rPr>
  </w:style>
  <w:style w:type="paragraph" w:styleId="Heading2">
    <w:name w:val="Heading 2"/>
    <w:basedOn w:val="Heading"/>
    <w:next w:val="TextBody"/>
    <w:qFormat/>
    <w:pPr/>
    <w:rPr>
      <w:b/>
      <w:bCs/>
      <w:i/>
      <w:iCs/>
      <w:sz w:val="28"/>
      <w:szCs w:val="28"/>
    </w:rPr>
  </w:style>
  <w:style w:type="paragraph" w:styleId="Heading3">
    <w:name w:val="Heading 3"/>
    <w:basedOn w:val="Heading"/>
    <w:next w:val="TextBody"/>
    <w:qFormat/>
    <w:pPr>
      <w:spacing w:before="140" w:after="120"/>
    </w:pPr>
    <w:rPr>
      <w:b/>
      <w:bCs/>
      <w:color w:val="808080"/>
      <w:sz w:val="28"/>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paragraph" w:styleId="Heading6">
    <w:name w:val="Heading 6"/>
    <w:basedOn w:val="Heading"/>
    <w:next w:val="TextBody"/>
    <w:qFormat/>
    <w:pPr>
      <w:numPr>
        <w:ilvl w:val="5"/>
        <w:numId w:val="1"/>
      </w:numPr>
      <w:spacing w:before="60" w:after="60"/>
      <w:outlineLvl w:val="5"/>
    </w:pPr>
    <w:rPr>
      <w:b/>
      <w:bCs/>
      <w:i/>
      <w:iCs/>
      <w:sz w:val="24"/>
      <w:szCs w:val="24"/>
    </w:rPr>
  </w:style>
  <w:style w:type="paragraph" w:styleId="Heading7">
    <w:name w:val="Heading 7"/>
    <w:basedOn w:val="Heading"/>
    <w:next w:val="TextBody"/>
    <w:qFormat/>
    <w:pPr>
      <w:numPr>
        <w:ilvl w:val="6"/>
        <w:numId w:val="1"/>
      </w:numPr>
      <w:spacing w:before="60" w:after="60"/>
      <w:outlineLvl w:val="6"/>
    </w:pPr>
    <w:rPr>
      <w:b/>
      <w:bCs/>
      <w:sz w:val="22"/>
      <w:szCs w:val="22"/>
    </w:rPr>
  </w:style>
  <w:style w:type="paragraph" w:styleId="Heading8">
    <w:name w:val="Heading 8"/>
    <w:basedOn w:val="Heading"/>
    <w:next w:val="TextBody"/>
    <w:qFormat/>
    <w:pPr>
      <w:numPr>
        <w:ilvl w:val="7"/>
        <w:numId w:val="1"/>
      </w:numPr>
      <w:spacing w:before="60" w:after="60"/>
      <w:outlineLvl w:val="7"/>
    </w:pPr>
    <w:rPr>
      <w:b/>
      <w:bCs/>
      <w:i/>
      <w:iCs/>
      <w:sz w:val="22"/>
      <w:szCs w:val="22"/>
    </w:rPr>
  </w:style>
  <w:style w:type="paragraph" w:styleId="Heading9">
    <w:name w:val="Heading 9"/>
    <w:basedOn w:val="Heading"/>
    <w:next w:val="TextBody"/>
    <w:qFormat/>
    <w:pPr>
      <w:numPr>
        <w:ilvl w:val="8"/>
        <w:numId w:val="1"/>
      </w:numPr>
      <w:spacing w:before="60" w:after="60"/>
      <w:outlineLvl w:val="8"/>
    </w:pPr>
    <w:rPr>
      <w:b/>
      <w:bCs/>
      <w:sz w:val="21"/>
      <w:szCs w:val="21"/>
    </w:rPr>
  </w:style>
  <w:style w:type="character" w:styleId="CatalystDefaultChar">
    <w:name w:val="Catalyst - Default Char"/>
    <w:qFormat/>
    <w:rPr>
      <w:rFonts w:ascii="Lato" w:hAnsi="Lato"/>
      <w:sz w:val="20"/>
    </w:rPr>
  </w:style>
  <w:style w:type="character" w:styleId="CatalystFooterlight">
    <w:name w:val="Catalyst - Footer light"/>
    <w:basedOn w:val="CatalystDefaultChar"/>
    <w:qFormat/>
    <w:rPr>
      <w:rFonts w:ascii="Lato Light" w:hAnsi="Lato Light"/>
      <w:b w:val="false"/>
      <w:color w:val="333333"/>
      <w:sz w:val="16"/>
    </w:rPr>
  </w:style>
  <w:style w:type="character" w:styleId="Bullets">
    <w:name w:val="Bullets"/>
    <w:qFormat/>
    <w:rPr>
      <w:rFonts w:ascii="OpenSymbol" w:hAnsi="OpenSymbol" w:eastAsia="OpenSymbol" w:cs="OpenSymbol"/>
    </w:rPr>
  </w:style>
  <w:style w:type="character" w:styleId="FootnoteCharacters">
    <w:name w:val="Footnote Characters"/>
    <w:qFormat/>
    <w:rPr>
      <w:rFonts w:ascii="Lato" w:hAnsi="Lato"/>
      <w:sz w:val="14"/>
    </w:rPr>
  </w:style>
  <w:style w:type="character" w:styleId="FootnoteAnchor">
    <w:name w:val="Footnote Anchor"/>
    <w:rPr>
      <w:rFonts w:ascii="Lato" w:hAnsi="Lato"/>
      <w:sz w:val="14"/>
      <w:vertAlign w:val="superscript"/>
    </w:rPr>
  </w:style>
  <w:style w:type="character" w:styleId="InternetLink">
    <w:name w:val="Internet Link"/>
    <w:basedOn w:val="CatalystDefaultChar"/>
    <w:rPr>
      <w:rFonts w:ascii="Lato" w:hAnsi="Lato"/>
      <w:color w:val="BB2025"/>
      <w:u w:val="none"/>
      <w:lang w:val="zxx" w:eastAsia="zxx" w:bidi="zxx"/>
    </w:rPr>
  </w:style>
  <w:style w:type="character" w:styleId="IndexLink">
    <w:name w:val="Index Link"/>
    <w:qFormat/>
    <w:rPr>
      <w:color w:val="auto"/>
    </w:rPr>
  </w:style>
  <w:style w:type="character" w:styleId="EndnoteCharacters">
    <w:name w:val="Endnote Characters"/>
    <w:qFormat/>
    <w:rPr/>
  </w:style>
  <w:style w:type="character" w:styleId="EndnoteAnchor">
    <w:name w:val="Endnote Anchor"/>
    <w:rPr>
      <w:vertAlign w:val="superscript"/>
    </w:rPr>
  </w:style>
  <w:style w:type="character" w:styleId="NumberingSymbols">
    <w:name w:val="Numbering Symbols"/>
    <w:qFormat/>
    <w:rPr/>
  </w:style>
  <w:style w:type="character" w:styleId="VisitedInternetLink">
    <w:name w:val="Visited Internet Link"/>
    <w:rPr>
      <w:color w:val="BB2025"/>
      <w:u w:val="none"/>
      <w:lang w:val="zxx" w:eastAsia="zxx" w:bidi="zxx"/>
    </w:rPr>
  </w:style>
  <w:style w:type="character" w:styleId="CatalystStepbysteptext">
    <w:name w:val="Catalyst - Step-by-step text"/>
    <w:basedOn w:val="CatalystDefaultChar"/>
    <w:qFormat/>
    <w:rPr>
      <w:color w:val="317686"/>
    </w:rPr>
  </w:style>
  <w:style w:type="character" w:styleId="ListLabel46">
    <w:name w:val="ListLabel 46"/>
    <w:qFormat/>
    <w:rPr/>
  </w:style>
  <w:style w:type="character" w:styleId="ListLabel47">
    <w:name w:val="ListLabel 47"/>
    <w:qFormat/>
    <w:rPr>
      <w:b/>
      <w:bCs/>
    </w:rPr>
  </w:style>
  <w:style w:type="character" w:styleId="Character20style">
    <w:name w:val="Character_20_style"/>
    <w:qFormat/>
    <w:rPr/>
  </w:style>
  <w:style w:type="paragraph" w:styleId="Heading">
    <w:name w:val="Heading"/>
    <w:basedOn w:val="Normal"/>
    <w:next w:val="TextBody"/>
    <w:qFormat/>
    <w:pPr>
      <w:keepNext w:val="true"/>
      <w:spacing w:before="240" w:after="120"/>
    </w:pPr>
    <w:rPr>
      <w:rFonts w:ascii="Arial" w:hAnsi="Arial" w:eastAsia="DejaVu Sans" w:cs="Lohit Hindi"/>
      <w:sz w:val="28"/>
      <w:szCs w:val="28"/>
    </w:rPr>
  </w:style>
  <w:style w:type="paragraph" w:styleId="TextBody">
    <w:name w:val="Body Text"/>
    <w:basedOn w:val="Normal"/>
    <w:pPr>
      <w:spacing w:before="0" w:after="120"/>
    </w:pPr>
    <w:rPr/>
  </w:style>
  <w:style w:type="paragraph" w:styleId="List">
    <w:name w:val="List"/>
    <w:basedOn w:val="TextBody"/>
    <w:pPr/>
    <w:rPr>
      <w:rFonts w:cs="Lohit Hindi"/>
    </w:rPr>
  </w:style>
  <w:style w:type="paragraph" w:styleId="Caption">
    <w:name w:val="Caption"/>
    <w:basedOn w:val="Normal"/>
    <w:qFormat/>
    <w:pPr>
      <w:suppressLineNumbers/>
      <w:spacing w:lineRule="exact" w:line="200" w:before="120" w:after="120"/>
    </w:pPr>
    <w:rPr>
      <w:rFonts w:ascii="Lato" w:hAnsi="Lato" w:cs="Lohit Hindi"/>
      <w:i w:val="false"/>
      <w:iCs/>
      <w:sz w:val="14"/>
      <w:szCs w:val="24"/>
    </w:rPr>
  </w:style>
  <w:style w:type="paragraph" w:styleId="Index">
    <w:name w:val="Index"/>
    <w:basedOn w:val="Normal"/>
    <w:qFormat/>
    <w:pPr>
      <w:suppressLineNumbers/>
    </w:pPr>
    <w:rPr>
      <w:rFonts w:cs="Lohit Hind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CatalystDefault">
    <w:name w:val="Catalyst - Default"/>
    <w:qFormat/>
    <w:pPr>
      <w:widowControl w:val="false"/>
      <w:kinsoku w:val="true"/>
      <w:overflowPunct w:val="true"/>
      <w:autoSpaceDE w:val="true"/>
      <w:bidi w:val="0"/>
      <w:ind w:left="0" w:right="0" w:hanging="0"/>
    </w:pPr>
    <w:rPr>
      <w:rFonts w:ascii="Lato" w:hAnsi="Lato" w:eastAsia="DejaVu Sans" w:cs="Lohit Hindi"/>
      <w:color w:val="auto"/>
      <w:kern w:val="2"/>
      <w:sz w:val="20"/>
      <w:szCs w:val="24"/>
      <w:lang w:val="en-NZ" w:eastAsia="zh-CN" w:bidi="hi-IN"/>
    </w:rPr>
  </w:style>
  <w:style w:type="paragraph" w:styleId="Contents10">
    <w:name w:val="Contents 10"/>
    <w:basedOn w:val="Index"/>
    <w:qFormat/>
    <w:pPr>
      <w:tabs>
        <w:tab w:val="right" w:pos="7091" w:leader="dot"/>
      </w:tabs>
      <w:ind w:left="2547" w:right="0" w:hanging="0"/>
    </w:pPr>
    <w:rPr/>
  </w:style>
  <w:style w:type="paragraph" w:styleId="CatalystRFPTitlepagehead1">
    <w:name w:val="Catalyst - RFP Title page head 1"/>
    <w:basedOn w:val="CatalystDefault"/>
    <w:next w:val="CatalystRFPTitlePageProjectName"/>
    <w:qFormat/>
    <w:pPr>
      <w:spacing w:lineRule="atLeast" w:line="472"/>
      <w:ind w:left="0" w:right="0" w:hanging="0"/>
    </w:pPr>
    <w:rPr>
      <w:rFonts w:ascii="Lato Light" w:hAnsi="Lato Light"/>
      <w:b w:val="false"/>
      <w:sz w:val="36"/>
    </w:rPr>
  </w:style>
  <w:style w:type="paragraph" w:styleId="CatalystRFPTitlePageProjectName">
    <w:name w:val="Catalyst - RFP Title Page Project Name"/>
    <w:basedOn w:val="CatalystDefault"/>
    <w:next w:val="CatalystRFPTitlepagehead2"/>
    <w:qFormat/>
    <w:pPr>
      <w:spacing w:lineRule="atLeast" w:line="704" w:before="283" w:after="0"/>
    </w:pPr>
    <w:rPr>
      <w:b w:val="false"/>
      <w:sz w:val="52"/>
    </w:rPr>
  </w:style>
  <w:style w:type="paragraph" w:styleId="CatalystRFPTitlepagehead3">
    <w:name w:val="Catalyst - RFP Title page head 3"/>
    <w:basedOn w:val="CatalystDefault"/>
    <w:qFormat/>
    <w:pPr>
      <w:spacing w:lineRule="atLeast" w:line="416" w:before="0" w:after="0"/>
    </w:pPr>
    <w:rPr>
      <w:rFonts w:ascii="Lato Light" w:hAnsi="Lato Light"/>
      <w:b w:val="false"/>
      <w:sz w:val="28"/>
    </w:rPr>
  </w:style>
  <w:style w:type="paragraph" w:styleId="CatalystRFPHeading1">
    <w:name w:val="Catalyst - RFP Heading 1"/>
    <w:basedOn w:val="CatalystDefault"/>
    <w:next w:val="CatalystRFPTextBody"/>
    <w:qFormat/>
    <w:pPr>
      <w:keepNext w:val="true"/>
      <w:numPr>
        <w:ilvl w:val="0"/>
        <w:numId w:val="1"/>
      </w:numPr>
      <w:spacing w:lineRule="atLeast" w:line="440" w:before="227" w:after="113"/>
      <w:ind w:left="567" w:right="0" w:hanging="567"/>
      <w:outlineLvl w:val="0"/>
    </w:pPr>
    <w:rPr>
      <w:b w:val="false"/>
      <w:color w:val="BB2025"/>
      <w:sz w:val="30"/>
    </w:rPr>
  </w:style>
  <w:style w:type="paragraph" w:styleId="CatalystRFPHeading2">
    <w:name w:val="Catalyst - RFP Heading 2"/>
    <w:basedOn w:val="CatalystDefault"/>
    <w:next w:val="CatalystRFPTextBody"/>
    <w:qFormat/>
    <w:pPr>
      <w:keepNext w:val="true"/>
      <w:numPr>
        <w:ilvl w:val="1"/>
        <w:numId w:val="1"/>
      </w:numPr>
      <w:spacing w:lineRule="atLeast" w:line="352" w:before="227" w:after="57"/>
      <w:ind w:left="0" w:right="0" w:hanging="0"/>
      <w:outlineLvl w:val="1"/>
    </w:pPr>
    <w:rPr>
      <w:b/>
      <w:sz w:val="26"/>
    </w:rPr>
  </w:style>
  <w:style w:type="paragraph" w:styleId="CatalystRFPHeading3">
    <w:name w:val="Catalyst - RFP Heading 3"/>
    <w:basedOn w:val="CatalystDefault"/>
    <w:next w:val="CatalystRFPTextBody"/>
    <w:qFormat/>
    <w:pPr>
      <w:keepNext w:val="true"/>
      <w:numPr>
        <w:ilvl w:val="2"/>
        <w:numId w:val="1"/>
      </w:numPr>
      <w:spacing w:lineRule="atLeast" w:line="324" w:before="227" w:after="0"/>
      <w:outlineLvl w:val="2"/>
    </w:pPr>
    <w:rPr>
      <w:b/>
      <w:sz w:val="22"/>
    </w:rPr>
  </w:style>
  <w:style w:type="paragraph" w:styleId="CatalystRFPTextBody">
    <w:name w:val="Catalyst - RFP Text Body"/>
    <w:basedOn w:val="CatalystDefault"/>
    <w:qFormat/>
    <w:pPr>
      <w:widowControl/>
      <w:spacing w:lineRule="atLeast" w:line="300" w:before="227" w:after="0"/>
    </w:pPr>
    <w:rPr/>
  </w:style>
  <w:style w:type="paragraph" w:styleId="CatalystRFPNumberedlist">
    <w:name w:val="Catalyst - RFP Numbered list"/>
    <w:basedOn w:val="CatalystDefault"/>
    <w:qFormat/>
    <w:pPr>
      <w:numPr>
        <w:ilvl w:val="0"/>
        <w:numId w:val="2"/>
      </w:numPr>
      <w:spacing w:lineRule="atLeast" w:line="280" w:before="85" w:after="0"/>
    </w:pPr>
    <w:rPr/>
  </w:style>
  <w:style w:type="paragraph" w:styleId="CatalystRFPBulletlist">
    <w:name w:val="Catalyst - RFP Bullet list"/>
    <w:basedOn w:val="CatalystDefault"/>
    <w:qFormat/>
    <w:pPr>
      <w:numPr>
        <w:ilvl w:val="0"/>
        <w:numId w:val="3"/>
      </w:numPr>
      <w:spacing w:lineRule="atLeast" w:line="300" w:before="85" w:after="0"/>
    </w:pPr>
    <w:rPr/>
  </w:style>
  <w:style w:type="paragraph" w:styleId="CatalystRFPCalloutText">
    <w:name w:val="Catalyst - RFP Callout Text"/>
    <w:basedOn w:val="CatalystDefault"/>
    <w:qFormat/>
    <w:pPr>
      <w:spacing w:lineRule="atLeast" w:line="324" w:before="227" w:after="0"/>
      <w:ind w:left="1134" w:right="1814" w:hanging="0"/>
    </w:pPr>
    <w:rPr>
      <w:rFonts w:ascii="Lato Light" w:hAnsi="Lato Light"/>
      <w:b/>
      <w:i/>
      <w:color w:val="4C4C4C"/>
      <w:sz w:val="22"/>
    </w:rPr>
  </w:style>
  <w:style w:type="paragraph" w:styleId="Footnote">
    <w:name w:val="Footnote Text"/>
    <w:basedOn w:val="Normal"/>
    <w:pPr>
      <w:suppressLineNumbers/>
      <w:ind w:left="339" w:right="0" w:hanging="339"/>
    </w:pPr>
    <w:rPr>
      <w:rFonts w:ascii="Lato" w:hAnsi="Lato"/>
      <w:sz w:val="14"/>
      <w:szCs w:val="20"/>
    </w:rPr>
  </w:style>
  <w:style w:type="paragraph" w:styleId="CatalystRFPToCheading">
    <w:name w:val="Catalyst - RFP ToC heading"/>
    <w:basedOn w:val="CatalystDefault"/>
    <w:qFormat/>
    <w:pPr>
      <w:spacing w:lineRule="atLeast" w:line="400" w:before="0" w:after="113"/>
    </w:pPr>
    <w:rPr>
      <w:b/>
      <w:color w:val="BB2025"/>
      <w:sz w:val="30"/>
    </w:rPr>
  </w:style>
  <w:style w:type="paragraph" w:styleId="CatalystRFPToClevel1">
    <w:name w:val="Catalyst - RFP ToC level 1"/>
    <w:basedOn w:val="CatalystDefault"/>
    <w:qFormat/>
    <w:pPr>
      <w:spacing w:lineRule="atLeast" w:line="324" w:before="227" w:after="0"/>
      <w:ind w:left="567" w:right="0" w:hanging="567"/>
    </w:pPr>
    <w:rPr>
      <w:b/>
      <w:sz w:val="22"/>
    </w:rPr>
  </w:style>
  <w:style w:type="paragraph" w:styleId="CatalystRFPToClevel2">
    <w:name w:val="Catalyst - RFP ToC level 2"/>
    <w:basedOn w:val="CatalystDefault"/>
    <w:qFormat/>
    <w:pPr>
      <w:spacing w:lineRule="atLeast" w:line="300" w:before="113" w:after="0"/>
      <w:ind w:left="567" w:right="0" w:hanging="0"/>
    </w:pPr>
    <w:rPr/>
  </w:style>
  <w:style w:type="paragraph" w:styleId="CatalystRFPHeading3whenwithheading2">
    <w:name w:val="Catalyst - RFP Heading 3 when with heading 2"/>
    <w:basedOn w:val="CatalystRFPHeading3"/>
    <w:next w:val="CatalystRFPTextBody"/>
    <w:qFormat/>
    <w:pPr>
      <w:numPr>
        <w:ilvl w:val="0"/>
        <w:numId w:val="0"/>
      </w:numPr>
      <w:spacing w:lineRule="atLeast" w:line="324" w:before="0" w:after="0"/>
      <w:ind w:left="0" w:right="0" w:hanging="0"/>
    </w:pPr>
    <w:rPr/>
  </w:style>
  <w:style w:type="paragraph" w:styleId="CatalystRFPTitlepagehead4">
    <w:name w:val="Catalyst - RFP Title page head 4"/>
    <w:basedOn w:val="CatalystDefault"/>
    <w:qFormat/>
    <w:pPr>
      <w:spacing w:lineRule="atLeast" w:line="416" w:before="283" w:after="0"/>
    </w:pPr>
    <w:rPr>
      <w:sz w:val="28"/>
    </w:rPr>
  </w:style>
  <w:style w:type="paragraph" w:styleId="CatalystRFPFootnote">
    <w:name w:val="Catalyst - RFP Footnote"/>
    <w:basedOn w:val="CatalystDefault"/>
    <w:qFormat/>
    <w:pPr>
      <w:spacing w:lineRule="atLeast" w:line="228"/>
      <w:ind w:left="283" w:right="0" w:hanging="283"/>
    </w:pPr>
    <w:rPr>
      <w:sz w:val="14"/>
    </w:rPr>
  </w:style>
  <w:style w:type="paragraph" w:styleId="CatalystRFPFooter">
    <w:name w:val="Catalyst - RFP Footer"/>
    <w:basedOn w:val="CatalystDefault"/>
    <w:qFormat/>
    <w:pPr>
      <w:spacing w:lineRule="atLeast" w:line="252"/>
      <w:jc w:val="right"/>
    </w:pPr>
    <w:rPr>
      <w:rFonts w:ascii="Lato" w:hAnsi="Lato"/>
      <w:b w:val="false"/>
      <w:color w:val="333333"/>
      <w:sz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CatalystRFPTableheader">
    <w:name w:val="Catalyst - RFP Table header"/>
    <w:basedOn w:val="CatalystDefault"/>
    <w:qFormat/>
    <w:pPr>
      <w:spacing w:lineRule="atLeast" w:line="300"/>
    </w:pPr>
    <w:rPr>
      <w:b/>
    </w:rPr>
  </w:style>
  <w:style w:type="paragraph" w:styleId="CatalystRFPTablecontents">
    <w:name w:val="Catalyst - RFP Table contents"/>
    <w:basedOn w:val="CatalystDefault"/>
    <w:qFormat/>
    <w:pPr>
      <w:spacing w:lineRule="atLeast" w:line="300" w:before="0" w:after="113"/>
    </w:pPr>
    <w:rPr/>
  </w:style>
  <w:style w:type="paragraph" w:styleId="FrameContents">
    <w:name w:val="Frame Contents"/>
    <w:basedOn w:val="TextBody"/>
    <w:qFormat/>
    <w:pPr/>
    <w:rPr/>
  </w:style>
  <w:style w:type="paragraph" w:styleId="CatalystRFPTitlepagehead2">
    <w:name w:val="Catalyst - RFP Title page head 2"/>
    <w:basedOn w:val="CatalystDefault"/>
    <w:qFormat/>
    <w:pPr>
      <w:spacing w:lineRule="atLeast" w:line="472" w:before="283" w:after="0"/>
    </w:pPr>
    <w:rPr>
      <w:b w:val="false"/>
      <w:sz w:val="36"/>
    </w:rPr>
  </w:style>
  <w:style w:type="paragraph" w:styleId="CatalystRFPTablemainheader">
    <w:name w:val="Catalyst - RFP Table main header"/>
    <w:basedOn w:val="CatalystDefault"/>
    <w:qFormat/>
    <w:pPr>
      <w:spacing w:lineRule="atLeast" w:line="324" w:before="113" w:after="113"/>
    </w:pPr>
    <w:rPr>
      <w:b/>
      <w:sz w:val="22"/>
    </w:rPr>
  </w:style>
  <w:style w:type="paragraph" w:styleId="CatalystRFPTechnicalfont">
    <w:name w:val="Catalyst - RFP Technical font"/>
    <w:basedOn w:val="CatalystDefault"/>
    <w:qFormat/>
    <w:pPr>
      <w:spacing w:before="227" w:after="0"/>
    </w:pPr>
    <w:rPr>
      <w:rFonts w:ascii="Courier 10 Pitch" w:hAnsi="Courier 10 Pitch"/>
    </w:rPr>
  </w:style>
  <w:style w:type="paragraph" w:styleId="CatalystRFPTextBodyindent">
    <w:name w:val="Catalyst - RFP Text Body indent"/>
    <w:basedOn w:val="CatalystDefault"/>
    <w:qFormat/>
    <w:pPr>
      <w:widowControl/>
      <w:spacing w:lineRule="atLeast" w:line="302" w:before="227" w:after="0"/>
      <w:ind w:left="567" w:right="0" w:hanging="0"/>
    </w:pPr>
    <w:rPr/>
  </w:style>
  <w:style w:type="paragraph" w:styleId="CatalystRFPTablebulletlist">
    <w:name w:val="Catalyst - RFP Table bullet list"/>
    <w:basedOn w:val="CatalystDefault"/>
    <w:qFormat/>
    <w:pPr>
      <w:numPr>
        <w:ilvl w:val="0"/>
        <w:numId w:val="4"/>
      </w:numPr>
      <w:spacing w:lineRule="atLeast" w:line="302" w:before="0" w:after="0"/>
    </w:pPr>
    <w:rPr/>
  </w:style>
  <w:style w:type="paragraph" w:styleId="CatalystRFPAppendixtitles">
    <w:name w:val="Catalyst - RFP Appendix  titles"/>
    <w:basedOn w:val="CatalystDefault"/>
    <w:qFormat/>
    <w:pPr>
      <w:numPr>
        <w:ilvl w:val="0"/>
        <w:numId w:val="5"/>
      </w:numPr>
      <w:spacing w:lineRule="atLeast" w:line="439" w:before="227" w:after="113"/>
      <w:ind w:left="1984" w:right="0" w:hanging="1984"/>
    </w:pPr>
    <w:rPr>
      <w:color w:val="BB2025"/>
      <w:sz w:val="30"/>
    </w:rPr>
  </w:style>
  <w:style w:type="paragraph" w:styleId="CatalystRFPLetteredlist">
    <w:name w:val="Catalyst - RFP Lettered list"/>
    <w:basedOn w:val="CatalystDefault"/>
    <w:qFormat/>
    <w:pPr>
      <w:numPr>
        <w:ilvl w:val="0"/>
        <w:numId w:val="6"/>
      </w:numPr>
      <w:spacing w:lineRule="atLeast" w:line="302" w:before="227" w:after="0"/>
    </w:pPr>
    <w:rPr/>
  </w:style>
  <w:style w:type="paragraph" w:styleId="CatalystRFPTextBodyindentagain">
    <w:name w:val="Catalyst - RFP Text Body indent again"/>
    <w:basedOn w:val="CatalystDefault"/>
    <w:qFormat/>
    <w:pPr>
      <w:widowControl/>
      <w:spacing w:lineRule="atLeast" w:line="302" w:before="227" w:after="0"/>
      <w:ind w:left="1134" w:right="0" w:hanging="0"/>
    </w:pPr>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atalystTitlepageheading2">
    <w:name w:val="Catalyst - Title page heading 2"/>
    <w:basedOn w:val="CatalystDefault"/>
    <w:next w:val="CatalystTitlepageheading3"/>
    <w:qFormat/>
    <w:pPr>
      <w:spacing w:lineRule="atLeast" w:line="512" w:before="0" w:after="0"/>
    </w:pPr>
    <w:rPr>
      <w:b w:val="false"/>
      <w:sz w:val="36"/>
    </w:rPr>
  </w:style>
  <w:style w:type="paragraph" w:styleId="CatalystTitlepageheading3">
    <w:name w:val="Catalyst - Title page heading 3"/>
    <w:basedOn w:val="CatalystDefault"/>
    <w:next w:val="CatalystTitlepageheading2"/>
    <w:qFormat/>
    <w:pPr>
      <w:spacing w:lineRule="atLeast" w:line="416" w:before="0" w:after="0"/>
    </w:pPr>
    <w:rPr>
      <w:rFonts w:ascii="Lato Light" w:hAnsi="Lato Light"/>
      <w:b w:val="false"/>
      <w:sz w:val="28"/>
    </w:rPr>
  </w:style>
  <w:style w:type="numbering" w:styleId="CatalystRFPNumberedList1">
    <w:name w:val="Catalyst - RFP Numbered List"/>
    <w:qFormat/>
  </w:style>
  <w:style w:type="numbering" w:styleId="CatalystRFPBullettedList">
    <w:name w:val="Catalyst - RFP Bulletted List"/>
    <w:qFormat/>
  </w:style>
  <w:style w:type="numbering" w:styleId="CatalystRFPTablebulletlist1">
    <w:name w:val="Catalyst - RFP Table bullet list"/>
    <w:qFormat/>
  </w:style>
  <w:style w:type="numbering" w:styleId="CatalystRFPAppendixtitles1">
    <w:name w:val="Catalyst - RFP Appendix titles"/>
    <w:qFormat/>
  </w:style>
  <w:style w:type="numbering" w:styleId="CatalystRFPLetteredlist1">
    <w:name w:val="Catalyst - RFP Lettered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2.png"/><Relationship Id="rId4" Type="http://schemas.openxmlformats.org/officeDocument/2006/relationships/footer" Target="footer2.xml"/><Relationship Id="rId5" Type="http://schemas.openxmlformats.org/officeDocument/2006/relationships/image" Target="media/image5.png"/><Relationship Id="rId6" Type="http://schemas.openxmlformats.org/officeDocument/2006/relationships/hyperlink" Target="https://uasg.tech/wp-content/uploads/2018/09/UASG021A.pdf" TargetMode="External"/><Relationship Id="rId7" Type="http://schemas.openxmlformats.org/officeDocument/2006/relationships/hyperlink" Target="https://uasg.tech/wp-content/uploads/2018/09/UASG021A.pdf" TargetMode="External"/><Relationship Id="rId8" Type="http://schemas.openxmlformats.org/officeDocument/2006/relationships/hyperlink" Target="https://uasg.tech/wp-content/uploads/2018/09/UASG021A.xlsx" TargetMode="External"/><Relationship Id="rId9" Type="http://schemas.openxmlformats.org/officeDocument/2006/relationships/hyperlink" Target="https://uasg.tech/wp-content/uploads/2018/06/UASG012.pdf" TargetMode="External"/><Relationship Id="rId10" Type="http://schemas.openxmlformats.org/officeDocument/2006/relationships/hyperlink" Target="https://tools.ietf.org/html/rfc5598" TargetMode="External"/><Relationship Id="rId11" Type="http://schemas.openxmlformats.org/officeDocument/2006/relationships/image" Target="media/image6.png"/><Relationship Id="rId12" Type="http://schemas.openxmlformats.org/officeDocument/2006/relationships/hyperlink" Target="https://www.coremail.cn/" TargetMode="External"/><Relationship Id="rId13" Type="http://schemas.openxmlformats.org/officeDocument/2006/relationships/hyperlink" Target="https://uasg.tech/wp-content/uploads/2018/09/UASG021A.pdf" TargetMode="External"/><Relationship Id="rId14" Type="http://schemas.openxmlformats.org/officeDocument/2006/relationships/footer" Target="footer3.xml"/><Relationship Id="rId15" Type="http://schemas.openxmlformats.org/officeDocument/2006/relationships/hyperlink" Target="https://uasg.tech/wp-content/uploads/2018/09/UASG021A.pdf" TargetMode="External"/><Relationship Id="rId16" Type="http://schemas.openxmlformats.org/officeDocument/2006/relationships/footer" Target="footer4.xml"/><Relationship Id="rId17" Type="http://schemas.openxmlformats.org/officeDocument/2006/relationships/hyperlink" Target="https://uasg.tech/wp-content/uploads/2018/09/UASG021A.pdf" TargetMode="External"/><Relationship Id="rId18" Type="http://schemas.openxmlformats.org/officeDocument/2006/relationships/footer" Target="footer5.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
</Relationships>
</file>

<file path=word/_rels/footer4.xml.rels><?xml version="1.0" encoding="UTF-8"?>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
</Relationships>
</file>

<file path=word/_rels/footer5.xml.rels><?xml version="1.0" encoding="UTF-8"?>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2.png"/>
</Relationships>
</file>

<file path=docProps/app.xml><?xml version="1.0" encoding="utf-8"?>
<Properties xmlns="http://schemas.openxmlformats.org/officeDocument/2006/extended-properties" xmlns:vt="http://schemas.openxmlformats.org/officeDocument/2006/docPropsVTypes">
  <Template/>
  <TotalTime>37205</TotalTime>
  <Application>LibreOffice/6.0.7.3$Linux_X86_64 LibreOffice_project/00m0$Build-3</Application>
  <Pages>27</Pages>
  <Words>6612</Words>
  <Characters>36312</Characters>
  <CharactersWithSpaces>42283</CharactersWithSpaces>
  <Paragraphs>709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2018-05-28T14:32:24Z</dcterms:created>
  <dc:creator/>
  <dc:description/>
  <dc:language>en-NZ</dc:language>
  <cp:lastModifiedBy/>
  <dcterms:modified xsi:type="dcterms:W3CDTF">2019-07-25T14:12:16Z</dcterms:modified>
  <cp:revision>890</cp:revision>
  <dc:subject/>
  <dc:title/>
</cp:coreProperties>
</file>