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2E9E3" w14:textId="2BF36EBE" w:rsidR="00041254" w:rsidRPr="005E77DB" w:rsidRDefault="00C61E02" w:rsidP="00041254">
      <w:pPr>
        <w:rPr>
          <w:b/>
          <w:bCs/>
        </w:rPr>
      </w:pPr>
      <w:r w:rsidRPr="005E77DB">
        <w:rPr>
          <w:b/>
          <w:bCs/>
        </w:rPr>
        <w:t>Notes</w:t>
      </w:r>
    </w:p>
    <w:p w14:paraId="48602836" w14:textId="496D81EB" w:rsidR="00C61E02" w:rsidRPr="005E77DB" w:rsidRDefault="00C61E02" w:rsidP="00041254">
      <w:pPr>
        <w:rPr>
          <w:b/>
          <w:bCs/>
          <w:sz w:val="32"/>
          <w:szCs w:val="32"/>
        </w:rPr>
      </w:pPr>
      <w:r w:rsidRPr="005E77DB">
        <w:rPr>
          <w:b/>
          <w:bCs/>
          <w:sz w:val="32"/>
          <w:szCs w:val="32"/>
        </w:rPr>
        <w:t xml:space="preserve">EAI Gathering – Redmond Washington – April 12 &amp; 13 2017 </w:t>
      </w:r>
    </w:p>
    <w:p w14:paraId="2122A700" w14:textId="256DB119" w:rsidR="00C61E02" w:rsidRDefault="005E77DB" w:rsidP="005E77DB">
      <w:pPr>
        <w:jc w:val="right"/>
      </w:pPr>
      <w:r>
        <w:t>Version 2017-04-15</w:t>
      </w:r>
    </w:p>
    <w:p w14:paraId="091DE2D3" w14:textId="77777777" w:rsidR="00C61E02" w:rsidRDefault="00C61E02" w:rsidP="00041254"/>
    <w:p w14:paraId="5A9372F2" w14:textId="2F0DA7D6" w:rsidR="00C61E02" w:rsidRDefault="00C61E02" w:rsidP="00C61E02">
      <w:pPr>
        <w:pStyle w:val="ListParagraph"/>
        <w:numPr>
          <w:ilvl w:val="0"/>
          <w:numId w:val="19"/>
        </w:numPr>
      </w:pPr>
      <w:r>
        <w:t>EAI Day</w:t>
      </w:r>
    </w:p>
    <w:p w14:paraId="44CAB1A4" w14:textId="6FF7D2D8" w:rsidR="00C61E02" w:rsidRDefault="00C61E02" w:rsidP="00C61E02">
      <w:pPr>
        <w:pStyle w:val="ListParagraph"/>
        <w:ind w:left="360"/>
      </w:pPr>
      <w:r>
        <w:t xml:space="preserve">There was support for something like an EAI Day – </w:t>
      </w:r>
      <w:r w:rsidR="004C67CB">
        <w:t>like</w:t>
      </w:r>
      <w:r>
        <w:t xml:space="preserve"> the IPv6 Days of the past.</w:t>
      </w:r>
    </w:p>
    <w:p w14:paraId="3EA14D57" w14:textId="3E0DA464" w:rsidR="00C61E02" w:rsidRDefault="00C61E02" w:rsidP="00C61E02">
      <w:pPr>
        <w:pStyle w:val="ListParagraph"/>
        <w:ind w:left="360"/>
      </w:pPr>
      <w:r>
        <w:t>There were two achievements to be celebrated.</w:t>
      </w:r>
    </w:p>
    <w:p w14:paraId="4877FC0F" w14:textId="438CE7BB" w:rsidR="00C61E02" w:rsidRDefault="00C61E02" w:rsidP="00C61E02">
      <w:pPr>
        <w:pStyle w:val="ListParagraph"/>
        <w:ind w:left="360"/>
      </w:pPr>
      <w:r>
        <w:t xml:space="preserve">The first is when the first x Billion mailboxes </w:t>
      </w:r>
      <w:r w:rsidR="004C67CB">
        <w:t>can</w:t>
      </w:r>
      <w:r>
        <w:t xml:space="preserve"> send and receive EAI mail.   </w:t>
      </w:r>
    </w:p>
    <w:p w14:paraId="006E800D" w14:textId="543794D7" w:rsidR="00C61E02" w:rsidRDefault="00C61E02" w:rsidP="00C61E02">
      <w:pPr>
        <w:pStyle w:val="ListParagraph"/>
      </w:pPr>
      <w:r>
        <w:t>A key question is how many mailboxes currently exist</w:t>
      </w:r>
      <w:r w:rsidR="004E10A0">
        <w:t xml:space="preserve">: </w:t>
      </w:r>
      <w:hyperlink r:id="rId7" w:history="1">
        <w:r w:rsidR="004E10A0" w:rsidRPr="009E6C57">
          <w:rPr>
            <w:rStyle w:val="Hyperlink"/>
          </w:rPr>
          <w:t>https://www.lifewire.com/how-many-email-users-are-there-1171213</w:t>
        </w:r>
      </w:hyperlink>
    </w:p>
    <w:p w14:paraId="4CF7C721" w14:textId="79EE65A6" w:rsidR="004E10A0" w:rsidRDefault="002F0C62" w:rsidP="00C61E02">
      <w:pPr>
        <w:pStyle w:val="ListParagraph"/>
      </w:pPr>
      <w:r>
        <w:t xml:space="preserve">This suggests there are 6.3 Billion email addresses.   </w:t>
      </w:r>
    </w:p>
    <w:p w14:paraId="0C8A8B15" w14:textId="729A0AD2" w:rsidR="00B27324" w:rsidRPr="00B27324" w:rsidRDefault="00B27324" w:rsidP="00C61E02">
      <w:pPr>
        <w:pStyle w:val="ListParagraph"/>
      </w:pPr>
      <w:r>
        <w:rPr>
          <w:i/>
          <w:iCs/>
        </w:rPr>
        <w:t>Target is the end of this year, early 2018</w:t>
      </w:r>
    </w:p>
    <w:p w14:paraId="2FAEA9E7" w14:textId="3020F7F2" w:rsidR="005713F4" w:rsidRDefault="005713F4" w:rsidP="005713F4">
      <w:pPr>
        <w:pStyle w:val="ListParagraph"/>
        <w:ind w:left="360"/>
      </w:pPr>
      <w:r>
        <w:t>The second is when the mailbox providers of the first x Billion could HOST EAI addresses.</w:t>
      </w:r>
    </w:p>
    <w:p w14:paraId="1A9E08E3" w14:textId="74E52B7F" w:rsidR="00B27324" w:rsidRDefault="00B27324" w:rsidP="005713F4">
      <w:pPr>
        <w:pStyle w:val="ListParagraph"/>
        <w:ind w:left="360"/>
      </w:pPr>
      <w:r>
        <w:tab/>
      </w:r>
      <w:r>
        <w:rPr>
          <w:i/>
          <w:iCs/>
        </w:rPr>
        <w:t>Target is the end of 2018</w:t>
      </w:r>
    </w:p>
    <w:p w14:paraId="16C2906A" w14:textId="7A97A362" w:rsidR="00B27324" w:rsidRDefault="00B27324" w:rsidP="00B27324">
      <w:pPr>
        <w:pStyle w:val="ListParagraph"/>
        <w:numPr>
          <w:ilvl w:val="0"/>
          <w:numId w:val="19"/>
        </w:numPr>
      </w:pPr>
      <w:r>
        <w:t>Quick Guide to EAI</w:t>
      </w:r>
    </w:p>
    <w:p w14:paraId="32FBA28C" w14:textId="5DEB6900" w:rsidR="00B27324" w:rsidRDefault="00B27324" w:rsidP="00B27324">
      <w:pPr>
        <w:pStyle w:val="ListParagraph"/>
        <w:numPr>
          <w:ilvl w:val="1"/>
          <w:numId w:val="19"/>
        </w:numPr>
      </w:pPr>
      <w:r>
        <w:t>A close reading of this was performed and Mark will release a revised version for confirmation later in April.</w:t>
      </w:r>
    </w:p>
    <w:p w14:paraId="2663CE3B" w14:textId="3ABB5502" w:rsidR="00B27324" w:rsidRDefault="00B27324" w:rsidP="00B27324">
      <w:pPr>
        <w:pStyle w:val="ListParagraph"/>
        <w:numPr>
          <w:ilvl w:val="0"/>
          <w:numId w:val="19"/>
        </w:numPr>
      </w:pPr>
      <w:r>
        <w:t>Evaluation of known status of email software and service providers.</w:t>
      </w:r>
    </w:p>
    <w:p w14:paraId="2B280E5A" w14:textId="48094120" w:rsidR="00B27324" w:rsidRDefault="00B27324" w:rsidP="00B27324">
      <w:pPr>
        <w:pStyle w:val="ListParagraph"/>
        <w:numPr>
          <w:ilvl w:val="1"/>
          <w:numId w:val="19"/>
        </w:numPr>
      </w:pPr>
      <w:r>
        <w:t>A matrix was built of EAI capable systems known to the group.  Don to create table for review and revision by the end of April</w:t>
      </w:r>
    </w:p>
    <w:p w14:paraId="6A520684" w14:textId="3082CFE1" w:rsidR="005E77DB" w:rsidRPr="005E77DB" w:rsidRDefault="005E77DB" w:rsidP="005E77DB">
      <w:pPr>
        <w:pStyle w:val="ListParagraph"/>
        <w:numPr>
          <w:ilvl w:val="1"/>
          <w:numId w:val="19"/>
        </w:numPr>
        <w:rPr>
          <w:rFonts w:eastAsia="Times New Roman"/>
          <w:lang w:eastAsia="en-GB"/>
        </w:rPr>
      </w:pPr>
      <w:hyperlink r:id="rId8" w:history="1">
        <w:r w:rsidRPr="005E77DB">
          <w:rPr>
            <w:rStyle w:val="Hyperlink"/>
            <w:rFonts w:ascii="Helvetica" w:eastAsia="Times New Roman" w:hAnsi="Helvetica"/>
            <w:sz w:val="18"/>
            <w:szCs w:val="18"/>
          </w:rPr>
          <w:t>https://docs.google.com/spreadsheets/d/1r_Atg9W_zfaDbpIx4NhFiqL-z-QlLJhyAY2jzGjg1Ww/edit?usp=sharing</w:t>
        </w:r>
      </w:hyperlink>
    </w:p>
    <w:p w14:paraId="3DF2029C" w14:textId="417E9173" w:rsidR="00B27324" w:rsidRDefault="006946FC" w:rsidP="00A5584F">
      <w:pPr>
        <w:pStyle w:val="ListParagraph"/>
        <w:numPr>
          <w:ilvl w:val="0"/>
          <w:numId w:val="19"/>
        </w:numPr>
      </w:pPr>
      <w:r>
        <w:t>Fuzzy Issues</w:t>
      </w:r>
    </w:p>
    <w:p w14:paraId="098B5668" w14:textId="4B420B77" w:rsidR="006946FC" w:rsidRDefault="006946FC" w:rsidP="006946FC">
      <w:pPr>
        <w:pStyle w:val="ListParagraph"/>
        <w:numPr>
          <w:ilvl w:val="1"/>
          <w:numId w:val="19"/>
        </w:numPr>
      </w:pPr>
      <w:r>
        <w:t>Right-to-Left Scripts.</w:t>
      </w:r>
    </w:p>
    <w:p w14:paraId="3FBEB3C4" w14:textId="55ABA661" w:rsidR="006946FC" w:rsidRDefault="006946FC" w:rsidP="006946FC">
      <w:pPr>
        <w:pStyle w:val="ListParagraph"/>
        <w:numPr>
          <w:ilvl w:val="2"/>
          <w:numId w:val="19"/>
        </w:numPr>
      </w:pPr>
      <w:r>
        <w:t>Input: These will be input as expected, mailbox.domainname.tld, entered from right to left as expected in a RTL environment.</w:t>
      </w:r>
    </w:p>
    <w:p w14:paraId="351AB799" w14:textId="489C6896" w:rsidR="006946FC" w:rsidRDefault="006946FC" w:rsidP="006946FC">
      <w:pPr>
        <w:pStyle w:val="ListParagraph"/>
        <w:numPr>
          <w:ilvl w:val="2"/>
          <w:numId w:val="19"/>
        </w:numPr>
      </w:pPr>
      <w:r>
        <w:t>Display: These will be display as expected, mailbox.domainname.tld – the operating system will display from Right-to-left</w:t>
      </w:r>
    </w:p>
    <w:p w14:paraId="336513CA" w14:textId="07326515" w:rsidR="006946FC" w:rsidRDefault="006946FC" w:rsidP="006946FC">
      <w:pPr>
        <w:pStyle w:val="ListParagraph"/>
        <w:numPr>
          <w:ilvl w:val="2"/>
          <w:numId w:val="19"/>
        </w:numPr>
      </w:pPr>
      <w:r>
        <w:t>Storage: These will be stored as expected, mailbox.domainname.tld</w:t>
      </w:r>
    </w:p>
    <w:p w14:paraId="47B5094B" w14:textId="4C01D05D" w:rsidR="006946FC" w:rsidRDefault="006946FC" w:rsidP="006946FC">
      <w:pPr>
        <w:pStyle w:val="ListParagraph"/>
        <w:numPr>
          <w:ilvl w:val="1"/>
          <w:numId w:val="19"/>
        </w:numPr>
      </w:pPr>
      <w:r>
        <w:t>Normalisation</w:t>
      </w:r>
    </w:p>
    <w:p w14:paraId="7DC6BB06" w14:textId="1F7EBA26" w:rsidR="006946FC" w:rsidRDefault="006946FC" w:rsidP="006946FC">
      <w:pPr>
        <w:pStyle w:val="ListParagraph"/>
        <w:numPr>
          <w:ilvl w:val="2"/>
          <w:numId w:val="19"/>
        </w:numPr>
      </w:pPr>
      <w:r>
        <w:t>The RFCs do not expect case folding or other normalisation efforts.</w:t>
      </w:r>
    </w:p>
    <w:p w14:paraId="7CA34AEF" w14:textId="37DC7F06" w:rsidR="006946FC" w:rsidRDefault="006946FC" w:rsidP="006946FC">
      <w:pPr>
        <w:pStyle w:val="ListParagraph"/>
        <w:numPr>
          <w:ilvl w:val="2"/>
          <w:numId w:val="19"/>
        </w:numPr>
      </w:pPr>
      <w:r>
        <w:t>The Quick Guide to EAI suggests that mailbox administrators recognise that case folding does generally operate and should avoid assigning mailbox names that could cause confusion based on case folding or potentially homographic similarities</w:t>
      </w:r>
    </w:p>
    <w:p w14:paraId="7286C911" w14:textId="2DB27539" w:rsidR="006946FC" w:rsidRDefault="006946FC" w:rsidP="006946FC">
      <w:pPr>
        <w:pStyle w:val="ListParagraph"/>
        <w:numPr>
          <w:ilvl w:val="1"/>
          <w:numId w:val="19"/>
        </w:numPr>
      </w:pPr>
      <w:r>
        <w:t>ASCII Equivalent Mailboxes</w:t>
      </w:r>
    </w:p>
    <w:p w14:paraId="2101C7BF" w14:textId="07304C39" w:rsidR="006946FC" w:rsidRDefault="006946FC" w:rsidP="006946FC">
      <w:pPr>
        <w:pStyle w:val="ListParagraph"/>
        <w:numPr>
          <w:ilvl w:val="2"/>
          <w:numId w:val="19"/>
        </w:numPr>
      </w:pPr>
      <w:r>
        <w:t>Mail operators who want to provide alternative (ASCII) mailbox during an industry transition toward EAI can do so when they set the mailbox up.</w:t>
      </w:r>
    </w:p>
    <w:p w14:paraId="3BA9BD37" w14:textId="144BAA9E" w:rsidR="006946FC" w:rsidRDefault="006946FC" w:rsidP="006946FC">
      <w:pPr>
        <w:pStyle w:val="ListParagraph"/>
        <w:numPr>
          <w:ilvl w:val="2"/>
          <w:numId w:val="19"/>
        </w:numPr>
      </w:pPr>
      <w:r>
        <w:t>Coremail, in their MTA, revert to the pre-assigned ASCII alternative when the receiving MTA does not support SMPTUTF8.  Where an intermediary MTA does support SMTPUTF8 but the recipient’s MTA does NOT support SMTPUTF8 does not have a solution.</w:t>
      </w:r>
    </w:p>
    <w:p w14:paraId="35DD323C" w14:textId="16B71A56" w:rsidR="006946FC" w:rsidRDefault="006946FC" w:rsidP="006946FC">
      <w:pPr>
        <w:pStyle w:val="ListParagraph"/>
        <w:numPr>
          <w:ilvl w:val="1"/>
          <w:numId w:val="19"/>
        </w:numPr>
      </w:pPr>
      <w:r>
        <w:t>Edge Cases</w:t>
      </w:r>
    </w:p>
    <w:p w14:paraId="62E8D144" w14:textId="5DD4B3A8" w:rsidR="006946FC" w:rsidRDefault="006946FC" w:rsidP="006946FC">
      <w:pPr>
        <w:pStyle w:val="ListParagraph"/>
        <w:numPr>
          <w:ilvl w:val="2"/>
          <w:numId w:val="19"/>
        </w:numPr>
      </w:pPr>
      <w:r>
        <w:t>The UASG Technical EAI Document (not yet produced) should have extensive use cases.</w:t>
      </w:r>
    </w:p>
    <w:p w14:paraId="2512D07B" w14:textId="48483061" w:rsidR="006946FC" w:rsidRDefault="006946FC" w:rsidP="00750491">
      <w:pPr>
        <w:pStyle w:val="ListParagraph"/>
        <w:numPr>
          <w:ilvl w:val="2"/>
          <w:numId w:val="19"/>
        </w:numPr>
      </w:pPr>
      <w:r>
        <w:lastRenderedPageBreak/>
        <w:t xml:space="preserve">The UASG will provide a repository of </w:t>
      </w:r>
      <w:r w:rsidR="00750491">
        <w:t xml:space="preserve">‘troublesome’ email examples that people can to their own test suites.  A technical and operational document will be produced for this repository.  </w:t>
      </w:r>
      <w:r w:rsidR="00750491">
        <w:rPr>
          <w:b/>
          <w:bCs/>
        </w:rPr>
        <w:t>ACTION: Don to facilitate discussion and publishing of material.</w:t>
      </w:r>
    </w:p>
    <w:p w14:paraId="4902E0D0" w14:textId="1B3E7898" w:rsidR="00750491" w:rsidRDefault="00750491" w:rsidP="00750491">
      <w:pPr>
        <w:pStyle w:val="ListParagraph"/>
        <w:numPr>
          <w:ilvl w:val="0"/>
          <w:numId w:val="19"/>
        </w:numPr>
      </w:pPr>
      <w:r>
        <w:t>Introduction to EAI – A Technical Document on EAI produced by the UASG</w:t>
      </w:r>
    </w:p>
    <w:p w14:paraId="6B0433A7" w14:textId="65A6A942" w:rsidR="00750491" w:rsidRDefault="00750491" w:rsidP="00750491">
      <w:pPr>
        <w:pStyle w:val="ListParagraph"/>
        <w:numPr>
          <w:ilvl w:val="1"/>
          <w:numId w:val="19"/>
        </w:numPr>
      </w:pPr>
      <w:r>
        <w:t xml:space="preserve">The UASG is planning on producing a technical document for EAI similar to its work on Universal Acceptance.  </w:t>
      </w:r>
      <w:r w:rsidRPr="00750491">
        <w:rPr>
          <w:i/>
          <w:iCs/>
        </w:rPr>
        <w:t>(The UASG is still looking for someone to write this)</w:t>
      </w:r>
    </w:p>
    <w:p w14:paraId="45B83E2A" w14:textId="4E702A10" w:rsidR="00750491" w:rsidRDefault="00750491" w:rsidP="00750491">
      <w:pPr>
        <w:pStyle w:val="ListParagraph"/>
        <w:numPr>
          <w:ilvl w:val="1"/>
          <w:numId w:val="19"/>
        </w:numPr>
      </w:pPr>
      <w:r>
        <w:t>A list of topics was produced and is included in Appendix A of these notes.</w:t>
      </w:r>
    </w:p>
    <w:p w14:paraId="7BDE3793" w14:textId="043DB793" w:rsidR="00750491" w:rsidRDefault="00750491" w:rsidP="00750491">
      <w:pPr>
        <w:pStyle w:val="ListParagraph"/>
        <w:numPr>
          <w:ilvl w:val="0"/>
          <w:numId w:val="19"/>
        </w:numPr>
      </w:pPr>
      <w:r>
        <w:t>Interoperability Testing</w:t>
      </w:r>
    </w:p>
    <w:p w14:paraId="17070B00" w14:textId="743D662F" w:rsidR="00750491" w:rsidRDefault="00750491" w:rsidP="00750491">
      <w:pPr>
        <w:pStyle w:val="ListParagraph"/>
        <w:numPr>
          <w:ilvl w:val="1"/>
          <w:numId w:val="19"/>
        </w:numPr>
      </w:pPr>
      <w:r>
        <w:rPr>
          <w:i/>
          <w:iCs/>
        </w:rPr>
        <w:t>No testing occurred during the meeting because addresses hadn’t been allocated.</w:t>
      </w:r>
    </w:p>
    <w:p w14:paraId="7285FD67" w14:textId="5834477D" w:rsidR="00750491" w:rsidRDefault="00750491" w:rsidP="00750491">
      <w:pPr>
        <w:pStyle w:val="ListParagraph"/>
        <w:numPr>
          <w:ilvl w:val="1"/>
          <w:numId w:val="19"/>
        </w:numPr>
      </w:pPr>
      <w:r>
        <w:t>People who are interested in participating in interoperability testing to advise Don.</w:t>
      </w:r>
    </w:p>
    <w:p w14:paraId="2374F052" w14:textId="53F0E4E5" w:rsidR="00750491" w:rsidRDefault="00750491" w:rsidP="00750491">
      <w:pPr>
        <w:pStyle w:val="ListParagraph"/>
        <w:numPr>
          <w:ilvl w:val="1"/>
          <w:numId w:val="19"/>
        </w:numPr>
      </w:pPr>
      <w:r>
        <w:t>Coremail and Throughwave have offered to establish accounts.</w:t>
      </w:r>
    </w:p>
    <w:p w14:paraId="7A3810FE" w14:textId="04F23DBB" w:rsidR="00750491" w:rsidRDefault="00750491" w:rsidP="00750491">
      <w:pPr>
        <w:pStyle w:val="ListParagraph"/>
        <w:numPr>
          <w:ilvl w:val="1"/>
          <w:numId w:val="19"/>
        </w:numPr>
      </w:pPr>
      <w:r>
        <w:t>Don to check with others to see if they are willing to offer test accounts.</w:t>
      </w:r>
    </w:p>
    <w:p w14:paraId="5AF505F4" w14:textId="79E13111" w:rsidR="00750491" w:rsidRDefault="00750491" w:rsidP="00750491">
      <w:pPr>
        <w:pStyle w:val="ListParagraph"/>
        <w:numPr>
          <w:ilvl w:val="1"/>
          <w:numId w:val="19"/>
        </w:numPr>
      </w:pPr>
      <w:r>
        <w:t>Each operator to provide an email address to report bugs.</w:t>
      </w:r>
    </w:p>
    <w:p w14:paraId="1BBE9830" w14:textId="323455F0" w:rsidR="00750491" w:rsidRDefault="00750491" w:rsidP="00750491">
      <w:pPr>
        <w:pStyle w:val="ListParagraph"/>
        <w:numPr>
          <w:ilvl w:val="1"/>
          <w:numId w:val="19"/>
        </w:numPr>
      </w:pPr>
      <w:r>
        <w:t xml:space="preserve">Bugs will be anonymised and included in the </w:t>
      </w:r>
      <w:r w:rsidR="004548EA">
        <w:t>repository of ‘troublesome’ email examples.</w:t>
      </w:r>
    </w:p>
    <w:p w14:paraId="2294845E" w14:textId="26A08075" w:rsidR="004C67CB" w:rsidRDefault="004C67CB" w:rsidP="00750491">
      <w:pPr>
        <w:pStyle w:val="ListParagraph"/>
        <w:numPr>
          <w:ilvl w:val="1"/>
          <w:numId w:val="19"/>
        </w:numPr>
      </w:pPr>
      <w:r>
        <w:t>A Virtual interoperability session will be scheduled for May 2016.  It will NOT run in real time but will run over a constrained period of one week.</w:t>
      </w:r>
    </w:p>
    <w:p w14:paraId="4701AEEC" w14:textId="47AD58BD" w:rsidR="004C67CB" w:rsidRDefault="004C67CB" w:rsidP="004C67CB">
      <w:pPr>
        <w:pStyle w:val="ListParagraph"/>
        <w:numPr>
          <w:ilvl w:val="0"/>
          <w:numId w:val="19"/>
        </w:numPr>
      </w:pPr>
      <w:r>
        <w:t>RFC Review</w:t>
      </w:r>
    </w:p>
    <w:p w14:paraId="766CD17B" w14:textId="7F9AC990" w:rsidR="004C67CB" w:rsidRDefault="004C67CB" w:rsidP="004C67CB">
      <w:pPr>
        <w:pStyle w:val="ListParagraph"/>
        <w:numPr>
          <w:ilvl w:val="1"/>
          <w:numId w:val="19"/>
        </w:numPr>
      </w:pPr>
      <w:r>
        <w:t>There was no indication that there were any issues that would require a review of the associated RFCs.</w:t>
      </w:r>
    </w:p>
    <w:p w14:paraId="60322AA4" w14:textId="2318DF82" w:rsidR="004C67CB" w:rsidRDefault="004C67CB" w:rsidP="004C67CB">
      <w:pPr>
        <w:pStyle w:val="ListParagraph"/>
        <w:numPr>
          <w:ilvl w:val="0"/>
          <w:numId w:val="19"/>
        </w:numPr>
      </w:pPr>
      <w:r>
        <w:t>Use Cases – UASG004</w:t>
      </w:r>
    </w:p>
    <w:p w14:paraId="2CA07798" w14:textId="09A86EA0" w:rsidR="004C67CB" w:rsidRDefault="004C67CB" w:rsidP="004C67CB">
      <w:pPr>
        <w:pStyle w:val="ListParagraph"/>
        <w:numPr>
          <w:ilvl w:val="1"/>
          <w:numId w:val="19"/>
        </w:numPr>
      </w:pPr>
      <w:r>
        <w:t>Additional addresses will be included serviced by different EAI operators</w:t>
      </w:r>
    </w:p>
    <w:p w14:paraId="0C43372D" w14:textId="008CB898" w:rsidR="004C67CB" w:rsidRDefault="004C67CB" w:rsidP="004C67CB">
      <w:pPr>
        <w:pStyle w:val="ListParagraph"/>
        <w:numPr>
          <w:ilvl w:val="1"/>
          <w:numId w:val="19"/>
        </w:numPr>
      </w:pPr>
      <w:r>
        <w:t>An additional column will be included indicating which EAI operator is hosting the use cases.</w:t>
      </w:r>
    </w:p>
    <w:p w14:paraId="6A70B2EA" w14:textId="05EA1271" w:rsidR="004C67CB" w:rsidRDefault="004C67CB" w:rsidP="004C67CB">
      <w:pPr>
        <w:pStyle w:val="ListParagraph"/>
        <w:numPr>
          <w:ilvl w:val="1"/>
          <w:numId w:val="19"/>
        </w:numPr>
      </w:pPr>
      <w:r>
        <w:t>An ‘Out of Office’ response will be added to each mailbox where it is possible.</w:t>
      </w:r>
    </w:p>
    <w:p w14:paraId="3C36305C" w14:textId="3BCC96AF" w:rsidR="004C67CB" w:rsidRDefault="004C67CB" w:rsidP="004C67CB">
      <w:pPr>
        <w:pStyle w:val="ListParagraph"/>
        <w:numPr>
          <w:ilvl w:val="1"/>
          <w:numId w:val="19"/>
        </w:numPr>
      </w:pPr>
      <w:r>
        <w:rPr>
          <w:b/>
          <w:bCs/>
        </w:rPr>
        <w:t>Action: Don to arrange accounts and update UASG004 by middle of May.</w:t>
      </w:r>
    </w:p>
    <w:p w14:paraId="32BD81D4" w14:textId="17E6F1D8" w:rsidR="004C67CB" w:rsidRDefault="004C67CB" w:rsidP="004C67CB">
      <w:pPr>
        <w:pStyle w:val="ListParagraph"/>
        <w:numPr>
          <w:ilvl w:val="0"/>
          <w:numId w:val="19"/>
        </w:numPr>
      </w:pPr>
      <w:r>
        <w:t>Future Events</w:t>
      </w:r>
    </w:p>
    <w:p w14:paraId="2B2A7C15" w14:textId="1FE3480D" w:rsidR="004C67CB" w:rsidRDefault="004C67CB" w:rsidP="004C67CB">
      <w:pPr>
        <w:pStyle w:val="ListParagraph"/>
        <w:numPr>
          <w:ilvl w:val="1"/>
          <w:numId w:val="19"/>
        </w:numPr>
      </w:pPr>
      <w:r>
        <w:t>Addi</w:t>
      </w:r>
      <w:r w:rsidR="005E77DB">
        <w:t>tional major players are needed:</w:t>
      </w:r>
      <w:r>
        <w:t xml:space="preserve"> Gmail, Apple, Yandex, Yahoo, AoL, 126.com, qq.com, Rediff, etc.</w:t>
      </w:r>
    </w:p>
    <w:p w14:paraId="6D4FE68C" w14:textId="5088FFA7" w:rsidR="005E77DB" w:rsidRDefault="005E77DB" w:rsidP="004C67CB">
      <w:pPr>
        <w:pStyle w:val="ListParagraph"/>
        <w:numPr>
          <w:ilvl w:val="1"/>
          <w:numId w:val="19"/>
        </w:numPr>
      </w:pPr>
      <w:r>
        <w:t>Noted that there are many operators of very large email providers that don’t necessarily offer a traditional email service.  Facebook &amp; LinkedIN are examples.</w:t>
      </w:r>
    </w:p>
    <w:p w14:paraId="7DF56792" w14:textId="60C020EA" w:rsidR="004C67CB" w:rsidRDefault="004C67CB" w:rsidP="004C67CB">
      <w:pPr>
        <w:pStyle w:val="ListParagraph"/>
        <w:numPr>
          <w:ilvl w:val="1"/>
          <w:numId w:val="19"/>
        </w:numPr>
      </w:pPr>
      <w:r>
        <w:t>Many email operators participate in M3AAWG.  Efforts should be made to raise awareness at the M3AAWG meeting in Lisbon in June.</w:t>
      </w:r>
    </w:p>
    <w:p w14:paraId="40BF9AEB" w14:textId="12460DD0" w:rsidR="004C67CB" w:rsidRDefault="004C67CB" w:rsidP="004C67CB">
      <w:pPr>
        <w:pStyle w:val="ListParagraph"/>
        <w:numPr>
          <w:ilvl w:val="1"/>
          <w:numId w:val="19"/>
        </w:numPr>
      </w:pPr>
      <w:r>
        <w:t>An EAI space should be sought at the M3AAWG meeting in Toronto in October</w:t>
      </w:r>
      <w:r w:rsidR="005E77DB">
        <w:t>.</w:t>
      </w:r>
    </w:p>
    <w:p w14:paraId="32C47978" w14:textId="36595A99" w:rsidR="005E77DB" w:rsidRDefault="005E77DB" w:rsidP="005E77DB">
      <w:pPr>
        <w:pStyle w:val="ListParagraph"/>
        <w:numPr>
          <w:ilvl w:val="0"/>
          <w:numId w:val="19"/>
        </w:numPr>
      </w:pPr>
      <w:r>
        <w:t>Other Comments</w:t>
      </w:r>
    </w:p>
    <w:p w14:paraId="3674B53B" w14:textId="3D8592D5" w:rsidR="005E77DB" w:rsidRDefault="005E77DB" w:rsidP="005E77DB">
      <w:pPr>
        <w:pStyle w:val="ListParagraph"/>
        <w:numPr>
          <w:ilvl w:val="1"/>
          <w:numId w:val="19"/>
        </w:numPr>
      </w:pPr>
      <w:r>
        <w:t>Governments should be encouraged to include EAI in their technology roadmaps and ensure that it’s included in their procurement documents.</w:t>
      </w:r>
      <w:bookmarkStart w:id="0" w:name="_GoBack"/>
      <w:bookmarkEnd w:id="0"/>
    </w:p>
    <w:p w14:paraId="4835AE65" w14:textId="77777777" w:rsidR="00750491" w:rsidRDefault="00750491" w:rsidP="00750491"/>
    <w:p w14:paraId="56B3BEDA" w14:textId="2F9F32E3" w:rsidR="00750491" w:rsidRDefault="004C67CB" w:rsidP="00750491">
      <w: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020"/>
      </w:tblGrid>
      <w:tr w:rsidR="004C67CB" w:rsidRPr="007575E2" w14:paraId="6A636F20" w14:textId="77777777" w:rsidTr="005D76E1">
        <w:trPr>
          <w:trHeight w:val="320"/>
        </w:trPr>
        <w:tc>
          <w:tcPr>
            <w:tcW w:w="0" w:type="auto"/>
            <w:shd w:val="clear" w:color="auto" w:fill="auto"/>
            <w:noWrap/>
            <w:vAlign w:val="bottom"/>
            <w:hideMark/>
          </w:tcPr>
          <w:p w14:paraId="096FFF64"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Arnt GulBrandsen</w:t>
            </w:r>
          </w:p>
        </w:tc>
        <w:tc>
          <w:tcPr>
            <w:tcW w:w="0" w:type="auto"/>
            <w:shd w:val="clear" w:color="auto" w:fill="auto"/>
            <w:noWrap/>
            <w:vAlign w:val="bottom"/>
            <w:hideMark/>
          </w:tcPr>
          <w:p w14:paraId="28A55966" w14:textId="77777777" w:rsidR="004C67CB" w:rsidRPr="007575E2" w:rsidRDefault="004C67CB" w:rsidP="005D76E1">
            <w:pPr>
              <w:rPr>
                <w:rFonts w:ascii="Calibri" w:eastAsia="Times New Roman" w:hAnsi="Calibri" w:cs="Times New Roman"/>
                <w:color w:val="000000"/>
                <w:lang w:eastAsia="en-GB"/>
              </w:rPr>
            </w:pPr>
          </w:p>
        </w:tc>
      </w:tr>
      <w:tr w:rsidR="004C67CB" w:rsidRPr="007575E2" w14:paraId="2BA7D35A" w14:textId="77777777" w:rsidTr="005D76E1">
        <w:trPr>
          <w:trHeight w:val="320"/>
        </w:trPr>
        <w:tc>
          <w:tcPr>
            <w:tcW w:w="0" w:type="auto"/>
            <w:shd w:val="clear" w:color="auto" w:fill="auto"/>
            <w:noWrap/>
            <w:vAlign w:val="bottom"/>
            <w:hideMark/>
          </w:tcPr>
          <w:p w14:paraId="03AB0D00"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Chen Yingtang</w:t>
            </w:r>
          </w:p>
        </w:tc>
        <w:tc>
          <w:tcPr>
            <w:tcW w:w="0" w:type="auto"/>
            <w:shd w:val="clear" w:color="auto" w:fill="auto"/>
            <w:noWrap/>
            <w:vAlign w:val="bottom"/>
            <w:hideMark/>
          </w:tcPr>
          <w:p w14:paraId="541E5B77"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Coremail</w:t>
            </w:r>
          </w:p>
        </w:tc>
      </w:tr>
      <w:tr w:rsidR="004C67CB" w:rsidRPr="007575E2" w14:paraId="6670FB89" w14:textId="77777777" w:rsidTr="005D76E1">
        <w:trPr>
          <w:trHeight w:val="320"/>
        </w:trPr>
        <w:tc>
          <w:tcPr>
            <w:tcW w:w="0" w:type="auto"/>
            <w:shd w:val="clear" w:color="auto" w:fill="auto"/>
            <w:noWrap/>
            <w:vAlign w:val="bottom"/>
            <w:hideMark/>
          </w:tcPr>
          <w:p w14:paraId="6063E57B"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lastRenderedPageBreak/>
              <w:t>Don Hollander</w:t>
            </w:r>
          </w:p>
        </w:tc>
        <w:tc>
          <w:tcPr>
            <w:tcW w:w="0" w:type="auto"/>
            <w:shd w:val="clear" w:color="auto" w:fill="auto"/>
            <w:noWrap/>
            <w:vAlign w:val="bottom"/>
            <w:hideMark/>
          </w:tcPr>
          <w:p w14:paraId="73678BF4"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UASG</w:t>
            </w:r>
          </w:p>
        </w:tc>
      </w:tr>
      <w:tr w:rsidR="004C67CB" w:rsidRPr="007575E2" w14:paraId="5C0263DE" w14:textId="77777777" w:rsidTr="005D76E1">
        <w:trPr>
          <w:trHeight w:val="320"/>
        </w:trPr>
        <w:tc>
          <w:tcPr>
            <w:tcW w:w="0" w:type="auto"/>
            <w:shd w:val="clear" w:color="auto" w:fill="auto"/>
            <w:noWrap/>
            <w:vAlign w:val="bottom"/>
            <w:hideMark/>
          </w:tcPr>
          <w:p w14:paraId="176EA631"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Franck Martin</w:t>
            </w:r>
          </w:p>
        </w:tc>
        <w:tc>
          <w:tcPr>
            <w:tcW w:w="0" w:type="auto"/>
            <w:shd w:val="clear" w:color="auto" w:fill="auto"/>
            <w:noWrap/>
            <w:vAlign w:val="bottom"/>
            <w:hideMark/>
          </w:tcPr>
          <w:p w14:paraId="0AEA5D1A"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LinkedIN</w:t>
            </w:r>
          </w:p>
        </w:tc>
      </w:tr>
      <w:tr w:rsidR="004C67CB" w:rsidRPr="007575E2" w14:paraId="19FDAA7C" w14:textId="77777777" w:rsidTr="005D76E1">
        <w:trPr>
          <w:trHeight w:val="320"/>
        </w:trPr>
        <w:tc>
          <w:tcPr>
            <w:tcW w:w="0" w:type="auto"/>
            <w:shd w:val="clear" w:color="auto" w:fill="auto"/>
            <w:noWrap/>
            <w:vAlign w:val="bottom"/>
          </w:tcPr>
          <w:p w14:paraId="62BE290B" w14:textId="77777777" w:rsidR="004C67CB" w:rsidRPr="003A239C"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Jan N</w:t>
            </w:r>
            <w:r w:rsidRPr="003A239C">
              <w:rPr>
                <w:rFonts w:ascii="Calibri" w:eastAsia="Times New Roman" w:hAnsi="Calibri" w:cs="Times New Roman"/>
                <w:color w:val="000000"/>
                <w:lang w:eastAsia="en-GB"/>
              </w:rPr>
              <w:t>elson</w:t>
            </w:r>
          </w:p>
        </w:tc>
        <w:tc>
          <w:tcPr>
            <w:tcW w:w="0" w:type="auto"/>
            <w:shd w:val="clear" w:color="auto" w:fill="auto"/>
            <w:noWrap/>
            <w:vAlign w:val="bottom"/>
          </w:tcPr>
          <w:p w14:paraId="34396C54"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4C67CB" w:rsidRPr="007575E2" w14:paraId="0755DC50" w14:textId="77777777" w:rsidTr="005D76E1">
        <w:trPr>
          <w:trHeight w:val="320"/>
        </w:trPr>
        <w:tc>
          <w:tcPr>
            <w:tcW w:w="0" w:type="auto"/>
            <w:shd w:val="clear" w:color="auto" w:fill="auto"/>
            <w:noWrap/>
            <w:vAlign w:val="bottom"/>
            <w:hideMark/>
          </w:tcPr>
          <w:p w14:paraId="338213F7"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Jiankang Yao</w:t>
            </w:r>
          </w:p>
        </w:tc>
        <w:tc>
          <w:tcPr>
            <w:tcW w:w="0" w:type="auto"/>
            <w:shd w:val="clear" w:color="auto" w:fill="auto"/>
            <w:noWrap/>
            <w:vAlign w:val="bottom"/>
            <w:hideMark/>
          </w:tcPr>
          <w:p w14:paraId="2044B80F"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CNNIC</w:t>
            </w:r>
          </w:p>
        </w:tc>
      </w:tr>
      <w:tr w:rsidR="004C67CB" w:rsidRPr="007575E2" w14:paraId="5BE30945" w14:textId="77777777" w:rsidTr="005D76E1">
        <w:trPr>
          <w:trHeight w:val="320"/>
        </w:trPr>
        <w:tc>
          <w:tcPr>
            <w:tcW w:w="0" w:type="auto"/>
            <w:shd w:val="clear" w:color="auto" w:fill="auto"/>
            <w:noWrap/>
            <w:vAlign w:val="bottom"/>
            <w:hideMark/>
          </w:tcPr>
          <w:p w14:paraId="03F199C5"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Joseph Yee</w:t>
            </w:r>
          </w:p>
        </w:tc>
        <w:tc>
          <w:tcPr>
            <w:tcW w:w="0" w:type="auto"/>
            <w:shd w:val="clear" w:color="auto" w:fill="auto"/>
            <w:noWrap/>
            <w:vAlign w:val="bottom"/>
            <w:hideMark/>
          </w:tcPr>
          <w:p w14:paraId="66A4D096"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Afilias</w:t>
            </w:r>
          </w:p>
        </w:tc>
      </w:tr>
      <w:tr w:rsidR="004C67CB" w:rsidRPr="007575E2" w14:paraId="6C038D39" w14:textId="77777777" w:rsidTr="005D76E1">
        <w:trPr>
          <w:trHeight w:val="320"/>
        </w:trPr>
        <w:tc>
          <w:tcPr>
            <w:tcW w:w="0" w:type="auto"/>
            <w:shd w:val="clear" w:color="auto" w:fill="auto"/>
            <w:noWrap/>
            <w:vAlign w:val="bottom"/>
            <w:hideMark/>
          </w:tcPr>
          <w:p w14:paraId="2FE782CB"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Lin Yanzhong</w:t>
            </w:r>
          </w:p>
        </w:tc>
        <w:tc>
          <w:tcPr>
            <w:tcW w:w="0" w:type="auto"/>
            <w:shd w:val="clear" w:color="auto" w:fill="auto"/>
            <w:noWrap/>
            <w:vAlign w:val="bottom"/>
            <w:hideMark/>
          </w:tcPr>
          <w:p w14:paraId="5F9180B5"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Coremail</w:t>
            </w:r>
          </w:p>
        </w:tc>
      </w:tr>
      <w:tr w:rsidR="004C67CB" w:rsidRPr="007575E2" w14:paraId="619F70B1" w14:textId="77777777" w:rsidTr="005D76E1">
        <w:trPr>
          <w:trHeight w:val="320"/>
        </w:trPr>
        <w:tc>
          <w:tcPr>
            <w:tcW w:w="0" w:type="auto"/>
            <w:shd w:val="clear" w:color="auto" w:fill="auto"/>
            <w:noWrap/>
            <w:vAlign w:val="bottom"/>
            <w:hideMark/>
          </w:tcPr>
          <w:p w14:paraId="5F4DAC01"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Mark Svancarek</w:t>
            </w:r>
          </w:p>
        </w:tc>
        <w:tc>
          <w:tcPr>
            <w:tcW w:w="0" w:type="auto"/>
            <w:shd w:val="clear" w:color="auto" w:fill="auto"/>
            <w:noWrap/>
            <w:vAlign w:val="bottom"/>
            <w:hideMark/>
          </w:tcPr>
          <w:p w14:paraId="41CC9C92"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4C67CB" w:rsidRPr="007575E2" w14:paraId="4E2A108E" w14:textId="77777777" w:rsidTr="005D76E1">
        <w:trPr>
          <w:trHeight w:val="320"/>
        </w:trPr>
        <w:tc>
          <w:tcPr>
            <w:tcW w:w="0" w:type="auto"/>
            <w:shd w:val="clear" w:color="auto" w:fill="auto"/>
            <w:noWrap/>
            <w:vAlign w:val="bottom"/>
            <w:hideMark/>
          </w:tcPr>
          <w:p w14:paraId="3CB32678"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Michael Slusarz</w:t>
            </w:r>
          </w:p>
        </w:tc>
        <w:tc>
          <w:tcPr>
            <w:tcW w:w="0" w:type="auto"/>
            <w:shd w:val="clear" w:color="auto" w:fill="auto"/>
            <w:noWrap/>
            <w:vAlign w:val="bottom"/>
            <w:hideMark/>
          </w:tcPr>
          <w:p w14:paraId="3FD7A036" w14:textId="77777777" w:rsidR="004C67CB" w:rsidRPr="007575E2"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Open Ex</w:t>
            </w:r>
            <w:r w:rsidRPr="007575E2">
              <w:rPr>
                <w:rFonts w:ascii="Calibri" w:eastAsia="Times New Roman" w:hAnsi="Calibri" w:cs="Times New Roman"/>
                <w:color w:val="000000"/>
                <w:lang w:eastAsia="en-GB"/>
              </w:rPr>
              <w:t>change</w:t>
            </w:r>
          </w:p>
        </w:tc>
      </w:tr>
      <w:tr w:rsidR="004C67CB" w:rsidRPr="007575E2" w14:paraId="727E3873" w14:textId="77777777" w:rsidTr="005D76E1">
        <w:trPr>
          <w:trHeight w:val="320"/>
        </w:trPr>
        <w:tc>
          <w:tcPr>
            <w:tcW w:w="0" w:type="auto"/>
            <w:shd w:val="clear" w:color="auto" w:fill="auto"/>
            <w:noWrap/>
            <w:vAlign w:val="bottom"/>
          </w:tcPr>
          <w:p w14:paraId="3ECA08BA" w14:textId="77777777" w:rsidR="004C67CB" w:rsidRPr="007575E2"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Sam C</w:t>
            </w:r>
            <w:r w:rsidRPr="003A239C">
              <w:rPr>
                <w:rFonts w:ascii="Calibri" w:eastAsia="Times New Roman" w:hAnsi="Calibri" w:cs="Times New Roman"/>
                <w:color w:val="000000"/>
                <w:lang w:eastAsia="en-GB"/>
              </w:rPr>
              <w:t>lement</w:t>
            </w:r>
          </w:p>
        </w:tc>
        <w:tc>
          <w:tcPr>
            <w:tcW w:w="0" w:type="auto"/>
            <w:shd w:val="clear" w:color="auto" w:fill="auto"/>
            <w:noWrap/>
            <w:vAlign w:val="bottom"/>
          </w:tcPr>
          <w:p w14:paraId="67BDAC0C"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4C67CB" w:rsidRPr="007575E2" w14:paraId="04F0AAC4" w14:textId="77777777" w:rsidTr="005D76E1">
        <w:trPr>
          <w:trHeight w:val="320"/>
        </w:trPr>
        <w:tc>
          <w:tcPr>
            <w:tcW w:w="0" w:type="auto"/>
            <w:shd w:val="clear" w:color="auto" w:fill="auto"/>
            <w:noWrap/>
            <w:vAlign w:val="bottom"/>
          </w:tcPr>
          <w:p w14:paraId="6F4889C9" w14:textId="77777777" w:rsidR="004C67CB" w:rsidRPr="003A239C"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Sri Ramya M</w:t>
            </w:r>
            <w:r w:rsidRPr="003A239C">
              <w:rPr>
                <w:rFonts w:ascii="Calibri" w:eastAsia="Times New Roman" w:hAnsi="Calibri" w:cs="Times New Roman"/>
                <w:color w:val="000000"/>
                <w:lang w:eastAsia="en-GB"/>
              </w:rPr>
              <w:t>allipudi</w:t>
            </w:r>
          </w:p>
        </w:tc>
        <w:tc>
          <w:tcPr>
            <w:tcW w:w="0" w:type="auto"/>
            <w:shd w:val="clear" w:color="auto" w:fill="auto"/>
            <w:noWrap/>
            <w:vAlign w:val="bottom"/>
          </w:tcPr>
          <w:p w14:paraId="4CDAE785"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4C67CB" w:rsidRPr="007575E2" w14:paraId="136CE4AD" w14:textId="77777777" w:rsidTr="005D76E1">
        <w:trPr>
          <w:trHeight w:val="320"/>
        </w:trPr>
        <w:tc>
          <w:tcPr>
            <w:tcW w:w="0" w:type="auto"/>
            <w:shd w:val="clear" w:color="auto" w:fill="auto"/>
            <w:noWrap/>
            <w:vAlign w:val="bottom"/>
            <w:hideMark/>
          </w:tcPr>
          <w:p w14:paraId="1FD3E5B1"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Stuart Stuple</w:t>
            </w:r>
          </w:p>
        </w:tc>
        <w:tc>
          <w:tcPr>
            <w:tcW w:w="0" w:type="auto"/>
            <w:shd w:val="clear" w:color="auto" w:fill="auto"/>
            <w:noWrap/>
            <w:vAlign w:val="bottom"/>
            <w:hideMark/>
          </w:tcPr>
          <w:p w14:paraId="1F1F6B87"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4C67CB" w:rsidRPr="007575E2" w14:paraId="5398F5DA" w14:textId="77777777" w:rsidTr="005D76E1">
        <w:trPr>
          <w:trHeight w:val="320"/>
        </w:trPr>
        <w:tc>
          <w:tcPr>
            <w:tcW w:w="0" w:type="auto"/>
            <w:shd w:val="clear" w:color="auto" w:fill="auto"/>
            <w:noWrap/>
            <w:vAlign w:val="bottom"/>
            <w:hideMark/>
          </w:tcPr>
          <w:p w14:paraId="538D7107"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Teerayut Hiruntaraporn</w:t>
            </w:r>
          </w:p>
        </w:tc>
        <w:tc>
          <w:tcPr>
            <w:tcW w:w="0" w:type="auto"/>
            <w:shd w:val="clear" w:color="auto" w:fill="auto"/>
            <w:noWrap/>
            <w:vAlign w:val="bottom"/>
            <w:hideMark/>
          </w:tcPr>
          <w:p w14:paraId="7435EB83" w14:textId="77777777" w:rsidR="004C67CB" w:rsidRPr="007575E2" w:rsidRDefault="004C67CB"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ThroughWave </w:t>
            </w:r>
          </w:p>
        </w:tc>
      </w:tr>
      <w:tr w:rsidR="004C67CB" w:rsidRPr="007575E2" w14:paraId="38DA83DA" w14:textId="77777777" w:rsidTr="005D76E1">
        <w:trPr>
          <w:trHeight w:val="320"/>
        </w:trPr>
        <w:tc>
          <w:tcPr>
            <w:tcW w:w="0" w:type="auto"/>
            <w:shd w:val="clear" w:color="auto" w:fill="auto"/>
            <w:noWrap/>
            <w:vAlign w:val="bottom"/>
          </w:tcPr>
          <w:p w14:paraId="2E1C9060" w14:textId="77777777" w:rsidR="004C67CB" w:rsidRPr="007575E2"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Lars Stefan</w:t>
            </w:r>
          </w:p>
        </w:tc>
        <w:tc>
          <w:tcPr>
            <w:tcW w:w="0" w:type="auto"/>
            <w:shd w:val="clear" w:color="auto" w:fill="auto"/>
            <w:noWrap/>
            <w:vAlign w:val="bottom"/>
          </w:tcPr>
          <w:p w14:paraId="18DB8719" w14:textId="77777777" w:rsidR="004C67CB" w:rsidRPr="007575E2"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Eco</w:t>
            </w:r>
          </w:p>
        </w:tc>
      </w:tr>
      <w:tr w:rsidR="004C67CB" w14:paraId="6A70B86C" w14:textId="77777777" w:rsidTr="005D76E1">
        <w:trPr>
          <w:trHeight w:val="320"/>
        </w:trPr>
        <w:tc>
          <w:tcPr>
            <w:tcW w:w="0" w:type="auto"/>
            <w:shd w:val="clear" w:color="auto" w:fill="auto"/>
            <w:noWrap/>
            <w:vAlign w:val="bottom"/>
          </w:tcPr>
          <w:p w14:paraId="32011DC2" w14:textId="77777777" w:rsidR="004C67CB" w:rsidRDefault="004C67CB" w:rsidP="005D76E1">
            <w:pPr>
              <w:rPr>
                <w:rFonts w:ascii="Calibri" w:eastAsia="Times New Roman" w:hAnsi="Calibri" w:cs="Times New Roman"/>
                <w:color w:val="000000"/>
                <w:lang w:eastAsia="en-GB"/>
              </w:rPr>
            </w:pPr>
            <w:r w:rsidRPr="00BB0AC5">
              <w:rPr>
                <w:rFonts w:ascii="Calibri" w:eastAsia="Times New Roman" w:hAnsi="Calibri" w:cs="Times New Roman"/>
                <w:color w:val="000000"/>
                <w:lang w:eastAsia="en-GB"/>
              </w:rPr>
              <w:t>Vikram Surolia</w:t>
            </w:r>
          </w:p>
        </w:tc>
        <w:tc>
          <w:tcPr>
            <w:tcW w:w="0" w:type="auto"/>
            <w:shd w:val="clear" w:color="auto" w:fill="auto"/>
            <w:noWrap/>
            <w:vAlign w:val="bottom"/>
          </w:tcPr>
          <w:p w14:paraId="6FDF73F7" w14:textId="77777777" w:rsidR="004C67CB"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XgenPlus (remote)</w:t>
            </w:r>
          </w:p>
        </w:tc>
      </w:tr>
      <w:tr w:rsidR="004C67CB" w14:paraId="014E9698" w14:textId="77777777" w:rsidTr="005D76E1">
        <w:trPr>
          <w:trHeight w:val="320"/>
        </w:trPr>
        <w:tc>
          <w:tcPr>
            <w:tcW w:w="0" w:type="auto"/>
            <w:shd w:val="clear" w:color="auto" w:fill="auto"/>
            <w:noWrap/>
            <w:vAlign w:val="bottom"/>
          </w:tcPr>
          <w:p w14:paraId="5147882F" w14:textId="3EF3ECB5" w:rsidR="004C67CB" w:rsidRPr="00BB0AC5"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Ajay Data</w:t>
            </w:r>
          </w:p>
        </w:tc>
        <w:tc>
          <w:tcPr>
            <w:tcW w:w="0" w:type="auto"/>
            <w:shd w:val="clear" w:color="auto" w:fill="auto"/>
            <w:noWrap/>
            <w:vAlign w:val="bottom"/>
          </w:tcPr>
          <w:p w14:paraId="40406424" w14:textId="2ECCAB08" w:rsidR="004C67CB" w:rsidRDefault="004C67C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XgenPlus (remote)</w:t>
            </w:r>
          </w:p>
        </w:tc>
      </w:tr>
      <w:tr w:rsidR="005E77DB" w14:paraId="375A183D" w14:textId="77777777" w:rsidTr="005D76E1">
        <w:trPr>
          <w:trHeight w:val="320"/>
        </w:trPr>
        <w:tc>
          <w:tcPr>
            <w:tcW w:w="0" w:type="auto"/>
            <w:shd w:val="clear" w:color="auto" w:fill="auto"/>
            <w:noWrap/>
            <w:vAlign w:val="bottom"/>
          </w:tcPr>
          <w:p w14:paraId="6F603DD8" w14:textId="1660A2BF" w:rsidR="005E77DB" w:rsidRDefault="005E77D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Dennis Tan</w:t>
            </w:r>
          </w:p>
        </w:tc>
        <w:tc>
          <w:tcPr>
            <w:tcW w:w="0" w:type="auto"/>
            <w:shd w:val="clear" w:color="auto" w:fill="auto"/>
            <w:noWrap/>
            <w:vAlign w:val="bottom"/>
          </w:tcPr>
          <w:p w14:paraId="5A317B75" w14:textId="145030E9" w:rsidR="005E77DB" w:rsidRDefault="005E77DB"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Verisign</w:t>
            </w:r>
          </w:p>
        </w:tc>
      </w:tr>
    </w:tbl>
    <w:p w14:paraId="4ED72B26" w14:textId="77777777" w:rsidR="004C67CB" w:rsidRDefault="004C67CB" w:rsidP="00750491"/>
    <w:p w14:paraId="48AD9CDE" w14:textId="77777777" w:rsidR="00750491" w:rsidRDefault="00750491" w:rsidP="00750491"/>
    <w:p w14:paraId="4767CB29" w14:textId="73E9CDEA" w:rsidR="00750491" w:rsidRDefault="00750491">
      <w:r>
        <w:br w:type="page"/>
      </w:r>
    </w:p>
    <w:p w14:paraId="6B8D8B08" w14:textId="55A1E8B6" w:rsidR="00750491" w:rsidRDefault="00750491" w:rsidP="00750491">
      <w:pPr>
        <w:pStyle w:val="Heading1"/>
      </w:pPr>
      <w:r>
        <w:lastRenderedPageBreak/>
        <w:t>Append A: Topics for inclusion in “</w:t>
      </w:r>
      <w:r>
        <w:t>Introduction to EAI – A Technical Document on EAI</w:t>
      </w:r>
      <w:r>
        <w:t>”</w:t>
      </w:r>
    </w:p>
    <w:p w14:paraId="3F696496" w14:textId="77777777" w:rsidR="00750491" w:rsidRDefault="00750491" w:rsidP="00750491"/>
    <w:p w14:paraId="16E76D52" w14:textId="77777777" w:rsidR="00750491" w:rsidRPr="00750491" w:rsidRDefault="00750491" w:rsidP="00750491">
      <w:pPr>
        <w:rPr>
          <w:sz w:val="26"/>
          <w:szCs w:val="26"/>
          <w:lang w:eastAsia="en-GB"/>
        </w:rPr>
      </w:pPr>
      <w:r>
        <w:t>EAI Technical Document</w:t>
      </w:r>
    </w:p>
    <w:p w14:paraId="4759A10E" w14:textId="0D998746" w:rsidR="00750491" w:rsidRDefault="00750491" w:rsidP="00750491">
      <w:pPr>
        <w:pStyle w:val="ListParagraph"/>
        <w:numPr>
          <w:ilvl w:val="0"/>
          <w:numId w:val="20"/>
        </w:numPr>
        <w:ind w:left="360"/>
      </w:pPr>
      <w:r>
        <w:t>Audience - Developers and Implementers who need to work with email messages or addresses</w:t>
      </w:r>
    </w:p>
    <w:p w14:paraId="54846DC0" w14:textId="77777777" w:rsidR="00750491" w:rsidRDefault="00750491" w:rsidP="00750491">
      <w:pPr>
        <w:pStyle w:val="ListParagraph"/>
        <w:numPr>
          <w:ilvl w:val="0"/>
          <w:numId w:val="20"/>
        </w:numPr>
      </w:pPr>
      <w:r>
        <w:t>Email systems, but also applications and programming languages that feed into email systems</w:t>
      </w:r>
    </w:p>
    <w:p w14:paraId="1D4B6821" w14:textId="68557AD9" w:rsidR="00750491" w:rsidRDefault="00750491" w:rsidP="00750491">
      <w:pPr>
        <w:pStyle w:val="ListParagraph"/>
        <w:numPr>
          <w:ilvl w:val="0"/>
          <w:numId w:val="20"/>
        </w:numPr>
      </w:pPr>
      <w:r>
        <w:t>Technical Skill Set - developers, architects</w:t>
      </w:r>
    </w:p>
    <w:p w14:paraId="70E67D59" w14:textId="77777777" w:rsidR="00750491" w:rsidRDefault="00750491" w:rsidP="00750491">
      <w:pPr>
        <w:pStyle w:val="ListParagraph"/>
        <w:numPr>
          <w:ilvl w:val="0"/>
          <w:numId w:val="20"/>
        </w:numPr>
        <w:ind w:left="360"/>
      </w:pPr>
      <w:r>
        <w:t>Error Messages</w:t>
      </w:r>
    </w:p>
    <w:p w14:paraId="5563A47C" w14:textId="77777777" w:rsidR="00750491" w:rsidRDefault="00750491" w:rsidP="00750491">
      <w:pPr>
        <w:pStyle w:val="ListParagraph"/>
        <w:numPr>
          <w:ilvl w:val="0"/>
          <w:numId w:val="20"/>
        </w:numPr>
        <w:ind w:left="360"/>
      </w:pPr>
      <w:r>
        <w:t>Use Cases</w:t>
      </w:r>
    </w:p>
    <w:p w14:paraId="6AAA0B47" w14:textId="77777777" w:rsidR="00750491" w:rsidRDefault="00750491" w:rsidP="00750491">
      <w:pPr>
        <w:pStyle w:val="ListParagraph"/>
        <w:numPr>
          <w:ilvl w:val="0"/>
          <w:numId w:val="20"/>
        </w:numPr>
        <w:ind w:left="360"/>
      </w:pPr>
      <w:r>
        <w:t>Explanation of RFCs</w:t>
      </w:r>
    </w:p>
    <w:p w14:paraId="187F81A8" w14:textId="77777777" w:rsidR="00750491" w:rsidRDefault="00750491" w:rsidP="00750491">
      <w:pPr>
        <w:pStyle w:val="ListParagraph"/>
        <w:numPr>
          <w:ilvl w:val="0"/>
          <w:numId w:val="20"/>
        </w:numPr>
        <w:ind w:left="360"/>
      </w:pPr>
      <w:r>
        <w:t>Describe what EAI is</w:t>
      </w:r>
    </w:p>
    <w:p w14:paraId="6E9DBBDB" w14:textId="77777777" w:rsidR="00750491" w:rsidRDefault="00750491" w:rsidP="00750491">
      <w:pPr>
        <w:pStyle w:val="ListParagraph"/>
        <w:numPr>
          <w:ilvl w:val="0"/>
          <w:numId w:val="20"/>
        </w:numPr>
        <w:ind w:left="360"/>
      </w:pPr>
      <w:r>
        <w:t>What are the components of email ECO-SYSTEMS</w:t>
      </w:r>
    </w:p>
    <w:p w14:paraId="343CB8BF" w14:textId="1AD43ECC" w:rsidR="00750491" w:rsidRDefault="00750491" w:rsidP="00750491">
      <w:pPr>
        <w:pStyle w:val="ListParagraph"/>
        <w:numPr>
          <w:ilvl w:val="1"/>
          <w:numId w:val="20"/>
        </w:numPr>
        <w:ind w:left="1080"/>
      </w:pPr>
      <w:r>
        <w:t>MUA</w:t>
      </w:r>
    </w:p>
    <w:p w14:paraId="1888385A" w14:textId="422E056F" w:rsidR="00750491" w:rsidRDefault="00750491" w:rsidP="00750491">
      <w:pPr>
        <w:pStyle w:val="ListParagraph"/>
        <w:numPr>
          <w:ilvl w:val="1"/>
          <w:numId w:val="20"/>
        </w:numPr>
        <w:ind w:left="1080"/>
      </w:pPr>
      <w:r>
        <w:t>MTA</w:t>
      </w:r>
    </w:p>
    <w:p w14:paraId="3CE69AAE" w14:textId="3F71A46C" w:rsidR="00750491" w:rsidRDefault="00750491" w:rsidP="00750491">
      <w:pPr>
        <w:pStyle w:val="ListParagraph"/>
        <w:numPr>
          <w:ilvl w:val="1"/>
          <w:numId w:val="20"/>
        </w:numPr>
        <w:ind w:left="1080"/>
      </w:pPr>
      <w:r>
        <w:t>Mail Store</w:t>
      </w:r>
    </w:p>
    <w:p w14:paraId="75C8D1B6" w14:textId="637D2D67" w:rsidR="00750491" w:rsidRDefault="00750491" w:rsidP="00750491">
      <w:pPr>
        <w:pStyle w:val="ListParagraph"/>
        <w:numPr>
          <w:ilvl w:val="1"/>
          <w:numId w:val="20"/>
        </w:numPr>
        <w:ind w:left="1080"/>
      </w:pPr>
      <w:r>
        <w:t>Imap</w:t>
      </w:r>
    </w:p>
    <w:p w14:paraId="34221E6A" w14:textId="7BF8C9D4" w:rsidR="00750491" w:rsidRDefault="00750491" w:rsidP="00750491">
      <w:pPr>
        <w:pStyle w:val="ListParagraph"/>
        <w:numPr>
          <w:ilvl w:val="1"/>
          <w:numId w:val="20"/>
        </w:numPr>
        <w:ind w:left="1080"/>
      </w:pPr>
      <w:r>
        <w:t>Pop</w:t>
      </w:r>
    </w:p>
    <w:p w14:paraId="1BF5A68C" w14:textId="77777777" w:rsidR="00750491" w:rsidRDefault="00750491" w:rsidP="00750491">
      <w:pPr>
        <w:pStyle w:val="ListParagraph"/>
        <w:numPr>
          <w:ilvl w:val="0"/>
          <w:numId w:val="20"/>
        </w:numPr>
        <w:ind w:left="360"/>
      </w:pPr>
      <w:r>
        <w:t>Good Practices in mailbox allocations</w:t>
      </w:r>
    </w:p>
    <w:p w14:paraId="3A02FAC3" w14:textId="77777777" w:rsidR="00750491" w:rsidRDefault="00750491" w:rsidP="00750491">
      <w:pPr>
        <w:pStyle w:val="ListParagraph"/>
        <w:numPr>
          <w:ilvl w:val="0"/>
          <w:numId w:val="20"/>
        </w:numPr>
        <w:ind w:left="360"/>
      </w:pPr>
      <w:r>
        <w:t>Risks and Issues and solutions</w:t>
      </w:r>
    </w:p>
    <w:p w14:paraId="1F5AE3A2" w14:textId="77777777" w:rsidR="00750491" w:rsidRDefault="00750491" w:rsidP="00750491">
      <w:pPr>
        <w:pStyle w:val="ListParagraph"/>
        <w:numPr>
          <w:ilvl w:val="0"/>
          <w:numId w:val="20"/>
        </w:numPr>
        <w:ind w:left="360"/>
      </w:pPr>
      <w:r>
        <w:t>How to deal with non-EAI compliant systems</w:t>
      </w:r>
    </w:p>
    <w:p w14:paraId="7CDB7AB1" w14:textId="03ACE9F6" w:rsidR="00750491" w:rsidRDefault="00750491" w:rsidP="00750491">
      <w:pPr>
        <w:pStyle w:val="ListParagraph"/>
        <w:numPr>
          <w:ilvl w:val="1"/>
          <w:numId w:val="20"/>
        </w:numPr>
        <w:ind w:left="1080"/>
      </w:pPr>
      <w:r>
        <w:t>Aliases - suggested practices</w:t>
      </w:r>
    </w:p>
    <w:p w14:paraId="0AFEC506" w14:textId="77777777" w:rsidR="00750491" w:rsidRDefault="00750491" w:rsidP="00750491">
      <w:pPr>
        <w:pStyle w:val="ListParagraph"/>
        <w:numPr>
          <w:ilvl w:val="0"/>
          <w:numId w:val="20"/>
        </w:numPr>
        <w:ind w:left="360"/>
      </w:pPr>
      <w:r>
        <w:t>Status report on EAI implementations (as of publication date)</w:t>
      </w:r>
    </w:p>
    <w:p w14:paraId="2B821B75" w14:textId="2D8D054D" w:rsidR="00750491" w:rsidRDefault="00750491" w:rsidP="00750491">
      <w:pPr>
        <w:pStyle w:val="ListParagraph"/>
        <w:numPr>
          <w:ilvl w:val="0"/>
          <w:numId w:val="20"/>
        </w:numPr>
        <w:ind w:left="360"/>
      </w:pPr>
      <w:r>
        <w:t>Normalisation - ASCII &amp; Non-</w:t>
      </w:r>
      <w:r>
        <w:t>ASCII</w:t>
      </w:r>
    </w:p>
    <w:p w14:paraId="39643371" w14:textId="77777777" w:rsidR="00750491" w:rsidRDefault="00750491" w:rsidP="00750491">
      <w:pPr>
        <w:pStyle w:val="ListParagraph"/>
        <w:numPr>
          <w:ilvl w:val="0"/>
          <w:numId w:val="20"/>
        </w:numPr>
        <w:ind w:left="360"/>
      </w:pPr>
      <w:r>
        <w:t>Compatibility Mode/Mailbox encoding</w:t>
      </w:r>
    </w:p>
    <w:p w14:paraId="54164B05" w14:textId="77777777" w:rsidR="00750491" w:rsidRDefault="00750491" w:rsidP="00750491">
      <w:pPr>
        <w:pStyle w:val="ListParagraph"/>
        <w:numPr>
          <w:ilvl w:val="0"/>
          <w:numId w:val="20"/>
        </w:numPr>
        <w:ind w:left="360"/>
      </w:pPr>
      <w:r>
        <w:t>IDNA2003/2008 issues</w:t>
      </w:r>
    </w:p>
    <w:p w14:paraId="7648D7E7" w14:textId="77777777" w:rsidR="00750491" w:rsidRDefault="00750491" w:rsidP="00750491">
      <w:pPr>
        <w:pStyle w:val="ListParagraph"/>
        <w:numPr>
          <w:ilvl w:val="0"/>
          <w:numId w:val="20"/>
        </w:numPr>
        <w:ind w:left="360"/>
      </w:pPr>
      <w:r>
        <w:t>Inventory of Open source email eco-system choices.</w:t>
      </w:r>
      <w:r w:rsidRPr="00750491">
        <w:rPr>
          <w:rStyle w:val="apple-converted-space"/>
          <w:b/>
          <w:bCs/>
        </w:rPr>
        <w:t xml:space="preserve">  </w:t>
      </w:r>
      <w:r>
        <w:t>MUA, MTA, Mailstore, etc</w:t>
      </w:r>
    </w:p>
    <w:p w14:paraId="1B928DE0" w14:textId="29D6C812" w:rsidR="00750491" w:rsidRDefault="00750491" w:rsidP="00750491">
      <w:pPr>
        <w:pStyle w:val="ListParagraph"/>
        <w:numPr>
          <w:ilvl w:val="0"/>
          <w:numId w:val="20"/>
        </w:numPr>
        <w:ind w:left="360"/>
      </w:pPr>
      <w:r>
        <w:t>Gentle introduction of UA and EAI with examples.</w:t>
      </w:r>
    </w:p>
    <w:p w14:paraId="67B05E29" w14:textId="5ADB804D" w:rsidR="00750491" w:rsidRDefault="00750491" w:rsidP="00750491">
      <w:pPr>
        <w:pStyle w:val="ListParagraph"/>
        <w:numPr>
          <w:ilvl w:val="0"/>
          <w:numId w:val="20"/>
        </w:numPr>
        <w:ind w:left="360"/>
      </w:pPr>
      <w:r>
        <w:t>Right to left scripts (entry, storage, display)</w:t>
      </w:r>
    </w:p>
    <w:p w14:paraId="74194B78" w14:textId="77777777" w:rsidR="00750491" w:rsidRDefault="00750491" w:rsidP="00750491">
      <w:pPr>
        <w:pStyle w:val="ListParagraph"/>
        <w:numPr>
          <w:ilvl w:val="0"/>
          <w:numId w:val="20"/>
        </w:numPr>
        <w:ind w:left="360"/>
      </w:pPr>
      <w:r>
        <w:t>Validation (well formed, exist?, typos)</w:t>
      </w:r>
    </w:p>
    <w:p w14:paraId="56290A08" w14:textId="6B9CDD2F" w:rsidR="00750491" w:rsidRDefault="00750491" w:rsidP="00750491">
      <w:pPr>
        <w:pStyle w:val="ListParagraph"/>
        <w:numPr>
          <w:ilvl w:val="0"/>
          <w:numId w:val="20"/>
        </w:numPr>
        <w:ind w:left="360"/>
      </w:pPr>
      <w:r>
        <w:t>Use Cases reference</w:t>
      </w:r>
    </w:p>
    <w:p w14:paraId="7F72ABF8" w14:textId="77777777" w:rsidR="00750491" w:rsidRDefault="00750491" w:rsidP="00750491">
      <w:pPr>
        <w:pStyle w:val="ListParagraph"/>
        <w:numPr>
          <w:ilvl w:val="0"/>
          <w:numId w:val="20"/>
        </w:numPr>
        <w:ind w:left="360"/>
      </w:pPr>
      <w:r>
        <w:t>Reference of places to play/how - stack overflow tag.</w:t>
      </w:r>
      <w:r>
        <w:rPr>
          <w:rStyle w:val="apple-converted-space"/>
        </w:rPr>
        <w:t xml:space="preserve">  </w:t>
      </w:r>
      <w:r>
        <w:t>ua-eai, IETF,</w:t>
      </w:r>
      <w:r>
        <w:rPr>
          <w:rStyle w:val="apple-converted-space"/>
        </w:rPr>
        <w:t> </w:t>
      </w:r>
    </w:p>
    <w:p w14:paraId="6D3C4BD7" w14:textId="77777777" w:rsidR="00750491" w:rsidRDefault="00750491" w:rsidP="00750491">
      <w:pPr>
        <w:pStyle w:val="ListParagraph"/>
        <w:numPr>
          <w:ilvl w:val="0"/>
          <w:numId w:val="20"/>
        </w:numPr>
        <w:ind w:left="360"/>
      </w:pPr>
      <w:r>
        <w:t>Email reflector - out of office</w:t>
      </w:r>
    </w:p>
    <w:p w14:paraId="3D3675F6" w14:textId="77777777" w:rsidR="00750491" w:rsidRDefault="00750491" w:rsidP="00750491">
      <w:pPr>
        <w:pStyle w:val="ListParagraph"/>
        <w:numPr>
          <w:ilvl w:val="0"/>
          <w:numId w:val="20"/>
        </w:numPr>
        <w:ind w:left="360"/>
      </w:pPr>
      <w:r>
        <w:t>DKIM</w:t>
      </w:r>
    </w:p>
    <w:p w14:paraId="4944997F" w14:textId="77777777" w:rsidR="00750491" w:rsidRPr="00B27324" w:rsidRDefault="00750491" w:rsidP="00750491"/>
    <w:sectPr w:rsidR="00750491" w:rsidRPr="00B27324" w:rsidSect="00B940C9">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FE1B8" w14:textId="77777777" w:rsidR="003206B2" w:rsidRDefault="003206B2" w:rsidP="00532AB2">
      <w:r>
        <w:separator/>
      </w:r>
    </w:p>
  </w:endnote>
  <w:endnote w:type="continuationSeparator" w:id="0">
    <w:p w14:paraId="50DED127" w14:textId="77777777" w:rsidR="003206B2" w:rsidRDefault="003206B2" w:rsidP="0053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rdia New">
    <w:panose1 w:val="020B0304020202020204"/>
    <w:charset w:val="00"/>
    <w:family w:val="auto"/>
    <w:pitch w:val="variable"/>
    <w:sig w:usb0="8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33C28A" w14:textId="77777777" w:rsidR="0037006C" w:rsidRDefault="003700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443B95" w14:textId="77777777" w:rsidR="00532AB2" w:rsidRDefault="00532AB2" w:rsidP="00532AB2">
    <w:pPr>
      <w:pStyle w:val="Footer"/>
      <w:jc w:val="right"/>
    </w:pPr>
    <w:r>
      <w:rPr>
        <w:noProof/>
        <w:lang w:eastAsia="en-GB"/>
      </w:rPr>
      <w:drawing>
        <wp:inline distT="0" distB="0" distL="0" distR="0" wp14:anchorId="277616BB" wp14:editId="7852C1F9">
          <wp:extent cx="1668145" cy="912759"/>
          <wp:effectExtent l="0" t="0" r="8255" b="1905"/>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44" cy="93191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432C3B" w14:textId="77777777" w:rsidR="0037006C" w:rsidRDefault="003700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4E02F" w14:textId="77777777" w:rsidR="003206B2" w:rsidRDefault="003206B2" w:rsidP="00532AB2">
      <w:r>
        <w:separator/>
      </w:r>
    </w:p>
  </w:footnote>
  <w:footnote w:type="continuationSeparator" w:id="0">
    <w:p w14:paraId="23400273" w14:textId="77777777" w:rsidR="003206B2" w:rsidRDefault="003206B2" w:rsidP="00532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23D902" w14:textId="58D1143B" w:rsidR="0037006C" w:rsidRDefault="003206B2">
    <w:pPr>
      <w:pStyle w:val="Header"/>
    </w:pPr>
    <w:r>
      <w:rPr>
        <w:noProof/>
        <w:lang w:val="en-NZ"/>
      </w:rPr>
      <w:pict w14:anchorId="2D6362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3.9pt;height:211.95pt;rotation:315;z-index:-251655168;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F5C3AE" w14:textId="2A59EB53" w:rsidR="0037006C" w:rsidRDefault="003206B2">
    <w:pPr>
      <w:pStyle w:val="Header"/>
    </w:pPr>
    <w:r>
      <w:rPr>
        <w:noProof/>
        <w:lang w:val="en-NZ"/>
      </w:rPr>
      <w:pict w14:anchorId="382624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3.9pt;height:211.95pt;rotation:315;z-index:-251657216;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532A1E" w14:textId="7AF8BA73" w:rsidR="0037006C" w:rsidRDefault="003206B2">
    <w:pPr>
      <w:pStyle w:val="Header"/>
    </w:pPr>
    <w:r>
      <w:rPr>
        <w:noProof/>
        <w:lang w:val="en-NZ"/>
      </w:rPr>
      <w:pict w14:anchorId="73F78D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3.9pt;height:211.95pt;rotation:315;z-index:-251653120;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3">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4">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1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292F31"/>
    <w:multiLevelType w:val="hybridMultilevel"/>
    <w:tmpl w:val="4DECB0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AC4F0E"/>
    <w:multiLevelType w:val="hybridMultilevel"/>
    <w:tmpl w:val="3DB6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5769AD"/>
    <w:multiLevelType w:val="hybridMultilevel"/>
    <w:tmpl w:val="ABCC4666"/>
    <w:lvl w:ilvl="0" w:tplc="08090001">
      <w:start w:val="1"/>
      <w:numFmt w:val="bullet"/>
      <w:lvlText w:val=""/>
      <w:lvlJc w:val="left"/>
      <w:pPr>
        <w:ind w:left="720" w:hanging="360"/>
      </w:pPr>
      <w:rPr>
        <w:rFonts w:ascii="Symbol" w:hAnsi="Symbol" w:hint="default"/>
      </w:rPr>
    </w:lvl>
    <w:lvl w:ilvl="1" w:tplc="44106D2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10"/>
  </w:num>
  <w:num w:numId="2">
    <w:abstractNumId w:val="9"/>
  </w:num>
  <w:num w:numId="3">
    <w:abstractNumId w:val="3"/>
  </w:num>
  <w:num w:numId="4">
    <w:abstractNumId w:val="0"/>
  </w:num>
  <w:num w:numId="5">
    <w:abstractNumId w:val="19"/>
  </w:num>
  <w:num w:numId="6">
    <w:abstractNumId w:val="2"/>
  </w:num>
  <w:num w:numId="7">
    <w:abstractNumId w:val="18"/>
  </w:num>
  <w:num w:numId="8">
    <w:abstractNumId w:val="8"/>
  </w:num>
  <w:num w:numId="9">
    <w:abstractNumId w:val="17"/>
  </w:num>
  <w:num w:numId="10">
    <w:abstractNumId w:val="14"/>
  </w:num>
  <w:num w:numId="11">
    <w:abstractNumId w:val="5"/>
  </w:num>
  <w:num w:numId="12">
    <w:abstractNumId w:val="1"/>
  </w:num>
  <w:num w:numId="13">
    <w:abstractNumId w:val="6"/>
  </w:num>
  <w:num w:numId="14">
    <w:abstractNumId w:val="16"/>
  </w:num>
  <w:num w:numId="15">
    <w:abstractNumId w:val="4"/>
  </w:num>
  <w:num w:numId="16">
    <w:abstractNumId w:val="12"/>
  </w:num>
  <w:num w:numId="17">
    <w:abstractNumId w:val="7"/>
  </w:num>
  <w:num w:numId="18">
    <w:abstractNumId w:val="13"/>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2"/>
    <w:rsid w:val="00041254"/>
    <w:rsid w:val="00092923"/>
    <w:rsid w:val="0012268D"/>
    <w:rsid w:val="00123B9E"/>
    <w:rsid w:val="001C41DB"/>
    <w:rsid w:val="00207630"/>
    <w:rsid w:val="00247ECC"/>
    <w:rsid w:val="00250436"/>
    <w:rsid w:val="002B312A"/>
    <w:rsid w:val="002D17DE"/>
    <w:rsid w:val="002F0C62"/>
    <w:rsid w:val="002F15E7"/>
    <w:rsid w:val="00306463"/>
    <w:rsid w:val="003206B2"/>
    <w:rsid w:val="00343DF7"/>
    <w:rsid w:val="00345E6D"/>
    <w:rsid w:val="00345E9A"/>
    <w:rsid w:val="0037006C"/>
    <w:rsid w:val="00420FE3"/>
    <w:rsid w:val="004340A3"/>
    <w:rsid w:val="004548EA"/>
    <w:rsid w:val="004628F2"/>
    <w:rsid w:val="00466087"/>
    <w:rsid w:val="0048047A"/>
    <w:rsid w:val="00483D76"/>
    <w:rsid w:val="00490194"/>
    <w:rsid w:val="004A5A7D"/>
    <w:rsid w:val="004C67CB"/>
    <w:rsid w:val="004E10A0"/>
    <w:rsid w:val="00530335"/>
    <w:rsid w:val="00532AB2"/>
    <w:rsid w:val="005713F4"/>
    <w:rsid w:val="005833CD"/>
    <w:rsid w:val="00595A23"/>
    <w:rsid w:val="005D04B3"/>
    <w:rsid w:val="005E667C"/>
    <w:rsid w:val="005E77DB"/>
    <w:rsid w:val="00643425"/>
    <w:rsid w:val="00660805"/>
    <w:rsid w:val="00671D36"/>
    <w:rsid w:val="006946FC"/>
    <w:rsid w:val="00750491"/>
    <w:rsid w:val="0075420B"/>
    <w:rsid w:val="00787988"/>
    <w:rsid w:val="007D3033"/>
    <w:rsid w:val="0084226C"/>
    <w:rsid w:val="00856D24"/>
    <w:rsid w:val="00862F23"/>
    <w:rsid w:val="008866AF"/>
    <w:rsid w:val="008E4FE1"/>
    <w:rsid w:val="008F31B8"/>
    <w:rsid w:val="00916BAC"/>
    <w:rsid w:val="0093093A"/>
    <w:rsid w:val="00A5584F"/>
    <w:rsid w:val="00A76632"/>
    <w:rsid w:val="00A875D5"/>
    <w:rsid w:val="00AA0D8D"/>
    <w:rsid w:val="00AA63DB"/>
    <w:rsid w:val="00AF64F7"/>
    <w:rsid w:val="00B27324"/>
    <w:rsid w:val="00B43B99"/>
    <w:rsid w:val="00B940C9"/>
    <w:rsid w:val="00C008C9"/>
    <w:rsid w:val="00C16DB0"/>
    <w:rsid w:val="00C41BC2"/>
    <w:rsid w:val="00C61E02"/>
    <w:rsid w:val="00CF7AE1"/>
    <w:rsid w:val="00DA7093"/>
    <w:rsid w:val="00DE13C8"/>
    <w:rsid w:val="00DE5885"/>
    <w:rsid w:val="00EA5F22"/>
    <w:rsid w:val="00EC12D2"/>
    <w:rsid w:val="00EF3E2C"/>
    <w:rsid w:val="00F87440"/>
    <w:rsid w:val="00FB51A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paragraph" w:customStyle="1" w:styleId="p1">
    <w:name w:val="p1"/>
    <w:basedOn w:val="Normal"/>
    <w:rsid w:val="00750491"/>
    <w:rPr>
      <w:rFonts w:ascii="Helvetica Neue" w:hAnsi="Helvetica Neue" w:cs="Times New Roman"/>
      <w:color w:val="454545"/>
      <w:sz w:val="26"/>
      <w:szCs w:val="26"/>
      <w:lang w:eastAsia="en-GB"/>
    </w:rPr>
  </w:style>
  <w:style w:type="paragraph" w:customStyle="1" w:styleId="p2">
    <w:name w:val="p2"/>
    <w:basedOn w:val="Normal"/>
    <w:rsid w:val="00750491"/>
    <w:rPr>
      <w:rFonts w:ascii="Helvetica Neue" w:hAnsi="Helvetica Neue" w:cs="Times New Roman"/>
      <w:color w:val="454545"/>
      <w:sz w:val="26"/>
      <w:szCs w:val="26"/>
      <w:lang w:eastAsia="en-GB"/>
    </w:rPr>
  </w:style>
  <w:style w:type="paragraph" w:customStyle="1" w:styleId="p3">
    <w:name w:val="p3"/>
    <w:basedOn w:val="Normal"/>
    <w:rsid w:val="00750491"/>
    <w:rPr>
      <w:rFonts w:ascii="Helvetica Neue" w:hAnsi="Helvetica Neue" w:cs="Times New Roman"/>
      <w:color w:val="454545"/>
      <w:sz w:val="18"/>
      <w:szCs w:val="18"/>
      <w:lang w:eastAsia="en-GB"/>
    </w:rPr>
  </w:style>
  <w:style w:type="paragraph" w:customStyle="1" w:styleId="p4">
    <w:name w:val="p4"/>
    <w:basedOn w:val="Normal"/>
    <w:rsid w:val="00750491"/>
    <w:rPr>
      <w:rFonts w:ascii="Helvetica Neue" w:hAnsi="Helvetica Neue" w:cs="Times New Roman"/>
      <w:color w:val="454545"/>
      <w:sz w:val="18"/>
      <w:szCs w:val="18"/>
      <w:lang w:eastAsia="en-GB"/>
    </w:rPr>
  </w:style>
  <w:style w:type="character" w:customStyle="1" w:styleId="apple-tab-span">
    <w:name w:val="apple-tab-span"/>
    <w:basedOn w:val="DefaultParagraphFont"/>
    <w:rsid w:val="00750491"/>
  </w:style>
  <w:style w:type="character" w:customStyle="1" w:styleId="apple-converted-space">
    <w:name w:val="apple-converted-space"/>
    <w:basedOn w:val="DefaultParagraphFont"/>
    <w:rsid w:val="0075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5571">
      <w:bodyDiv w:val="1"/>
      <w:marLeft w:val="0"/>
      <w:marRight w:val="0"/>
      <w:marTop w:val="0"/>
      <w:marBottom w:val="0"/>
      <w:divBdr>
        <w:top w:val="none" w:sz="0" w:space="0" w:color="auto"/>
        <w:left w:val="none" w:sz="0" w:space="0" w:color="auto"/>
        <w:bottom w:val="none" w:sz="0" w:space="0" w:color="auto"/>
        <w:right w:val="none" w:sz="0" w:space="0" w:color="auto"/>
      </w:divBdr>
    </w:div>
    <w:div w:id="353312214">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1967471093">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5452077">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123622678">
          <w:marLeft w:val="288"/>
          <w:marRight w:val="0"/>
          <w:marTop w:val="115"/>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sChild>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 w:id="228463697">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1532187121">
          <w:marLeft w:val="288"/>
          <w:marRight w:val="0"/>
          <w:marTop w:val="115"/>
          <w:marBottom w:val="0"/>
          <w:divBdr>
            <w:top w:val="none" w:sz="0" w:space="0" w:color="auto"/>
            <w:left w:val="none" w:sz="0" w:space="0" w:color="auto"/>
            <w:bottom w:val="none" w:sz="0" w:space="0" w:color="auto"/>
            <w:right w:val="none" w:sz="0" w:space="0" w:color="auto"/>
          </w:divBdr>
        </w:div>
        <w:div w:id="343627355">
          <w:marLeft w:val="720"/>
          <w:marRight w:val="0"/>
          <w:marTop w:val="96"/>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ifewire.com/how-many-email-users-are-there-1171213" TargetMode="External"/><Relationship Id="rId8" Type="http://schemas.openxmlformats.org/officeDocument/2006/relationships/hyperlink" Target="https://docs.google.com/spreadsheets/d/1r_Atg9W_zfaDbpIx4NhFiqL-z-QlLJhyAY2jzGjg1Ww/edit?usp=sharing"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937</Words>
  <Characters>5345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3</cp:revision>
  <dcterms:created xsi:type="dcterms:W3CDTF">2017-04-14T15:50:00Z</dcterms:created>
  <dcterms:modified xsi:type="dcterms:W3CDTF">2017-04-14T20:38:00Z</dcterms:modified>
</cp:coreProperties>
</file>