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F9" w:rsidRDefault="00530AF9" w:rsidP="00530AF9">
      <w:pPr>
        <w:rPr>
          <w:lang w:val="en-GB"/>
        </w:rPr>
      </w:pPr>
      <w:r w:rsidRPr="00530AF9">
        <w:rPr>
          <w:lang w:val="en-GB"/>
        </w:rPr>
        <w:t>Alternative Trigger for Discussion – Contracted Party Request:</w:t>
      </w:r>
    </w:p>
    <w:p w:rsidR="00530AF9" w:rsidRPr="00530AF9" w:rsidRDefault="00530AF9" w:rsidP="00530AF9">
      <w:pPr>
        <w:rPr>
          <w:lang w:val="en-GB"/>
        </w:rPr>
      </w:pPr>
      <w:bookmarkStart w:id="0" w:name="_GoBack"/>
      <w:bookmarkEnd w:id="0"/>
    </w:p>
    <w:p w:rsidR="00530AF9" w:rsidRPr="00530AF9" w:rsidRDefault="00530AF9" w:rsidP="00530AF9">
      <w:pPr>
        <w:numPr>
          <w:ilvl w:val="0"/>
          <w:numId w:val="1"/>
        </w:numPr>
      </w:pPr>
      <w:r w:rsidRPr="00530AF9">
        <w:t xml:space="preserve">If a registry or registrar proposes to limit its </w:t>
      </w:r>
      <w:proofErr w:type="spellStart"/>
      <w:r w:rsidRPr="00530AF9">
        <w:t>Whois</w:t>
      </w:r>
      <w:proofErr w:type="spellEnd"/>
      <w:r w:rsidRPr="00530AF9">
        <w:t xml:space="preserve"> obligations for some or all of its registrants it would need to present ICANN with:</w:t>
      </w:r>
    </w:p>
    <w:p w:rsidR="00530AF9" w:rsidRPr="00530AF9" w:rsidRDefault="00530AF9" w:rsidP="00530AF9">
      <w:pPr>
        <w:numPr>
          <w:ilvl w:val="1"/>
          <w:numId w:val="1"/>
        </w:numPr>
      </w:pPr>
      <w:r w:rsidRPr="00530AF9">
        <w:t>A request describing the legal conflict and why it’s impossible to find a legal alternative including registrant consent or privacy/proxy services</w:t>
      </w:r>
    </w:p>
    <w:p w:rsidR="00530AF9" w:rsidRPr="00530AF9" w:rsidRDefault="00530AF9" w:rsidP="00530AF9">
      <w:pPr>
        <w:numPr>
          <w:ilvl w:val="1"/>
          <w:numId w:val="1"/>
        </w:numPr>
      </w:pPr>
      <w:r w:rsidRPr="00530AF9">
        <w:t>Written support by all other affected registries and/or registrars or justification for why they are the only affected party</w:t>
      </w:r>
    </w:p>
    <w:p w:rsidR="00530AF9" w:rsidRPr="00530AF9" w:rsidRDefault="00530AF9" w:rsidP="00530AF9">
      <w:pPr>
        <w:numPr>
          <w:ilvl w:val="1"/>
          <w:numId w:val="1"/>
        </w:numPr>
      </w:pPr>
      <w:r w:rsidRPr="00530AF9">
        <w:t>Written support/approval from a relevant governmental privacy agency (if one exists) highly recommended</w:t>
      </w:r>
    </w:p>
    <w:p w:rsidR="00530AF9" w:rsidRPr="00530AF9" w:rsidRDefault="00530AF9" w:rsidP="00530AF9">
      <w:pPr>
        <w:numPr>
          <w:ilvl w:val="1"/>
          <w:numId w:val="1"/>
        </w:numPr>
      </w:pPr>
      <w:r w:rsidRPr="00530AF9">
        <w:t>Written support or non-objection to the request from local law enforcement and/or GAC</w:t>
      </w:r>
    </w:p>
    <w:p w:rsidR="00530AF9" w:rsidRPr="00530AF9" w:rsidRDefault="00530AF9" w:rsidP="00530AF9"/>
    <w:p w:rsidR="00530AF9" w:rsidRPr="00530AF9" w:rsidRDefault="00530AF9" w:rsidP="00530AF9">
      <w:pPr>
        <w:numPr>
          <w:ilvl w:val="0"/>
          <w:numId w:val="1"/>
        </w:numPr>
      </w:pPr>
      <w:r w:rsidRPr="00530AF9">
        <w:t>ICANN’s investigation of the grounds for the request would include but not be limited to seeking input from the GAC, law enforcement and other interested parties; posting the request for 45 days to allow parties to file objections and requiring resolution of any objections. ICANN may also seek outside expert advice to help inform a final decision.</w:t>
      </w:r>
    </w:p>
    <w:p w:rsidR="001E54B7" w:rsidRDefault="001E54B7"/>
    <w:sectPr w:rsidR="001E54B7" w:rsidSect="001E54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205D4"/>
    <w:multiLevelType w:val="hybridMultilevel"/>
    <w:tmpl w:val="9D601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F9"/>
    <w:rsid w:val="001E54B7"/>
    <w:rsid w:val="0053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5725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Macintosh Word</Application>
  <DocSecurity>0</DocSecurity>
  <Lines>7</Lines>
  <Paragraphs>2</Paragraphs>
  <ScaleCrop>false</ScaleCrop>
  <Company>ICANN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Hedlund</dc:creator>
  <cp:keywords/>
  <dc:description/>
  <cp:lastModifiedBy>Jamie Hedlund</cp:lastModifiedBy>
  <cp:revision>1</cp:revision>
  <dcterms:created xsi:type="dcterms:W3CDTF">2015-08-05T15:18:00Z</dcterms:created>
  <dcterms:modified xsi:type="dcterms:W3CDTF">2015-08-05T15:19:00Z</dcterms:modified>
</cp:coreProperties>
</file>