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127AE" w:rsidRPr="002166A3" w:rsidRDefault="001127AE">
      <w:pPr>
        <w:pStyle w:val="Normal1"/>
        <w:rPr>
          <w:lang w:val="en-US"/>
        </w:rPr>
      </w:pPr>
    </w:p>
    <w:p w:rsidR="001127AE" w:rsidRPr="002166A3" w:rsidRDefault="002166A3">
      <w:pPr>
        <w:pStyle w:val="Ttulo1"/>
        <w:keepNext w:val="0"/>
        <w:keepLines w:val="0"/>
        <w:spacing w:before="480" w:after="120"/>
        <w:contextualSpacing w:val="0"/>
        <w:jc w:val="center"/>
        <w:rPr>
          <w:lang w:val="en-US"/>
        </w:rPr>
      </w:pPr>
      <w:bookmarkStart w:id="0" w:name="h.i1apdoohp6w7" w:colFirst="0" w:colLast="0"/>
      <w:bookmarkEnd w:id="0"/>
      <w:r w:rsidRPr="002166A3">
        <w:rPr>
          <w:rFonts w:ascii="Arial" w:eastAsia="Arial" w:hAnsi="Arial" w:cs="Arial"/>
          <w:b/>
          <w:sz w:val="52"/>
          <w:szCs w:val="52"/>
          <w:lang w:val="en-US"/>
        </w:rPr>
        <w:t>Diversity</w:t>
      </w:r>
    </w:p>
    <w:p w:rsidR="001127AE" w:rsidRPr="002166A3" w:rsidRDefault="002166A3">
      <w:pPr>
        <w:pStyle w:val="Normal1"/>
        <w:jc w:val="center"/>
        <w:rPr>
          <w:lang w:val="en-US"/>
        </w:rPr>
      </w:pPr>
      <w:r w:rsidRPr="002166A3">
        <w:rPr>
          <w:rFonts w:ascii="Calibri" w:eastAsia="Calibri" w:hAnsi="Calibri" w:cs="Calibri"/>
          <w:sz w:val="28"/>
          <w:szCs w:val="28"/>
          <w:lang w:val="en-US"/>
        </w:rPr>
        <w:t xml:space="preserve"> </w:t>
      </w:r>
    </w:p>
    <w:p w:rsidR="001127AE" w:rsidRPr="002166A3" w:rsidRDefault="002166A3">
      <w:pPr>
        <w:pStyle w:val="Normal1"/>
        <w:jc w:val="center"/>
        <w:rPr>
          <w:lang w:val="en-US"/>
        </w:rPr>
      </w:pPr>
      <w:r w:rsidRPr="002166A3">
        <w:rPr>
          <w:rFonts w:ascii="Calibri" w:eastAsia="Calibri" w:hAnsi="Calibri" w:cs="Calibri"/>
          <w:sz w:val="28"/>
          <w:szCs w:val="28"/>
          <w:lang w:val="en-US"/>
        </w:rPr>
        <w:t xml:space="preserve"> </w:t>
      </w:r>
    </w:p>
    <w:p w:rsidR="001127AE" w:rsidRPr="002166A3" w:rsidRDefault="002166A3">
      <w:pPr>
        <w:pStyle w:val="Normal1"/>
        <w:jc w:val="center"/>
        <w:rPr>
          <w:lang w:val="en-US"/>
        </w:rPr>
      </w:pPr>
      <w:r w:rsidRPr="002166A3">
        <w:rPr>
          <w:rFonts w:ascii="Calibri" w:eastAsia="Calibri" w:hAnsi="Calibri" w:cs="Calibri"/>
          <w:sz w:val="28"/>
          <w:szCs w:val="28"/>
          <w:lang w:val="en-US"/>
        </w:rPr>
        <w:t xml:space="preserve">Link: </w:t>
      </w:r>
      <w:hyperlink r:id="rId8">
        <w:r w:rsidRPr="002166A3">
          <w:rPr>
            <w:rFonts w:ascii="Calibri" w:eastAsia="Calibri" w:hAnsi="Calibri" w:cs="Calibri"/>
            <w:color w:val="0000FF"/>
            <w:sz w:val="28"/>
            <w:szCs w:val="28"/>
            <w:u w:val="single"/>
            <w:lang w:val="en-US"/>
          </w:rPr>
          <w:t>https://community.icann.org/x/saw0Aw</w:t>
        </w:r>
      </w:hyperlink>
      <w:r w:rsidRPr="002166A3">
        <w:rPr>
          <w:rFonts w:ascii="Calibri" w:eastAsia="Calibri" w:hAnsi="Calibri" w:cs="Calibri"/>
          <w:sz w:val="28"/>
          <w:szCs w:val="28"/>
          <w:lang w:val="en-US"/>
        </w:rPr>
        <w:t xml:space="preserve"> </w:t>
      </w:r>
    </w:p>
    <w:p w:rsidR="001127AE" w:rsidRPr="002166A3" w:rsidRDefault="002166A3">
      <w:pPr>
        <w:pStyle w:val="Normal1"/>
        <w:jc w:val="center"/>
        <w:rPr>
          <w:lang w:val="en-US"/>
        </w:rPr>
      </w:pPr>
      <w:r w:rsidRPr="002166A3">
        <w:rPr>
          <w:rFonts w:ascii="Calibri" w:eastAsia="Calibri" w:hAnsi="Calibri" w:cs="Calibri"/>
          <w:b/>
          <w:sz w:val="28"/>
          <w:szCs w:val="28"/>
          <w:lang w:val="en-US"/>
        </w:rPr>
        <w:t xml:space="preserve"> </w:t>
      </w:r>
    </w:p>
    <w:p w:rsidR="001127AE" w:rsidRPr="002166A3" w:rsidRDefault="002166A3">
      <w:pPr>
        <w:pStyle w:val="Ttulo1"/>
        <w:keepNext w:val="0"/>
        <w:keepLines w:val="0"/>
        <w:spacing w:before="480" w:after="120"/>
        <w:contextualSpacing w:val="0"/>
        <w:rPr>
          <w:lang w:val="en-US"/>
        </w:rPr>
      </w:pPr>
      <w:bookmarkStart w:id="1" w:name="h.zgm3xtf4yid0" w:colFirst="0" w:colLast="0"/>
      <w:bookmarkEnd w:id="1"/>
      <w:r w:rsidRPr="002166A3">
        <w:rPr>
          <w:rFonts w:ascii="Arial" w:eastAsia="Arial" w:hAnsi="Arial" w:cs="Arial"/>
          <w:b/>
          <w:sz w:val="36"/>
          <w:szCs w:val="36"/>
          <w:lang w:val="en-US"/>
        </w:rPr>
        <w:t>Problem Statement</w:t>
      </w:r>
    </w:p>
    <w:p w:rsidR="001127AE" w:rsidRPr="002166A3" w:rsidRDefault="001127AE">
      <w:pPr>
        <w:pStyle w:val="Normal1"/>
        <w:jc w:val="both"/>
        <w:rPr>
          <w:lang w:val="en-US"/>
        </w:rPr>
      </w:pPr>
    </w:p>
    <w:p w:rsidR="001127AE" w:rsidRPr="002166A3" w:rsidRDefault="002166A3">
      <w:pPr>
        <w:pStyle w:val="Normal1"/>
        <w:jc w:val="both"/>
        <w:rPr>
          <w:lang w:val="en-US"/>
        </w:rPr>
      </w:pPr>
      <w:r w:rsidRPr="002166A3">
        <w:rPr>
          <w:rFonts w:ascii="Calibri" w:eastAsia="Calibri" w:hAnsi="Calibri" w:cs="Calibri"/>
          <w:sz w:val="28"/>
          <w:szCs w:val="28"/>
          <w:lang w:val="en-US"/>
        </w:rPr>
        <w:t>During the first public comment period on the draft document built by the CCWG, there were several comments with regards to diversity and how the proposed mechanisms, so far, didn’t address this topic fully.</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The current CCWG draft refers to diversity in several places: IRP panel composition, « </w:t>
      </w:r>
      <w:proofErr w:type="spellStart"/>
      <w:r w:rsidRPr="002166A3">
        <w:rPr>
          <w:rFonts w:ascii="Calibri" w:eastAsia="Calibri" w:hAnsi="Calibri" w:cs="Calibri"/>
          <w:sz w:val="28"/>
          <w:szCs w:val="28"/>
          <w:lang w:val="en-US"/>
        </w:rPr>
        <w:t>AoC</w:t>
      </w:r>
      <w:proofErr w:type="spellEnd"/>
      <w:r w:rsidRPr="002166A3">
        <w:rPr>
          <w:rFonts w:ascii="Calibri" w:eastAsia="Calibri" w:hAnsi="Calibri" w:cs="Calibri"/>
          <w:sz w:val="28"/>
          <w:szCs w:val="28"/>
          <w:lang w:val="en-US"/>
        </w:rPr>
        <w:t xml:space="preserve"> » review teams composition, community mechanism, etc.</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1"/>
        <w:jc w:val="both"/>
        <w:rPr>
          <w:lang w:val="en-US"/>
        </w:rPr>
      </w:pPr>
      <w:r w:rsidRPr="002166A3">
        <w:rPr>
          <w:rFonts w:ascii="Calibri" w:eastAsia="Calibri" w:hAnsi="Calibri" w:cs="Calibri"/>
          <w:sz w:val="28"/>
          <w:szCs w:val="28"/>
          <w:lang w:val="en-US"/>
        </w:rPr>
        <w:t>Some comments express concern about diversity. Several commenters requested more details about the concrete steps, or asked to more explicit support enhancements of diversity within ICANN.</w:t>
      </w:r>
      <w:r w:rsidRPr="002166A3">
        <w:rPr>
          <w:rFonts w:ascii="Calibri" w:eastAsia="Calibri" w:hAnsi="Calibri" w:cs="Calibri"/>
          <w:sz w:val="28"/>
          <w:szCs w:val="28"/>
          <w:vertAlign w:val="superscript"/>
          <w:lang w:val="en-US"/>
        </w:rPr>
        <w:footnoteReference w:id="1"/>
      </w:r>
    </w:p>
    <w:p w:rsidR="001127AE" w:rsidRPr="002166A3" w:rsidRDefault="002166A3">
      <w:pPr>
        <w:pStyle w:val="Normal1"/>
        <w:jc w:val="both"/>
        <w:rPr>
          <w:lang w:val="en-US"/>
        </w:rPr>
      </w:pPr>
      <w:r w:rsidRPr="002166A3">
        <w:rPr>
          <w:rFonts w:ascii="Calibri" w:eastAsia="Calibri" w:hAnsi="Calibri" w:cs="Calibri"/>
          <w:sz w:val="28"/>
          <w:szCs w:val="28"/>
          <w:lang w:val="en-US"/>
        </w:rPr>
        <w:t>It is not just a middle and long-term issue (</w:t>
      </w:r>
      <w:proofErr w:type="spellStart"/>
      <w:r w:rsidRPr="002166A3">
        <w:rPr>
          <w:rFonts w:ascii="Calibri" w:eastAsia="Calibri" w:hAnsi="Calibri" w:cs="Calibri"/>
          <w:sz w:val="28"/>
          <w:szCs w:val="28"/>
          <w:lang w:val="en-US"/>
        </w:rPr>
        <w:t>workstream</w:t>
      </w:r>
      <w:proofErr w:type="spellEnd"/>
      <w:r w:rsidRPr="002166A3">
        <w:rPr>
          <w:rFonts w:ascii="Calibri" w:eastAsia="Calibri" w:hAnsi="Calibri" w:cs="Calibri"/>
          <w:sz w:val="28"/>
          <w:szCs w:val="28"/>
          <w:lang w:val="en-US"/>
        </w:rPr>
        <w:t xml:space="preserve"> 2) but also some immediate actions (WS1) must be taken.</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1"/>
        <w:jc w:val="both"/>
        <w:rPr>
          <w:lang w:val="en-US"/>
        </w:rPr>
      </w:pPr>
      <w:r w:rsidRPr="002166A3">
        <w:rPr>
          <w:rFonts w:ascii="Calibri" w:eastAsia="Calibri" w:hAnsi="Calibri" w:cs="Calibri"/>
          <w:sz w:val="28"/>
          <w:szCs w:val="28"/>
          <w:lang w:val="en-US"/>
        </w:rPr>
        <w:t>Overall, the concern expressed by some is related to the ability of the ICANN community (through the Board/</w:t>
      </w:r>
      <w:proofErr w:type="spellStart"/>
      <w:r w:rsidRPr="002166A3">
        <w:rPr>
          <w:rFonts w:ascii="Calibri" w:eastAsia="Calibri" w:hAnsi="Calibri" w:cs="Calibri"/>
          <w:sz w:val="28"/>
          <w:szCs w:val="28"/>
          <w:lang w:val="en-US"/>
        </w:rPr>
        <w:t>NomCom</w:t>
      </w:r>
      <w:proofErr w:type="spellEnd"/>
      <w:r w:rsidRPr="002166A3">
        <w:rPr>
          <w:rFonts w:ascii="Calibri" w:eastAsia="Calibri" w:hAnsi="Calibri" w:cs="Calibri"/>
          <w:sz w:val="28"/>
          <w:szCs w:val="28"/>
          <w:lang w:val="en-US"/>
        </w:rPr>
        <w:t>/SO/ACs, the review teams or other groups) to represent the diversity of views, origins and interests of the global Internet community.</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1"/>
        <w:jc w:val="both"/>
        <w:rPr>
          <w:lang w:val="en-US"/>
        </w:rPr>
      </w:pPr>
      <w:r w:rsidRPr="002166A3">
        <w:rPr>
          <w:rFonts w:ascii="Calibri" w:eastAsia="Calibri" w:hAnsi="Calibri" w:cs="Calibri"/>
          <w:sz w:val="28"/>
          <w:szCs w:val="28"/>
          <w:lang w:val="en-US"/>
        </w:rPr>
        <w:t>On the other hand some commenters, while acknowledging the importance of diversity in the accountability mechanisms, have expressed their view that diversity requirement should not prevail over skills or experience requirements.</w:t>
      </w:r>
    </w:p>
    <w:p w:rsidR="001127AE" w:rsidRPr="002166A3" w:rsidRDefault="002166A3">
      <w:pPr>
        <w:pStyle w:val="Normal1"/>
        <w:jc w:val="both"/>
        <w:rPr>
          <w:lang w:val="en-US"/>
        </w:rPr>
      </w:pPr>
      <w:r w:rsidRPr="002166A3">
        <w:rPr>
          <w:rFonts w:ascii="Calibri" w:eastAsia="Calibri" w:hAnsi="Calibri" w:cs="Calibri"/>
          <w:sz w:val="28"/>
          <w:szCs w:val="28"/>
          <w:lang w:val="en-US"/>
        </w:rPr>
        <w:lastRenderedPageBreak/>
        <w:t xml:space="preserve"> </w:t>
      </w:r>
    </w:p>
    <w:p w:rsidR="001127AE" w:rsidRPr="002166A3" w:rsidRDefault="002166A3">
      <w:pPr>
        <w:pStyle w:val="Normal1"/>
        <w:jc w:val="both"/>
        <w:rPr>
          <w:lang w:val="en-US"/>
        </w:rPr>
      </w:pPr>
      <w:r w:rsidRPr="002166A3">
        <w:rPr>
          <w:rFonts w:ascii="Calibri" w:eastAsia="Calibri" w:hAnsi="Calibri" w:cs="Calibri"/>
          <w:sz w:val="28"/>
          <w:szCs w:val="28"/>
          <w:lang w:val="en-US"/>
        </w:rPr>
        <w:t>As the community becomes empowered, there’s a concern that the newly created bodies need to include the dimension of diversity:</w:t>
      </w:r>
    </w:p>
    <w:p w:rsidR="001127AE" w:rsidRPr="002166A3" w:rsidRDefault="002166A3">
      <w:pPr>
        <w:pStyle w:val="Normal1"/>
        <w:numPr>
          <w:ilvl w:val="0"/>
          <w:numId w:val="3"/>
        </w:numPr>
        <w:ind w:hanging="360"/>
        <w:contextualSpacing/>
        <w:jc w:val="both"/>
        <w:rPr>
          <w:lang w:val="en-US"/>
        </w:rPr>
      </w:pPr>
      <w:r w:rsidRPr="002166A3">
        <w:rPr>
          <w:rFonts w:ascii="Calibri" w:eastAsia="Calibri" w:hAnsi="Calibri" w:cs="Calibri"/>
          <w:sz w:val="28"/>
          <w:szCs w:val="28"/>
          <w:lang w:val="en-US"/>
        </w:rPr>
        <w:t>IRP</w:t>
      </w:r>
    </w:p>
    <w:p w:rsidR="001127AE" w:rsidRPr="002166A3" w:rsidRDefault="002166A3">
      <w:pPr>
        <w:pStyle w:val="Normal1"/>
        <w:ind w:left="720"/>
        <w:rPr>
          <w:lang w:val="en-US"/>
        </w:rPr>
      </w:pPr>
      <w:r w:rsidRPr="002166A3">
        <w:rPr>
          <w:rFonts w:ascii="Calibri" w:eastAsia="Calibri" w:hAnsi="Calibri" w:cs="Calibri"/>
          <w:sz w:val="28"/>
          <w:szCs w:val="28"/>
          <w:lang w:val="en-US"/>
        </w:rPr>
        <w:t>“Brazil considers that geographic, cultural and gender diversity is a key element and should be a mandatory criterion in the selection of IRP panelists.”</w:t>
      </w:r>
    </w:p>
    <w:p w:rsidR="001127AE" w:rsidRPr="002166A3" w:rsidRDefault="002166A3">
      <w:pPr>
        <w:pStyle w:val="Normal1"/>
        <w:numPr>
          <w:ilvl w:val="0"/>
          <w:numId w:val="5"/>
        </w:numPr>
        <w:ind w:hanging="360"/>
        <w:contextualSpacing/>
        <w:rPr>
          <w:rFonts w:ascii="Calibri" w:eastAsia="Calibri" w:hAnsi="Calibri" w:cs="Calibri"/>
          <w:sz w:val="28"/>
          <w:szCs w:val="28"/>
          <w:lang w:val="en-US"/>
        </w:rPr>
      </w:pPr>
      <w:r w:rsidRPr="002166A3">
        <w:rPr>
          <w:rFonts w:ascii="Calibri" w:eastAsia="Calibri" w:hAnsi="Calibri" w:cs="Calibri"/>
          <w:sz w:val="28"/>
          <w:szCs w:val="28"/>
          <w:lang w:val="en-US"/>
        </w:rPr>
        <w:t>Other (including in the « Community empowerment mechanism »</w:t>
      </w:r>
    </w:p>
    <w:p w:rsidR="001127AE" w:rsidRPr="002166A3" w:rsidRDefault="002166A3">
      <w:pPr>
        <w:pStyle w:val="Normal1"/>
        <w:ind w:left="720"/>
        <w:rPr>
          <w:lang w:val="en-US"/>
        </w:rPr>
      </w:pPr>
      <w:r w:rsidRPr="002166A3">
        <w:rPr>
          <w:rFonts w:ascii="Calibri" w:eastAsia="Calibri" w:hAnsi="Calibri" w:cs="Calibri"/>
          <w:sz w:val="28"/>
          <w:szCs w:val="28"/>
          <w:lang w:val="en-US"/>
        </w:rPr>
        <w:t>““Improve diversity in all its aspects at all levels of the organization” could already be better reflected in WS1 proposal”.</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1"/>
        <w:jc w:val="both"/>
        <w:rPr>
          <w:lang w:val="en-US"/>
        </w:rPr>
      </w:pPr>
      <w:r w:rsidRPr="002166A3">
        <w:rPr>
          <w:rFonts w:ascii="Calibri" w:eastAsia="Calibri" w:hAnsi="Calibri" w:cs="Calibri"/>
          <w:sz w:val="28"/>
          <w:szCs w:val="28"/>
          <w:lang w:val="en-US"/>
        </w:rPr>
        <w:t>A multidimensi</w:t>
      </w:r>
      <w:r>
        <w:rPr>
          <w:rFonts w:ascii="Calibri" w:eastAsia="Calibri" w:hAnsi="Calibri" w:cs="Calibri"/>
          <w:sz w:val="28"/>
          <w:szCs w:val="28"/>
          <w:lang w:val="en-US"/>
        </w:rPr>
        <w:t>onal approach will be useful to</w:t>
      </w:r>
      <w:r w:rsidRPr="002166A3">
        <w:rPr>
          <w:rFonts w:ascii="Calibri" w:eastAsia="Calibri" w:hAnsi="Calibri" w:cs="Calibri"/>
          <w:sz w:val="28"/>
          <w:szCs w:val="28"/>
          <w:lang w:val="en-US"/>
        </w:rPr>
        <w:t xml:space="preserve"> be taken </w:t>
      </w:r>
      <w:r>
        <w:rPr>
          <w:rFonts w:ascii="Calibri" w:eastAsia="Calibri" w:hAnsi="Calibri" w:cs="Calibri"/>
          <w:sz w:val="28"/>
          <w:szCs w:val="28"/>
          <w:lang w:val="en-US"/>
        </w:rPr>
        <w:t xml:space="preserve">into account </w:t>
      </w:r>
      <w:r w:rsidRPr="002166A3">
        <w:rPr>
          <w:rFonts w:ascii="Calibri" w:eastAsia="Calibri" w:hAnsi="Calibri" w:cs="Calibri"/>
          <w:sz w:val="28"/>
          <w:szCs w:val="28"/>
          <w:lang w:val="en-US"/>
        </w:rPr>
        <w:t>regarding diversity.</w:t>
      </w:r>
      <w:r w:rsidRPr="002166A3">
        <w:rPr>
          <w:rFonts w:ascii="Calibri" w:eastAsia="Calibri" w:hAnsi="Calibri" w:cs="Calibri"/>
          <w:sz w:val="28"/>
          <w:szCs w:val="28"/>
          <w:lang w:val="en-US"/>
        </w:rPr>
        <w:br/>
        <w:t>A, non-exhaustive, unordered</w:t>
      </w:r>
      <w:r w:rsidRPr="002166A3">
        <w:rPr>
          <w:rFonts w:ascii="Calibri" w:eastAsia="Calibri" w:hAnsi="Calibri" w:cs="Calibri"/>
          <w:sz w:val="28"/>
          <w:szCs w:val="28"/>
          <w:vertAlign w:val="superscript"/>
          <w:lang w:val="en-US"/>
        </w:rPr>
        <w:footnoteReference w:id="2"/>
      </w:r>
      <w:r w:rsidRPr="002166A3">
        <w:rPr>
          <w:rFonts w:ascii="Calibri" w:eastAsia="Calibri" w:hAnsi="Calibri" w:cs="Calibri"/>
          <w:sz w:val="28"/>
          <w:szCs w:val="28"/>
          <w:lang w:val="en-US"/>
        </w:rPr>
        <w:t xml:space="preserve"> list of elements, that is under discussion and includes but is not limited to:</w:t>
      </w:r>
    </w:p>
    <w:p w:rsidR="001127AE" w:rsidRPr="002166A3" w:rsidRDefault="002166A3">
      <w:pPr>
        <w:pStyle w:val="Normal1"/>
        <w:numPr>
          <w:ilvl w:val="0"/>
          <w:numId w:val="2"/>
        </w:numPr>
        <w:ind w:hanging="360"/>
        <w:contextualSpacing/>
        <w:jc w:val="both"/>
        <w:rPr>
          <w:lang w:val="en-US"/>
        </w:rPr>
      </w:pPr>
      <w:r w:rsidRPr="002166A3">
        <w:rPr>
          <w:rFonts w:ascii="Calibri" w:eastAsia="Calibri" w:hAnsi="Calibri" w:cs="Calibri"/>
          <w:sz w:val="28"/>
          <w:szCs w:val="28"/>
          <w:lang w:val="en-US"/>
        </w:rPr>
        <w:t>Skill set</w:t>
      </w:r>
    </w:p>
    <w:p w:rsidR="001127AE" w:rsidRPr="002166A3" w:rsidRDefault="002166A3">
      <w:pPr>
        <w:pStyle w:val="Normal1"/>
        <w:numPr>
          <w:ilvl w:val="0"/>
          <w:numId w:val="2"/>
        </w:numPr>
        <w:ind w:hanging="360"/>
        <w:contextualSpacing/>
        <w:jc w:val="both"/>
        <w:rPr>
          <w:lang w:val="en-US"/>
        </w:rPr>
      </w:pPr>
      <w:r w:rsidRPr="002166A3">
        <w:rPr>
          <w:rFonts w:ascii="Calibri" w:eastAsia="Calibri" w:hAnsi="Calibri" w:cs="Calibri"/>
          <w:sz w:val="28"/>
          <w:szCs w:val="28"/>
          <w:lang w:val="en-US"/>
        </w:rPr>
        <w:t>Region</w:t>
      </w:r>
    </w:p>
    <w:p w:rsidR="001127AE" w:rsidRPr="002166A3" w:rsidRDefault="002166A3">
      <w:pPr>
        <w:pStyle w:val="Normal1"/>
        <w:numPr>
          <w:ilvl w:val="0"/>
          <w:numId w:val="2"/>
        </w:numPr>
        <w:ind w:hanging="360"/>
        <w:contextualSpacing/>
        <w:jc w:val="both"/>
        <w:rPr>
          <w:lang w:val="en-US"/>
        </w:rPr>
      </w:pPr>
      <w:r w:rsidRPr="002166A3">
        <w:rPr>
          <w:rFonts w:ascii="Times New Roman" w:eastAsia="Times New Roman" w:hAnsi="Times New Roman" w:cs="Times New Roman"/>
          <w:sz w:val="14"/>
          <w:szCs w:val="14"/>
          <w:lang w:val="en-US"/>
        </w:rPr>
        <w:t xml:space="preserve"> </w:t>
      </w:r>
      <w:r w:rsidRPr="002166A3">
        <w:rPr>
          <w:rFonts w:ascii="Calibri" w:eastAsia="Calibri" w:hAnsi="Calibri" w:cs="Calibri"/>
          <w:sz w:val="28"/>
          <w:szCs w:val="28"/>
          <w:lang w:val="en-US"/>
        </w:rPr>
        <w:t>Origin</w:t>
      </w:r>
    </w:p>
    <w:p w:rsidR="001127AE" w:rsidRPr="002166A3" w:rsidRDefault="002166A3">
      <w:pPr>
        <w:pStyle w:val="Normal1"/>
        <w:numPr>
          <w:ilvl w:val="0"/>
          <w:numId w:val="2"/>
        </w:numPr>
        <w:ind w:hanging="360"/>
        <w:contextualSpacing/>
        <w:jc w:val="both"/>
        <w:rPr>
          <w:lang w:val="en-US"/>
        </w:rPr>
      </w:pPr>
      <w:r w:rsidRPr="002166A3">
        <w:rPr>
          <w:rFonts w:ascii="Calibri" w:eastAsia="Calibri" w:hAnsi="Calibri" w:cs="Calibri"/>
          <w:sz w:val="28"/>
          <w:szCs w:val="28"/>
          <w:lang w:val="en-US"/>
        </w:rPr>
        <w:t>Culture</w:t>
      </w:r>
    </w:p>
    <w:p w:rsidR="001127AE" w:rsidRPr="002166A3" w:rsidRDefault="002166A3">
      <w:pPr>
        <w:pStyle w:val="Normal1"/>
        <w:numPr>
          <w:ilvl w:val="0"/>
          <w:numId w:val="2"/>
        </w:numPr>
        <w:ind w:hanging="360"/>
        <w:contextualSpacing/>
        <w:jc w:val="both"/>
        <w:rPr>
          <w:lang w:val="en-US"/>
        </w:rPr>
      </w:pPr>
      <w:r w:rsidRPr="002166A3">
        <w:rPr>
          <w:rFonts w:ascii="Times New Roman" w:eastAsia="Times New Roman" w:hAnsi="Times New Roman" w:cs="Times New Roman"/>
          <w:sz w:val="14"/>
          <w:szCs w:val="14"/>
          <w:lang w:val="en-US"/>
        </w:rPr>
        <w:t xml:space="preserve"> </w:t>
      </w:r>
      <w:r w:rsidRPr="002166A3">
        <w:rPr>
          <w:rFonts w:ascii="Calibri" w:eastAsia="Calibri" w:hAnsi="Calibri" w:cs="Calibri"/>
          <w:sz w:val="28"/>
          <w:szCs w:val="28"/>
          <w:lang w:val="en-US"/>
        </w:rPr>
        <w:t>Language</w:t>
      </w:r>
    </w:p>
    <w:p w:rsidR="001127AE" w:rsidRPr="002166A3" w:rsidRDefault="002166A3">
      <w:pPr>
        <w:pStyle w:val="Normal1"/>
        <w:numPr>
          <w:ilvl w:val="0"/>
          <w:numId w:val="2"/>
        </w:numPr>
        <w:ind w:hanging="360"/>
        <w:contextualSpacing/>
        <w:jc w:val="both"/>
        <w:rPr>
          <w:lang w:val="en-US"/>
        </w:rPr>
      </w:pPr>
      <w:r w:rsidRPr="002166A3">
        <w:rPr>
          <w:rFonts w:ascii="Calibri" w:eastAsia="Calibri" w:hAnsi="Calibri" w:cs="Calibri"/>
          <w:sz w:val="28"/>
          <w:szCs w:val="28"/>
          <w:lang w:val="en-US"/>
        </w:rPr>
        <w:t>Gender</w:t>
      </w:r>
    </w:p>
    <w:p w:rsidR="001127AE" w:rsidRPr="002166A3" w:rsidRDefault="002166A3">
      <w:pPr>
        <w:pStyle w:val="Normal1"/>
        <w:numPr>
          <w:ilvl w:val="0"/>
          <w:numId w:val="2"/>
        </w:numPr>
        <w:ind w:hanging="360"/>
        <w:contextualSpacing/>
        <w:jc w:val="both"/>
        <w:rPr>
          <w:lang w:val="en-US"/>
        </w:rPr>
      </w:pPr>
      <w:r w:rsidRPr="002166A3">
        <w:rPr>
          <w:rFonts w:ascii="Calibri" w:eastAsia="Calibri" w:hAnsi="Calibri" w:cs="Calibri"/>
          <w:sz w:val="28"/>
          <w:szCs w:val="28"/>
          <w:lang w:val="en-US"/>
        </w:rPr>
        <w:t>Age</w:t>
      </w:r>
    </w:p>
    <w:p w:rsidR="001127AE" w:rsidRPr="002166A3" w:rsidRDefault="002166A3">
      <w:pPr>
        <w:pStyle w:val="Normal1"/>
        <w:numPr>
          <w:ilvl w:val="0"/>
          <w:numId w:val="2"/>
        </w:numPr>
        <w:ind w:hanging="360"/>
        <w:contextualSpacing/>
        <w:jc w:val="both"/>
        <w:rPr>
          <w:lang w:val="en-US"/>
        </w:rPr>
      </w:pPr>
      <w:r w:rsidRPr="002166A3">
        <w:rPr>
          <w:rFonts w:ascii="Calibri" w:eastAsia="Calibri" w:hAnsi="Calibri" w:cs="Calibri"/>
          <w:sz w:val="28"/>
          <w:szCs w:val="28"/>
          <w:lang w:val="en-US"/>
        </w:rPr>
        <w:t>Disability</w:t>
      </w:r>
    </w:p>
    <w:p w:rsidR="001127AE" w:rsidRPr="002166A3" w:rsidRDefault="002166A3">
      <w:pPr>
        <w:pStyle w:val="Normal1"/>
        <w:numPr>
          <w:ilvl w:val="0"/>
          <w:numId w:val="2"/>
        </w:numPr>
        <w:ind w:hanging="360"/>
        <w:contextualSpacing/>
        <w:jc w:val="both"/>
        <w:rPr>
          <w:lang w:val="en-US"/>
        </w:rPr>
      </w:pPr>
      <w:r w:rsidRPr="002166A3">
        <w:rPr>
          <w:rFonts w:ascii="Calibri" w:eastAsia="Calibri" w:hAnsi="Calibri" w:cs="Calibri"/>
          <w:sz w:val="28"/>
          <w:szCs w:val="28"/>
          <w:lang w:val="en-US"/>
        </w:rPr>
        <w:t>Stakeholder group</w:t>
      </w:r>
    </w:p>
    <w:p w:rsidR="001127AE" w:rsidRPr="002166A3" w:rsidRDefault="002166A3">
      <w:pPr>
        <w:pStyle w:val="Normal1"/>
        <w:numPr>
          <w:ilvl w:val="0"/>
          <w:numId w:val="2"/>
        </w:numPr>
        <w:ind w:hanging="360"/>
        <w:contextualSpacing/>
        <w:jc w:val="both"/>
        <w:rPr>
          <w:lang w:val="en-US"/>
        </w:rPr>
      </w:pPr>
      <w:r w:rsidRPr="002166A3">
        <w:rPr>
          <w:rFonts w:ascii="Times New Roman" w:eastAsia="Times New Roman" w:hAnsi="Times New Roman" w:cs="Times New Roman"/>
          <w:sz w:val="14"/>
          <w:szCs w:val="14"/>
          <w:lang w:val="en-US"/>
        </w:rPr>
        <w:t xml:space="preserve"> </w:t>
      </w:r>
      <w:r w:rsidRPr="002166A3">
        <w:rPr>
          <w:rFonts w:ascii="Calibri" w:eastAsia="Calibri" w:hAnsi="Calibri" w:cs="Calibri"/>
          <w:sz w:val="28"/>
          <w:szCs w:val="28"/>
          <w:lang w:val="en-US"/>
        </w:rPr>
        <w:t>...</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1127AE">
      <w:pPr>
        <w:pStyle w:val="Normal1"/>
        <w:jc w:val="both"/>
        <w:rPr>
          <w:lang w:val="en-US"/>
        </w:rPr>
      </w:pPr>
    </w:p>
    <w:p w:rsidR="001127AE" w:rsidRPr="002166A3" w:rsidRDefault="002166A3">
      <w:pPr>
        <w:pStyle w:val="Normal1"/>
        <w:jc w:val="both"/>
        <w:rPr>
          <w:lang w:val="en-US"/>
        </w:rPr>
      </w:pPr>
      <w:r w:rsidRPr="002166A3">
        <w:rPr>
          <w:rFonts w:ascii="Calibri" w:eastAsia="Calibri" w:hAnsi="Calibri" w:cs="Calibri"/>
          <w:sz w:val="28"/>
          <w:szCs w:val="28"/>
          <w:lang w:val="en-US"/>
        </w:rPr>
        <w:t>In the comment to include a continuous improvement path regarding diversity within ICANN, we can underline the following regarding WS1:</w:t>
      </w:r>
    </w:p>
    <w:p w:rsidR="001127AE" w:rsidRPr="002166A3" w:rsidRDefault="002166A3">
      <w:pPr>
        <w:pStyle w:val="Normal1"/>
        <w:numPr>
          <w:ilvl w:val="0"/>
          <w:numId w:val="4"/>
        </w:numPr>
        <w:ind w:hanging="360"/>
        <w:contextualSpacing/>
        <w:rPr>
          <w:lang w:val="en-US"/>
        </w:rPr>
      </w:pPr>
      <w:r w:rsidRPr="002166A3">
        <w:rPr>
          <w:rFonts w:ascii="Calibri" w:eastAsia="Calibri" w:hAnsi="Calibri" w:cs="Calibri"/>
          <w:sz w:val="28"/>
          <w:szCs w:val="28"/>
          <w:lang w:val="en-US"/>
        </w:rPr>
        <w:lastRenderedPageBreak/>
        <w:t>Make explicit commitments regarding diversity in the proposed new accountability bodies.</w:t>
      </w:r>
    </w:p>
    <w:p w:rsidR="001127AE" w:rsidRPr="002166A3" w:rsidRDefault="002166A3">
      <w:pPr>
        <w:pStyle w:val="Normal1"/>
        <w:numPr>
          <w:ilvl w:val="0"/>
          <w:numId w:val="4"/>
        </w:numPr>
        <w:ind w:hanging="360"/>
        <w:contextualSpacing/>
        <w:rPr>
          <w:lang w:val="en-US"/>
        </w:rPr>
      </w:pPr>
      <w:r w:rsidRPr="002166A3">
        <w:rPr>
          <w:rFonts w:ascii="Calibri" w:eastAsia="Calibri" w:hAnsi="Calibri" w:cs="Calibri"/>
          <w:sz w:val="28"/>
          <w:szCs w:val="28"/>
          <w:lang w:val="en-US"/>
        </w:rPr>
        <w:t xml:space="preserve">Expand ATRT reviews into </w:t>
      </w:r>
      <w:r w:rsidRPr="002166A3">
        <w:rPr>
          <w:rFonts w:ascii="Calibri" w:eastAsia="Calibri" w:hAnsi="Calibri" w:cs="Calibri"/>
          <w:b/>
          <w:sz w:val="28"/>
          <w:szCs w:val="28"/>
          <w:lang w:val="en-US"/>
        </w:rPr>
        <w:t xml:space="preserve">Accountability, Transparency and Diversity Reviews. </w:t>
      </w:r>
      <w:r w:rsidRPr="002166A3">
        <w:rPr>
          <w:rFonts w:ascii="Calibri" w:eastAsia="Calibri" w:hAnsi="Calibri" w:cs="Calibri"/>
          <w:sz w:val="28"/>
          <w:szCs w:val="28"/>
          <w:lang w:val="en-US"/>
        </w:rPr>
        <w:t>The review team would be tasked to assess and make recommendations regarding diversity across all ICANN bodies.</w:t>
      </w:r>
    </w:p>
    <w:p w:rsidR="001127AE" w:rsidRPr="002166A3" w:rsidRDefault="002166A3">
      <w:pPr>
        <w:pStyle w:val="Normal1"/>
        <w:numPr>
          <w:ilvl w:val="0"/>
          <w:numId w:val="4"/>
        </w:numPr>
        <w:ind w:hanging="360"/>
        <w:contextualSpacing/>
        <w:rPr>
          <w:lang w:val="en-US"/>
        </w:rPr>
      </w:pPr>
      <w:r w:rsidRPr="002166A3">
        <w:rPr>
          <w:rFonts w:ascii="Calibri" w:eastAsia="Calibri" w:hAnsi="Calibri" w:cs="Calibri"/>
          <w:sz w:val="28"/>
          <w:szCs w:val="28"/>
          <w:lang w:val="en-US"/>
        </w:rPr>
        <w:t>Establish threshold regarding composition of each body (will depend of the body and of the overall composition) to avoid possible blocking on certain votes.</w:t>
      </w:r>
    </w:p>
    <w:p w:rsidR="001127AE" w:rsidRPr="002166A3" w:rsidRDefault="002166A3">
      <w:pPr>
        <w:pStyle w:val="Normal1"/>
        <w:numPr>
          <w:ilvl w:val="0"/>
          <w:numId w:val="4"/>
        </w:numPr>
        <w:ind w:hanging="360"/>
        <w:contextualSpacing/>
        <w:rPr>
          <w:lang w:val="en-US"/>
        </w:rPr>
      </w:pPr>
      <w:r w:rsidRPr="002166A3">
        <w:rPr>
          <w:rFonts w:ascii="Calibri" w:eastAsia="Calibri" w:hAnsi="Calibri" w:cs="Calibri"/>
          <w:sz w:val="28"/>
          <w:szCs w:val="28"/>
          <w:lang w:val="en-US"/>
        </w:rPr>
        <w:t xml:space="preserve">Transform the Structural Reviews into </w:t>
      </w:r>
      <w:r w:rsidRPr="002166A3">
        <w:rPr>
          <w:rFonts w:ascii="Calibri" w:eastAsia="Calibri" w:hAnsi="Calibri" w:cs="Calibri"/>
          <w:b/>
          <w:sz w:val="28"/>
          <w:szCs w:val="28"/>
          <w:lang w:val="en-US"/>
        </w:rPr>
        <w:t>Structural Accountability, Transparency and diversity Reviews of SO/ACs</w:t>
      </w:r>
      <w:r w:rsidRPr="002166A3">
        <w:rPr>
          <w:rFonts w:ascii="Calibri" w:eastAsia="Calibri" w:hAnsi="Calibri" w:cs="Calibri"/>
          <w:sz w:val="28"/>
          <w:szCs w:val="28"/>
          <w:lang w:val="en-US"/>
        </w:rPr>
        <w:t>, under the Board's supervision.</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1"/>
        <w:jc w:val="both"/>
        <w:rPr>
          <w:lang w:val="en-US"/>
        </w:rPr>
      </w:pPr>
      <w:r w:rsidRPr="002166A3">
        <w:rPr>
          <w:rFonts w:ascii="Calibri" w:eastAsia="Calibri" w:hAnsi="Calibri" w:cs="Calibri"/>
          <w:sz w:val="28"/>
          <w:szCs w:val="28"/>
          <w:lang w:val="en-US"/>
        </w:rPr>
        <w:t>In the comments, we can underline the following proposals regarding WS2:</w:t>
      </w:r>
    </w:p>
    <w:p w:rsidR="001127AE" w:rsidRPr="002166A3" w:rsidRDefault="002166A3">
      <w:pPr>
        <w:pStyle w:val="Normal1"/>
        <w:numPr>
          <w:ilvl w:val="0"/>
          <w:numId w:val="1"/>
        </w:numPr>
        <w:ind w:hanging="360"/>
        <w:contextualSpacing/>
        <w:jc w:val="both"/>
        <w:rPr>
          <w:lang w:val="en-US"/>
        </w:rPr>
      </w:pPr>
      <w:r w:rsidRPr="002166A3">
        <w:rPr>
          <w:rFonts w:ascii="Calibri" w:eastAsia="Calibri" w:hAnsi="Calibri" w:cs="Calibri"/>
          <w:sz w:val="28"/>
          <w:szCs w:val="28"/>
          <w:lang w:val="en-US"/>
        </w:rPr>
        <w:t xml:space="preserve">Set-up a </w:t>
      </w:r>
      <w:r w:rsidRPr="002166A3">
        <w:rPr>
          <w:rFonts w:ascii="Calibri" w:eastAsia="Calibri" w:hAnsi="Calibri" w:cs="Calibri"/>
          <w:b/>
          <w:sz w:val="28"/>
          <w:szCs w:val="28"/>
          <w:lang w:val="en-US"/>
        </w:rPr>
        <w:t>Diversity Office</w:t>
      </w:r>
    </w:p>
    <w:p w:rsidR="001127AE" w:rsidRPr="002166A3" w:rsidRDefault="002166A3">
      <w:pPr>
        <w:pStyle w:val="Normal1"/>
        <w:numPr>
          <w:ilvl w:val="0"/>
          <w:numId w:val="1"/>
        </w:numPr>
        <w:ind w:hanging="360"/>
        <w:contextualSpacing/>
        <w:jc w:val="both"/>
        <w:rPr>
          <w:lang w:val="en-US"/>
        </w:rPr>
      </w:pPr>
      <w:r w:rsidRPr="002166A3">
        <w:rPr>
          <w:rFonts w:ascii="Calibri" w:eastAsia="Calibri" w:hAnsi="Calibri" w:cs="Calibri"/>
          <w:sz w:val="28"/>
          <w:szCs w:val="28"/>
          <w:lang w:val="en-US"/>
        </w:rPr>
        <w:t xml:space="preserve">Set-up an </w:t>
      </w:r>
      <w:r w:rsidRPr="002166A3">
        <w:rPr>
          <w:rFonts w:ascii="Calibri" w:eastAsia="Calibri" w:hAnsi="Calibri" w:cs="Calibri"/>
          <w:b/>
          <w:sz w:val="28"/>
          <w:szCs w:val="28"/>
          <w:lang w:val="en-US"/>
        </w:rPr>
        <w:t>Election Office</w:t>
      </w:r>
    </w:p>
    <w:p w:rsidR="001127AE" w:rsidRPr="002166A3" w:rsidRDefault="002166A3">
      <w:pPr>
        <w:pStyle w:val="Normal1"/>
        <w:numPr>
          <w:ilvl w:val="1"/>
          <w:numId w:val="1"/>
        </w:numPr>
        <w:ind w:hanging="360"/>
        <w:contextualSpacing/>
        <w:jc w:val="both"/>
        <w:rPr>
          <w:lang w:val="en-US"/>
        </w:rPr>
      </w:pPr>
      <w:r w:rsidRPr="002166A3">
        <w:rPr>
          <w:rFonts w:ascii="Courier New" w:eastAsia="Courier New" w:hAnsi="Courier New" w:cs="Courier New"/>
          <w:sz w:val="28"/>
          <w:szCs w:val="28"/>
          <w:lang w:val="en-US"/>
        </w:rPr>
        <w:t>o</w:t>
      </w:r>
      <w:r w:rsidRPr="002166A3">
        <w:rPr>
          <w:rFonts w:ascii="Times New Roman" w:eastAsia="Times New Roman" w:hAnsi="Times New Roman" w:cs="Times New Roman"/>
          <w:sz w:val="14"/>
          <w:szCs w:val="14"/>
          <w:lang w:val="en-US"/>
        </w:rPr>
        <w:t xml:space="preserve">   </w:t>
      </w:r>
      <w:r w:rsidRPr="002166A3">
        <w:rPr>
          <w:rFonts w:ascii="Calibri" w:eastAsia="Calibri" w:hAnsi="Calibri" w:cs="Calibri"/>
          <w:sz w:val="28"/>
          <w:szCs w:val="28"/>
          <w:lang w:val="en-US"/>
        </w:rPr>
        <w:t>Those two offices can be merged and can be included or not in the Office of the ICANN Ombudsman</w:t>
      </w:r>
    </w:p>
    <w:p w:rsidR="001127AE" w:rsidRPr="002166A3" w:rsidRDefault="002166A3">
      <w:pPr>
        <w:pStyle w:val="Normal1"/>
        <w:numPr>
          <w:ilvl w:val="0"/>
          <w:numId w:val="1"/>
        </w:numPr>
        <w:ind w:hanging="360"/>
        <w:contextualSpacing/>
        <w:jc w:val="both"/>
        <w:rPr>
          <w:lang w:val="en-US"/>
        </w:rPr>
      </w:pPr>
      <w:r w:rsidRPr="002166A3">
        <w:rPr>
          <w:rFonts w:ascii="Calibri" w:eastAsia="Calibri" w:hAnsi="Calibri" w:cs="Calibri"/>
          <w:sz w:val="28"/>
          <w:szCs w:val="28"/>
          <w:lang w:val="en-US"/>
        </w:rPr>
        <w:t>Include regional (if not other) diversity among the main ICANN leadership position and in each groups.</w:t>
      </w:r>
    </w:p>
    <w:p w:rsidR="001127AE" w:rsidRPr="002166A3" w:rsidRDefault="002166A3">
      <w:pPr>
        <w:pStyle w:val="Normal1"/>
        <w:numPr>
          <w:ilvl w:val="0"/>
          <w:numId w:val="1"/>
        </w:numPr>
        <w:ind w:hanging="360"/>
        <w:contextualSpacing/>
        <w:jc w:val="both"/>
        <w:rPr>
          <w:lang w:val="en-US"/>
        </w:rPr>
      </w:pPr>
      <w:r w:rsidRPr="002166A3">
        <w:rPr>
          <w:rFonts w:ascii="Calibri" w:eastAsia="Calibri" w:hAnsi="Calibri" w:cs="Calibri"/>
          <w:sz w:val="28"/>
          <w:szCs w:val="28"/>
          <w:lang w:val="en-US"/>
        </w:rPr>
        <w:t>Rotation of the ICANN meetings in all the ICANN regions.</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1"/>
        <w:jc w:val="both"/>
        <w:rPr>
          <w:lang w:val="en-US"/>
        </w:rPr>
      </w:pPr>
      <w:r w:rsidRPr="002166A3">
        <w:rPr>
          <w:rFonts w:ascii="Calibri" w:eastAsia="Calibri" w:hAnsi="Calibri" w:cs="Calibri"/>
          <w:sz w:val="28"/>
          <w:szCs w:val="28"/>
          <w:lang w:val="en-US"/>
        </w:rPr>
        <w:t>Some have linked the Diversity issue(s) with the following items:</w:t>
      </w:r>
    </w:p>
    <w:p w:rsidR="001127AE" w:rsidRPr="002166A3" w:rsidRDefault="002166A3">
      <w:pPr>
        <w:pStyle w:val="Normal1"/>
        <w:numPr>
          <w:ilvl w:val="0"/>
          <w:numId w:val="1"/>
        </w:numPr>
        <w:ind w:hanging="360"/>
        <w:contextualSpacing/>
        <w:jc w:val="both"/>
        <w:rPr>
          <w:lang w:val="en-US"/>
        </w:rPr>
      </w:pPr>
      <w:r w:rsidRPr="002166A3">
        <w:rPr>
          <w:rFonts w:ascii="Calibri" w:eastAsia="Calibri" w:hAnsi="Calibri" w:cs="Calibri"/>
          <w:sz w:val="28"/>
          <w:szCs w:val="28"/>
          <w:lang w:val="en-US"/>
        </w:rPr>
        <w:t>Limit the number and the length of office/mandate</w:t>
      </w:r>
    </w:p>
    <w:p w:rsidR="001127AE" w:rsidRPr="002166A3" w:rsidRDefault="002166A3">
      <w:pPr>
        <w:pStyle w:val="Normal1"/>
        <w:numPr>
          <w:ilvl w:val="0"/>
          <w:numId w:val="1"/>
        </w:numPr>
        <w:ind w:hanging="360"/>
        <w:contextualSpacing/>
        <w:jc w:val="both"/>
        <w:rPr>
          <w:lang w:val="en-US"/>
        </w:rPr>
      </w:pPr>
      <w:r w:rsidRPr="002166A3">
        <w:rPr>
          <w:rFonts w:ascii="Calibri" w:eastAsia="Calibri" w:hAnsi="Calibri" w:cs="Calibri"/>
          <w:sz w:val="28"/>
          <w:szCs w:val="28"/>
          <w:lang w:val="en-US"/>
        </w:rPr>
        <w:t>Election</w:t>
      </w:r>
    </w:p>
    <w:p w:rsidR="001127AE" w:rsidRPr="002166A3" w:rsidRDefault="002166A3">
      <w:pPr>
        <w:pStyle w:val="Normal1"/>
        <w:numPr>
          <w:ilvl w:val="0"/>
          <w:numId w:val="1"/>
        </w:numPr>
        <w:ind w:hanging="360"/>
        <w:contextualSpacing/>
        <w:jc w:val="both"/>
        <w:rPr>
          <w:lang w:val="en-US"/>
        </w:rPr>
      </w:pPr>
      <w:r w:rsidRPr="002166A3">
        <w:rPr>
          <w:rFonts w:ascii="Calibri" w:eastAsia="Calibri" w:hAnsi="Calibri" w:cs="Calibri"/>
          <w:sz w:val="28"/>
          <w:szCs w:val="28"/>
          <w:lang w:val="en-US"/>
        </w:rPr>
        <w:t>Conflict of interest</w:t>
      </w:r>
    </w:p>
    <w:p w:rsidR="001127AE" w:rsidRPr="002166A3" w:rsidRDefault="002166A3">
      <w:pPr>
        <w:pStyle w:val="Normal1"/>
        <w:numPr>
          <w:ilvl w:val="0"/>
          <w:numId w:val="1"/>
        </w:numPr>
        <w:ind w:hanging="360"/>
        <w:contextualSpacing/>
        <w:jc w:val="both"/>
        <w:rPr>
          <w:lang w:val="en-US"/>
        </w:rPr>
      </w:pPr>
      <w:r w:rsidRPr="002166A3">
        <w:rPr>
          <w:rFonts w:ascii="Calibri" w:eastAsia="Calibri" w:hAnsi="Calibri" w:cs="Calibri"/>
          <w:sz w:val="28"/>
          <w:szCs w:val="28"/>
          <w:lang w:val="en-US"/>
        </w:rPr>
        <w:t>Translation</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1127AE">
      <w:pPr>
        <w:pStyle w:val="Normal1"/>
        <w:jc w:val="both"/>
        <w:rPr>
          <w:lang w:val="en-US"/>
        </w:rPr>
      </w:pPr>
    </w:p>
    <w:p w:rsidR="001127AE" w:rsidRPr="002166A3" w:rsidRDefault="002166A3">
      <w:pPr>
        <w:pStyle w:val="Ttulo1"/>
        <w:keepNext w:val="0"/>
        <w:keepLines w:val="0"/>
        <w:spacing w:before="480" w:after="120"/>
        <w:contextualSpacing w:val="0"/>
        <w:rPr>
          <w:lang w:val="en-US"/>
        </w:rPr>
      </w:pPr>
      <w:bookmarkStart w:id="2" w:name="h.gcn4ev1j8kb0" w:colFirst="0" w:colLast="0"/>
      <w:bookmarkEnd w:id="2"/>
      <w:r w:rsidRPr="002166A3">
        <w:rPr>
          <w:rFonts w:ascii="Arial" w:eastAsia="Arial" w:hAnsi="Arial" w:cs="Arial"/>
          <w:b/>
          <w:sz w:val="36"/>
          <w:szCs w:val="36"/>
          <w:lang w:val="en-US"/>
        </w:rPr>
        <w:t>First study steps (identifying – reviewing – next steps)</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1"/>
        <w:jc w:val="both"/>
        <w:rPr>
          <w:lang w:val="en-US"/>
        </w:rPr>
      </w:pPr>
      <w:r w:rsidRPr="002166A3">
        <w:rPr>
          <w:rFonts w:ascii="Calibri" w:eastAsia="Calibri" w:hAnsi="Calibri" w:cs="Calibri"/>
          <w:sz w:val="28"/>
          <w:szCs w:val="28"/>
          <w:lang w:val="en-US"/>
        </w:rPr>
        <w:lastRenderedPageBreak/>
        <w:t xml:space="preserve">As a result of this work, </w:t>
      </w:r>
      <w:r w:rsidR="00E74D6D">
        <w:rPr>
          <w:rFonts w:ascii="Calibri" w:eastAsia="Calibri" w:hAnsi="Calibri" w:cs="Calibri"/>
          <w:sz w:val="28"/>
          <w:szCs w:val="28"/>
          <w:lang w:val="en-US"/>
        </w:rPr>
        <w:t xml:space="preserve">the CCWG-Accountability </w:t>
      </w:r>
      <w:r w:rsidRPr="002166A3">
        <w:rPr>
          <w:rFonts w:ascii="Calibri" w:eastAsia="Calibri" w:hAnsi="Calibri" w:cs="Calibri"/>
          <w:sz w:val="28"/>
          <w:szCs w:val="28"/>
          <w:lang w:val="en-US"/>
        </w:rPr>
        <w:t>divided its work into the following steps:</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1"/>
        <w:ind w:hanging="360"/>
        <w:jc w:val="both"/>
        <w:rPr>
          <w:lang w:val="en-US"/>
        </w:rPr>
      </w:pPr>
      <w:r w:rsidRPr="002166A3">
        <w:rPr>
          <w:rFonts w:ascii="Calibri" w:eastAsia="Calibri" w:hAnsi="Calibri" w:cs="Calibri"/>
          <w:sz w:val="28"/>
          <w:szCs w:val="28"/>
          <w:lang w:val="en-US"/>
        </w:rPr>
        <w:t>1.</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Identify the existing mechanisms in place for Board/Staff/NC/SO/AC/SHG… regarding diversity.</w:t>
      </w:r>
    </w:p>
    <w:p w:rsidR="001127AE" w:rsidRPr="002166A3" w:rsidRDefault="002166A3">
      <w:pPr>
        <w:pStyle w:val="Normal1"/>
        <w:ind w:hanging="360"/>
        <w:jc w:val="both"/>
        <w:rPr>
          <w:lang w:val="en-US"/>
        </w:rPr>
      </w:pPr>
      <w:r w:rsidRPr="002166A3">
        <w:rPr>
          <w:rFonts w:ascii="Calibri" w:eastAsia="Calibri" w:hAnsi="Calibri" w:cs="Calibri"/>
          <w:sz w:val="28"/>
          <w:szCs w:val="28"/>
          <w:lang w:val="en-US"/>
        </w:rPr>
        <w:t>2.</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Review existing mechanisms in order to assess if they address the concerns expressed by the community during the first public comment period.</w:t>
      </w:r>
    </w:p>
    <w:p w:rsidR="001127AE" w:rsidRPr="002166A3" w:rsidRDefault="002166A3">
      <w:pPr>
        <w:pStyle w:val="Normal1"/>
        <w:ind w:hanging="360"/>
        <w:jc w:val="both"/>
        <w:rPr>
          <w:lang w:val="en-US"/>
        </w:rPr>
      </w:pPr>
      <w:r w:rsidRPr="002166A3">
        <w:rPr>
          <w:rFonts w:ascii="Calibri" w:eastAsia="Calibri" w:hAnsi="Calibri" w:cs="Calibri"/>
          <w:sz w:val="28"/>
          <w:szCs w:val="28"/>
          <w:lang w:val="en-US"/>
        </w:rPr>
        <w:t>3.</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Build a list of activities that should be taken in both WS1 and WS2.</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1"/>
        <w:jc w:val="both"/>
        <w:rPr>
          <w:lang w:val="en-US"/>
        </w:rPr>
      </w:pPr>
      <w:r w:rsidRPr="002166A3">
        <w:rPr>
          <w:rFonts w:ascii="Calibri" w:eastAsia="Calibri" w:hAnsi="Calibri" w:cs="Calibri"/>
          <w:sz w:val="28"/>
          <w:szCs w:val="28"/>
          <w:lang w:val="en-US"/>
        </w:rPr>
        <w:t>The documents to be reviewed are:</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1"/>
        <w:ind w:hanging="360"/>
        <w:jc w:val="both"/>
        <w:rPr>
          <w:lang w:val="en-US"/>
        </w:rPr>
      </w:pPr>
      <w:r w:rsidRPr="002166A3">
        <w:rPr>
          <w:rFonts w:ascii="Calibri" w:eastAsia="Calibri" w:hAnsi="Calibri" w:cs="Calibri"/>
          <w:sz w:val="28"/>
          <w:szCs w:val="28"/>
          <w:lang w:val="en-US"/>
        </w:rPr>
        <w:t>1.</w:t>
      </w:r>
      <w:r w:rsidRPr="002166A3">
        <w:rPr>
          <w:rFonts w:ascii="Times New Roman" w:eastAsia="Times New Roman" w:hAnsi="Times New Roman" w:cs="Times New Roman"/>
          <w:sz w:val="14"/>
          <w:szCs w:val="14"/>
          <w:lang w:val="en-US"/>
        </w:rPr>
        <w:tab/>
      </w:r>
      <w:hyperlink r:id="rId9">
        <w:r w:rsidRPr="002166A3">
          <w:rPr>
            <w:color w:val="1155CC"/>
            <w:sz w:val="28"/>
            <w:szCs w:val="28"/>
            <w:u w:val="single"/>
            <w:lang w:val="en-US"/>
          </w:rPr>
          <w:t>ICANN bylaws</w:t>
        </w:r>
      </w:hyperlink>
    </w:p>
    <w:p w:rsidR="001127AE" w:rsidRPr="002166A3" w:rsidRDefault="002166A3">
      <w:pPr>
        <w:pStyle w:val="Normal1"/>
        <w:ind w:hanging="360"/>
        <w:jc w:val="both"/>
        <w:rPr>
          <w:lang w:val="en-US"/>
        </w:rPr>
      </w:pPr>
      <w:r w:rsidRPr="002166A3">
        <w:rPr>
          <w:rFonts w:ascii="Calibri" w:eastAsia="Calibri" w:hAnsi="Calibri" w:cs="Calibri"/>
          <w:sz w:val="28"/>
          <w:szCs w:val="28"/>
          <w:lang w:val="en-US"/>
        </w:rPr>
        <w:t>2.</w:t>
      </w:r>
      <w:r w:rsidRPr="002166A3">
        <w:rPr>
          <w:rFonts w:ascii="Times New Roman" w:eastAsia="Times New Roman" w:hAnsi="Times New Roman" w:cs="Times New Roman"/>
          <w:sz w:val="14"/>
          <w:szCs w:val="14"/>
          <w:lang w:val="en-US"/>
        </w:rPr>
        <w:tab/>
      </w:r>
      <w:hyperlink r:id="rId10">
        <w:r w:rsidRPr="002166A3">
          <w:rPr>
            <w:color w:val="1155CC"/>
            <w:sz w:val="28"/>
            <w:szCs w:val="28"/>
            <w:u w:val="single"/>
            <w:lang w:val="en-US"/>
          </w:rPr>
          <w:t>The Affirmation of Commitments</w:t>
        </w:r>
      </w:hyperlink>
    </w:p>
    <w:p w:rsidR="001127AE" w:rsidRPr="002166A3" w:rsidRDefault="002166A3">
      <w:pPr>
        <w:pStyle w:val="Normal1"/>
        <w:ind w:hanging="360"/>
        <w:jc w:val="both"/>
        <w:rPr>
          <w:lang w:val="en-US"/>
        </w:rPr>
      </w:pPr>
      <w:r w:rsidRPr="002166A3">
        <w:rPr>
          <w:sz w:val="28"/>
          <w:szCs w:val="28"/>
          <w:lang w:val="en-US"/>
        </w:rPr>
        <w:t>3.</w:t>
      </w:r>
      <w:r w:rsidRPr="002166A3">
        <w:rPr>
          <w:rFonts w:ascii="Times New Roman" w:eastAsia="Times New Roman" w:hAnsi="Times New Roman" w:cs="Times New Roman"/>
          <w:sz w:val="14"/>
          <w:szCs w:val="14"/>
          <w:lang w:val="en-US"/>
        </w:rPr>
        <w:tab/>
      </w:r>
      <w:hyperlink r:id="rId11">
        <w:r w:rsidRPr="002166A3">
          <w:rPr>
            <w:color w:val="1155CC"/>
            <w:sz w:val="28"/>
            <w:szCs w:val="28"/>
            <w:u w:val="single"/>
            <w:lang w:val="en-US"/>
          </w:rPr>
          <w:t>ATRT 1 recommendations</w:t>
        </w:r>
      </w:hyperlink>
      <w:r w:rsidRPr="002166A3">
        <w:rPr>
          <w:rFonts w:ascii="Calibri" w:eastAsia="Calibri" w:hAnsi="Calibri" w:cs="Calibri"/>
          <w:sz w:val="28"/>
          <w:szCs w:val="28"/>
          <w:lang w:val="en-US"/>
        </w:rPr>
        <w:t xml:space="preserve"> and</w:t>
      </w:r>
      <w:hyperlink r:id="rId12">
        <w:r w:rsidRPr="002166A3">
          <w:rPr>
            <w:rFonts w:ascii="Calibri" w:eastAsia="Calibri" w:hAnsi="Calibri" w:cs="Calibri"/>
            <w:sz w:val="28"/>
            <w:szCs w:val="28"/>
            <w:lang w:val="en-US"/>
          </w:rPr>
          <w:t xml:space="preserve"> </w:t>
        </w:r>
      </w:hyperlink>
      <w:hyperlink r:id="rId13">
        <w:r w:rsidRPr="002166A3">
          <w:rPr>
            <w:color w:val="1155CC"/>
            <w:sz w:val="28"/>
            <w:szCs w:val="28"/>
            <w:u w:val="single"/>
            <w:lang w:val="en-US"/>
          </w:rPr>
          <w:t>ATRT 2 recommendations</w:t>
        </w:r>
      </w:hyperlink>
    </w:p>
    <w:p w:rsidR="001127AE" w:rsidRPr="002166A3" w:rsidRDefault="002166A3">
      <w:pPr>
        <w:pStyle w:val="Normal1"/>
        <w:ind w:hanging="360"/>
        <w:jc w:val="both"/>
        <w:rPr>
          <w:lang w:val="en-US"/>
        </w:rPr>
      </w:pPr>
      <w:r w:rsidRPr="002166A3">
        <w:rPr>
          <w:rFonts w:ascii="Calibri" w:eastAsia="Calibri" w:hAnsi="Calibri" w:cs="Calibri"/>
          <w:sz w:val="28"/>
          <w:szCs w:val="28"/>
          <w:lang w:val="en-US"/>
        </w:rPr>
        <w:t>4.</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Organizing Documents of each ICANN groups</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E74D6D">
      <w:pPr>
        <w:pStyle w:val="Normal1"/>
        <w:jc w:val="both"/>
        <w:rPr>
          <w:lang w:val="en-US"/>
        </w:rPr>
      </w:pPr>
      <w:r>
        <w:rPr>
          <w:rFonts w:ascii="Calibri" w:eastAsia="Calibri" w:hAnsi="Calibri" w:cs="Calibri"/>
          <w:sz w:val="28"/>
          <w:szCs w:val="28"/>
          <w:lang w:val="en-US"/>
        </w:rPr>
        <w:t xml:space="preserve">An initial </w:t>
      </w:r>
      <w:r w:rsidR="002166A3" w:rsidRPr="002166A3">
        <w:rPr>
          <w:rFonts w:ascii="Calibri" w:eastAsia="Calibri" w:hAnsi="Calibri" w:cs="Calibri"/>
          <w:sz w:val="28"/>
          <w:szCs w:val="28"/>
          <w:lang w:val="en-US"/>
        </w:rPr>
        <w:t>review of existing ICANN documentation shows that there are provisions regarding regional diversity for some ICANN groups.</w:t>
      </w:r>
    </w:p>
    <w:p w:rsidR="001127AE" w:rsidRPr="002166A3" w:rsidRDefault="002166A3">
      <w:pPr>
        <w:pStyle w:val="Ttulo2"/>
        <w:keepNext w:val="0"/>
        <w:keepLines w:val="0"/>
        <w:spacing w:before="360" w:after="80"/>
        <w:contextualSpacing w:val="0"/>
        <w:rPr>
          <w:lang w:val="en-US"/>
        </w:rPr>
      </w:pPr>
      <w:bookmarkStart w:id="3" w:name="h.9pi5ccaziwrp" w:colFirst="0" w:colLast="0"/>
      <w:bookmarkEnd w:id="3"/>
      <w:r w:rsidRPr="002166A3">
        <w:rPr>
          <w:rFonts w:ascii="Arial" w:eastAsia="Arial" w:hAnsi="Arial" w:cs="Arial"/>
          <w:sz w:val="28"/>
          <w:szCs w:val="28"/>
          <w:lang w:val="en-US"/>
        </w:rPr>
        <w:t>Affirmation of commitments</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The </w:t>
      </w:r>
      <w:proofErr w:type="spellStart"/>
      <w:r w:rsidRPr="002166A3">
        <w:rPr>
          <w:rFonts w:ascii="Calibri" w:eastAsia="Calibri" w:hAnsi="Calibri" w:cs="Calibri"/>
          <w:sz w:val="28"/>
          <w:szCs w:val="28"/>
          <w:lang w:val="en-US"/>
        </w:rPr>
        <w:t>AoC</w:t>
      </w:r>
      <w:proofErr w:type="spellEnd"/>
      <w:r w:rsidRPr="002166A3">
        <w:rPr>
          <w:rFonts w:ascii="Calibri" w:eastAsia="Calibri" w:hAnsi="Calibri" w:cs="Calibri"/>
          <w:sz w:val="28"/>
          <w:szCs w:val="28"/>
          <w:lang w:val="en-US"/>
        </w:rPr>
        <w:t xml:space="preserve"> didn’t include any reference regarding diversity.</w:t>
      </w:r>
    </w:p>
    <w:p w:rsidR="001127AE" w:rsidRPr="002166A3" w:rsidRDefault="002166A3">
      <w:pPr>
        <w:pStyle w:val="Ttulo2"/>
        <w:keepNext w:val="0"/>
        <w:keepLines w:val="0"/>
        <w:spacing w:before="360" w:after="80"/>
        <w:contextualSpacing w:val="0"/>
        <w:rPr>
          <w:lang w:val="en-US"/>
        </w:rPr>
      </w:pPr>
      <w:bookmarkStart w:id="4" w:name="h.n21r6upsak2w" w:colFirst="0" w:colLast="0"/>
      <w:bookmarkEnd w:id="4"/>
      <w:r w:rsidRPr="002166A3">
        <w:rPr>
          <w:rFonts w:ascii="Arial" w:eastAsia="Arial" w:hAnsi="Arial" w:cs="Arial"/>
          <w:sz w:val="28"/>
          <w:szCs w:val="28"/>
          <w:lang w:val="en-US"/>
        </w:rPr>
        <w:t>ATRT</w:t>
      </w:r>
    </w:p>
    <w:p w:rsidR="001127AE" w:rsidRPr="002166A3" w:rsidRDefault="002166A3">
      <w:pPr>
        <w:pStyle w:val="Normal1"/>
        <w:jc w:val="both"/>
        <w:rPr>
          <w:lang w:val="en-US"/>
        </w:rPr>
      </w:pPr>
      <w:r w:rsidRPr="002166A3">
        <w:rPr>
          <w:rFonts w:ascii="Calibri" w:eastAsia="Calibri" w:hAnsi="Calibri" w:cs="Calibri"/>
          <w:sz w:val="28"/>
          <w:szCs w:val="28"/>
          <w:lang w:val="en-US"/>
        </w:rPr>
        <w:t>Different reference to diversity but (from my quick reading) no specific recommendation with regards to Board/SO/AC diversity has been made by the ATRT.</w:t>
      </w:r>
    </w:p>
    <w:p w:rsidR="001127AE" w:rsidRPr="002166A3" w:rsidRDefault="002166A3">
      <w:pPr>
        <w:pStyle w:val="Ttulo2"/>
        <w:keepNext w:val="0"/>
        <w:keepLines w:val="0"/>
        <w:spacing w:before="360" w:after="80"/>
        <w:contextualSpacing w:val="0"/>
        <w:rPr>
          <w:lang w:val="en-US"/>
        </w:rPr>
      </w:pPr>
      <w:bookmarkStart w:id="5" w:name="h.25aii96rb1t3" w:colFirst="0" w:colLast="0"/>
      <w:bookmarkEnd w:id="5"/>
      <w:r w:rsidRPr="002166A3">
        <w:rPr>
          <w:rFonts w:ascii="Arial" w:eastAsia="Arial" w:hAnsi="Arial" w:cs="Arial"/>
          <w:sz w:val="28"/>
          <w:szCs w:val="28"/>
          <w:lang w:val="en-US"/>
        </w:rPr>
        <w:t>Bylaws</w:t>
      </w:r>
    </w:p>
    <w:p w:rsidR="001127AE" w:rsidRPr="002166A3" w:rsidRDefault="002166A3">
      <w:pPr>
        <w:pStyle w:val="Normal1"/>
        <w:jc w:val="both"/>
        <w:rPr>
          <w:lang w:val="en-US"/>
        </w:rPr>
      </w:pPr>
      <w:r w:rsidRPr="002166A3">
        <w:rPr>
          <w:rFonts w:ascii="Calibri" w:eastAsia="Calibri" w:hAnsi="Calibri" w:cs="Calibri"/>
          <w:b/>
          <w:sz w:val="28"/>
          <w:szCs w:val="28"/>
          <w:lang w:val="en-US"/>
        </w:rPr>
        <w:t xml:space="preserve"> </w:t>
      </w:r>
      <w:r w:rsidRPr="002166A3">
        <w:rPr>
          <w:rFonts w:ascii="Calibri" w:eastAsia="Calibri" w:hAnsi="Calibri" w:cs="Calibri"/>
          <w:sz w:val="28"/>
          <w:szCs w:val="28"/>
          <w:lang w:val="en-US"/>
        </w:rPr>
        <w:t>ICANN bylaws state</w:t>
      </w:r>
    </w:p>
    <w:p w:rsidR="001127AE" w:rsidRPr="002166A3" w:rsidRDefault="002166A3">
      <w:pPr>
        <w:pStyle w:val="Normal1"/>
        <w:jc w:val="both"/>
        <w:rPr>
          <w:lang w:val="en-US"/>
        </w:rPr>
      </w:pPr>
      <w:r w:rsidRPr="002166A3">
        <w:rPr>
          <w:rFonts w:ascii="Calibri" w:eastAsia="Calibri" w:hAnsi="Calibri" w:cs="Calibri"/>
          <w:b/>
          <w:color w:val="FF0000"/>
          <w:sz w:val="28"/>
          <w:szCs w:val="28"/>
          <w:lang w:val="en-US"/>
        </w:rPr>
        <w:t>Board</w:t>
      </w:r>
    </w:p>
    <w:p w:rsidR="001127AE" w:rsidRPr="002166A3" w:rsidRDefault="002166A3">
      <w:pPr>
        <w:pStyle w:val="Normal1"/>
        <w:rPr>
          <w:lang w:val="en-US"/>
        </w:rPr>
      </w:pPr>
      <w:r w:rsidRPr="002166A3">
        <w:rPr>
          <w:color w:val="333333"/>
          <w:highlight w:val="white"/>
          <w:lang w:val="en-US"/>
        </w:rPr>
        <w:t xml:space="preserve">« One intent of these diversity provisions is to ensure that at all times each Geographic Region shall have at least one Director, and at all times no region shall have more than five Directors on the Board (not including the President). As used in these Bylaws, each of the following is </w:t>
      </w:r>
      <w:r w:rsidRPr="002166A3">
        <w:rPr>
          <w:color w:val="333333"/>
          <w:highlight w:val="white"/>
          <w:lang w:val="en-US"/>
        </w:rPr>
        <w:lastRenderedPageBreak/>
        <w:t>considered to be a "Geographic Region": Europe; Asia/Australia/Pacific; Latin America/Caribbean islands; Africa; and North America. »</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1"/>
        <w:jc w:val="both"/>
        <w:rPr>
          <w:lang w:val="en-US"/>
        </w:rPr>
      </w:pPr>
      <w:proofErr w:type="spellStart"/>
      <w:r w:rsidRPr="002166A3">
        <w:rPr>
          <w:rFonts w:ascii="Calibri" w:eastAsia="Calibri" w:hAnsi="Calibri" w:cs="Calibri"/>
          <w:b/>
          <w:color w:val="FF0000"/>
          <w:sz w:val="28"/>
          <w:szCs w:val="28"/>
          <w:lang w:val="en-US"/>
        </w:rPr>
        <w:t>NomCom</w:t>
      </w:r>
      <w:proofErr w:type="spellEnd"/>
    </w:p>
    <w:p w:rsidR="001127AE" w:rsidRPr="002166A3" w:rsidRDefault="002166A3">
      <w:pPr>
        <w:pStyle w:val="Normal1"/>
        <w:rPr>
          <w:lang w:val="en-US"/>
        </w:rPr>
      </w:pPr>
      <w:r>
        <w:rPr>
          <w:b/>
          <w:color w:val="333333"/>
          <w:highlight w:val="white"/>
          <w:lang w:val="en-US"/>
        </w:rPr>
        <w:t>“</w:t>
      </w:r>
      <w:r w:rsidRPr="002166A3">
        <w:rPr>
          <w:b/>
          <w:color w:val="333333"/>
          <w:highlight w:val="white"/>
          <w:lang w:val="en-US"/>
        </w:rPr>
        <w:t>Section 5. DIVERSITY</w:t>
      </w:r>
    </w:p>
    <w:p w:rsidR="001127AE" w:rsidRPr="002166A3" w:rsidRDefault="002166A3">
      <w:pPr>
        <w:pStyle w:val="Normal1"/>
        <w:rPr>
          <w:lang w:val="en-US"/>
        </w:rPr>
      </w:pPr>
      <w:r w:rsidRPr="002166A3">
        <w:rPr>
          <w:color w:val="333333"/>
          <w:highlight w:val="white"/>
          <w:lang w:val="en-US"/>
        </w:rPr>
        <w:t xml:space="preserve">In carrying out its responsibilities to select members of the ICANN Board (and selections to any other ICANN bodies as the Nominating Committee is responsible for under these Bylaws), the Nominating Committee shall take into account the continuing membership of the ICANN Board (and such other bodies), and seek to ensure that the persons selected to fill vacancies on the ICANN Board (and each such other body) shall, to the extent feasible and consistent with the other criteria required to be applied by </w:t>
      </w:r>
      <w:hyperlink r:id="rId14" w:anchor="VII-4">
        <w:r w:rsidRPr="002166A3">
          <w:rPr>
            <w:color w:val="0088CC"/>
            <w:highlight w:val="white"/>
            <w:u w:val="single"/>
            <w:lang w:val="en-US"/>
          </w:rPr>
          <w:t>Section 4 of this Article</w:t>
        </w:r>
      </w:hyperlink>
      <w:r w:rsidRPr="002166A3">
        <w:rPr>
          <w:color w:val="333333"/>
          <w:highlight w:val="white"/>
          <w:lang w:val="en-US"/>
        </w:rPr>
        <w:t xml:space="preserve">, make selections guided by Core Value 4 in </w:t>
      </w:r>
      <w:hyperlink r:id="rId15" w:anchor="I-2">
        <w:r w:rsidRPr="002166A3">
          <w:rPr>
            <w:color w:val="0088CC"/>
            <w:highlight w:val="white"/>
            <w:u w:val="single"/>
            <w:lang w:val="en-US"/>
          </w:rPr>
          <w:t>Article I, Section 2</w:t>
        </w:r>
      </w:hyperlink>
      <w:r w:rsidRPr="002166A3">
        <w:rPr>
          <w:color w:val="333333"/>
          <w:highlight w:val="white"/>
          <w:lang w:val="en-US"/>
        </w:rPr>
        <w:t>.</w:t>
      </w:r>
      <w:r>
        <w:rPr>
          <w:color w:val="333333"/>
          <w:highlight w:val="white"/>
          <w:lang w:val="en-US"/>
        </w:rPr>
        <w:t>”</w:t>
      </w:r>
    </w:p>
    <w:p w:rsidR="001127AE" w:rsidRPr="002166A3" w:rsidRDefault="001127AE">
      <w:pPr>
        <w:pStyle w:val="Normal1"/>
        <w:rPr>
          <w:lang w:val="en-US"/>
        </w:rPr>
      </w:pPr>
    </w:p>
    <w:p w:rsidR="001127AE" w:rsidRPr="002166A3" w:rsidRDefault="002166A3">
      <w:pPr>
        <w:pStyle w:val="Normal1"/>
        <w:rPr>
          <w:lang w:val="en-US"/>
        </w:rPr>
      </w:pPr>
      <w:proofErr w:type="gramStart"/>
      <w:r w:rsidRPr="002166A3">
        <w:rPr>
          <w:rFonts w:ascii="Calibri" w:eastAsia="Calibri" w:hAnsi="Calibri" w:cs="Calibri"/>
          <w:b/>
          <w:color w:val="FF0000"/>
          <w:sz w:val="28"/>
          <w:szCs w:val="28"/>
          <w:highlight w:val="white"/>
          <w:lang w:val="en-US"/>
        </w:rPr>
        <w:t>ccNSO</w:t>
      </w:r>
      <w:proofErr w:type="gramEnd"/>
      <w:r w:rsidRPr="002166A3">
        <w:rPr>
          <w:rFonts w:ascii="Calibri" w:eastAsia="Calibri" w:hAnsi="Calibri" w:cs="Calibri"/>
          <w:b/>
          <w:color w:val="FF0000"/>
          <w:sz w:val="28"/>
          <w:szCs w:val="28"/>
          <w:highlight w:val="white"/>
          <w:lang w:val="en-US"/>
        </w:rPr>
        <w:t xml:space="preserve"> Council</w:t>
      </w:r>
    </w:p>
    <w:p w:rsidR="001127AE" w:rsidRPr="002166A3" w:rsidRDefault="002166A3">
      <w:pPr>
        <w:pStyle w:val="Normal1"/>
        <w:rPr>
          <w:lang w:val="en-US"/>
        </w:rPr>
      </w:pPr>
      <w:r>
        <w:rPr>
          <w:color w:val="333333"/>
          <w:highlight w:val="white"/>
          <w:lang w:val="en-US"/>
        </w:rPr>
        <w:t>“</w:t>
      </w:r>
      <w:r w:rsidRPr="002166A3">
        <w:rPr>
          <w:color w:val="333333"/>
          <w:highlight w:val="white"/>
          <w:lang w:val="en-US"/>
        </w:rPr>
        <w:t xml:space="preserve">The ccNSO Council shall consist of (a) three ccNSO Council members selected by the ccNSO members within each of </w:t>
      </w:r>
      <w:hyperlink r:id="rId16" w:anchor="VI-5">
        <w:r w:rsidRPr="002166A3">
          <w:rPr>
            <w:color w:val="0088CC"/>
            <w:highlight w:val="white"/>
            <w:u w:val="single"/>
            <w:lang w:val="en-US"/>
          </w:rPr>
          <w:t>ICANN's Geographic Regions</w:t>
        </w:r>
      </w:hyperlink>
      <w:r w:rsidRPr="002166A3">
        <w:rPr>
          <w:color w:val="333333"/>
          <w:highlight w:val="white"/>
          <w:lang w:val="en-US"/>
        </w:rPr>
        <w:t xml:space="preserve"> in the manner described in </w:t>
      </w:r>
      <w:hyperlink r:id="rId17" w:anchor="IX-4.7">
        <w:r w:rsidRPr="002166A3">
          <w:rPr>
            <w:color w:val="0088CC"/>
            <w:highlight w:val="white"/>
            <w:u w:val="single"/>
            <w:lang w:val="en-US"/>
          </w:rPr>
          <w:t>Section 4(7) through (9) of this Article</w:t>
        </w:r>
      </w:hyperlink>
      <w:r w:rsidRPr="002166A3">
        <w:rPr>
          <w:color w:val="333333"/>
          <w:highlight w:val="white"/>
          <w:lang w:val="en-US"/>
        </w:rPr>
        <w:t>;</w:t>
      </w:r>
      <w:r>
        <w:rPr>
          <w:color w:val="333333"/>
          <w:highlight w:val="white"/>
          <w:lang w:val="en-US"/>
        </w:rPr>
        <w:t>”</w:t>
      </w:r>
    </w:p>
    <w:p w:rsidR="001127AE" w:rsidRPr="002166A3" w:rsidRDefault="001127AE">
      <w:pPr>
        <w:pStyle w:val="Normal1"/>
        <w:rPr>
          <w:lang w:val="en-US"/>
        </w:rPr>
      </w:pPr>
    </w:p>
    <w:p w:rsidR="001127AE" w:rsidRPr="002166A3" w:rsidRDefault="002166A3">
      <w:pPr>
        <w:pStyle w:val="Normal1"/>
        <w:rPr>
          <w:lang w:val="en-US"/>
        </w:rPr>
      </w:pPr>
      <w:r w:rsidRPr="002166A3">
        <w:rPr>
          <w:rFonts w:ascii="Calibri" w:eastAsia="Calibri" w:hAnsi="Calibri" w:cs="Calibri"/>
          <w:b/>
          <w:color w:val="FF0000"/>
          <w:sz w:val="28"/>
          <w:szCs w:val="28"/>
          <w:highlight w:val="white"/>
          <w:lang w:val="en-US"/>
        </w:rPr>
        <w:t xml:space="preserve">ASO </w:t>
      </w:r>
    </w:p>
    <w:p w:rsidR="001127AE" w:rsidRPr="002166A3" w:rsidRDefault="002166A3">
      <w:pPr>
        <w:pStyle w:val="Normal1"/>
        <w:rPr>
          <w:lang w:val="en-US"/>
        </w:rPr>
      </w:pPr>
      <w:r w:rsidRPr="002166A3">
        <w:rPr>
          <w:highlight w:val="white"/>
          <w:lang w:val="en-US"/>
        </w:rPr>
        <w:t xml:space="preserve">“Under the terms of the </w:t>
      </w:r>
      <w:proofErr w:type="spellStart"/>
      <w:r w:rsidRPr="002166A3">
        <w:rPr>
          <w:highlight w:val="white"/>
          <w:lang w:val="en-US"/>
        </w:rPr>
        <w:t>MoU</w:t>
      </w:r>
      <w:proofErr w:type="spellEnd"/>
      <w:r w:rsidRPr="002166A3">
        <w:rPr>
          <w:highlight w:val="white"/>
          <w:lang w:val="en-US"/>
        </w:rPr>
        <w:t xml:space="preserve"> signed between ICANN and the RIRs in October 2004, the NRO Number Council now performs the role of the Address Supporting Organization Address Council (ASO AC).</w:t>
      </w:r>
    </w:p>
    <w:p w:rsidR="001127AE" w:rsidRPr="002166A3" w:rsidRDefault="002166A3">
      <w:pPr>
        <w:pStyle w:val="Normal1"/>
        <w:rPr>
          <w:lang w:val="en-US"/>
        </w:rPr>
      </w:pPr>
      <w:r w:rsidRPr="002166A3">
        <w:rPr>
          <w:highlight w:val="white"/>
          <w:lang w:val="en-US"/>
        </w:rPr>
        <w:t>The regional policy forum of each RIR selects two members. The Executive Board of each RIR also appoints one person from its respective region</w:t>
      </w:r>
      <w:r w:rsidRPr="002166A3">
        <w:rPr>
          <w:highlight w:val="white"/>
          <w:vertAlign w:val="superscript"/>
          <w:lang w:val="en-US"/>
        </w:rPr>
        <w:footnoteReference w:id="3"/>
      </w:r>
      <w:r w:rsidRPr="002166A3">
        <w:rPr>
          <w:highlight w:val="white"/>
          <w:lang w:val="en-US"/>
        </w:rPr>
        <w:t>.”</w:t>
      </w:r>
    </w:p>
    <w:p w:rsidR="001127AE" w:rsidRPr="002166A3" w:rsidRDefault="002166A3">
      <w:pPr>
        <w:pStyle w:val="Normal1"/>
        <w:rPr>
          <w:lang w:val="en-US"/>
        </w:rPr>
      </w:pPr>
      <w:r w:rsidRPr="002166A3">
        <w:rPr>
          <w:highlight w:val="white"/>
          <w:lang w:val="en-US"/>
        </w:rPr>
        <w:t>“The ASO Address Council shall consist of the members of the NRO Number Council</w:t>
      </w:r>
      <w:r w:rsidRPr="002166A3">
        <w:rPr>
          <w:highlight w:val="white"/>
          <w:vertAlign w:val="superscript"/>
          <w:lang w:val="en-US"/>
        </w:rPr>
        <w:footnoteReference w:id="4"/>
      </w:r>
      <w:r w:rsidRPr="002166A3">
        <w:rPr>
          <w:highlight w:val="white"/>
          <w:lang w:val="en-US"/>
        </w:rPr>
        <w:t>.”</w:t>
      </w:r>
    </w:p>
    <w:p w:rsidR="001127AE" w:rsidRPr="002166A3" w:rsidRDefault="001127AE">
      <w:pPr>
        <w:pStyle w:val="Normal1"/>
        <w:rPr>
          <w:lang w:val="en-US"/>
        </w:rPr>
      </w:pPr>
    </w:p>
    <w:p w:rsidR="001127AE" w:rsidRPr="002166A3" w:rsidRDefault="002166A3">
      <w:pPr>
        <w:pStyle w:val="Normal1"/>
        <w:rPr>
          <w:lang w:val="en-US"/>
        </w:rPr>
      </w:pPr>
      <w:proofErr w:type="spellStart"/>
      <w:proofErr w:type="gramStart"/>
      <w:r w:rsidRPr="002166A3">
        <w:rPr>
          <w:rFonts w:ascii="Calibri" w:eastAsia="Calibri" w:hAnsi="Calibri" w:cs="Calibri"/>
          <w:b/>
          <w:color w:val="FF0000"/>
          <w:sz w:val="28"/>
          <w:szCs w:val="28"/>
          <w:highlight w:val="white"/>
          <w:lang w:val="en-US"/>
        </w:rPr>
        <w:t>gNSO</w:t>
      </w:r>
      <w:proofErr w:type="spellEnd"/>
      <w:proofErr w:type="gramEnd"/>
      <w:r w:rsidRPr="002166A3">
        <w:rPr>
          <w:rFonts w:ascii="Calibri" w:eastAsia="Calibri" w:hAnsi="Calibri" w:cs="Calibri"/>
          <w:b/>
          <w:color w:val="FF0000"/>
          <w:sz w:val="28"/>
          <w:szCs w:val="28"/>
          <w:highlight w:val="white"/>
          <w:lang w:val="en-US"/>
        </w:rPr>
        <w:t xml:space="preserve"> Council</w:t>
      </w:r>
    </w:p>
    <w:p w:rsidR="001127AE" w:rsidRPr="002166A3" w:rsidRDefault="002166A3">
      <w:pPr>
        <w:pStyle w:val="Normal1"/>
        <w:jc w:val="both"/>
        <w:rPr>
          <w:lang w:val="en-US"/>
        </w:rPr>
      </w:pPr>
      <w:r w:rsidRPr="002166A3">
        <w:rPr>
          <w:lang w:val="en-US"/>
        </w:rPr>
        <w:t>Regarding the GNSO the “only” diversity dimension is at the level of the Stakeholder Group that selects the council members.</w:t>
      </w:r>
    </w:p>
    <w:p w:rsidR="001127AE" w:rsidRPr="002166A3" w:rsidRDefault="001127AE">
      <w:pPr>
        <w:pStyle w:val="Normal1"/>
        <w:rPr>
          <w:lang w:val="en-US"/>
        </w:rPr>
      </w:pPr>
    </w:p>
    <w:p w:rsidR="001127AE" w:rsidRPr="002166A3" w:rsidRDefault="002166A3">
      <w:pPr>
        <w:pStyle w:val="Normal1"/>
        <w:rPr>
          <w:lang w:val="en-US"/>
        </w:rPr>
      </w:pPr>
      <w:r w:rsidRPr="002166A3">
        <w:rPr>
          <w:rFonts w:ascii="Calibri" w:eastAsia="Calibri" w:hAnsi="Calibri" w:cs="Calibri"/>
          <w:b/>
          <w:color w:val="FF0000"/>
          <w:sz w:val="28"/>
          <w:szCs w:val="28"/>
          <w:highlight w:val="white"/>
          <w:lang w:val="en-US"/>
        </w:rPr>
        <w:t xml:space="preserve">GAC </w:t>
      </w:r>
    </w:p>
    <w:p w:rsidR="001127AE" w:rsidRPr="002166A3" w:rsidRDefault="002166A3">
      <w:pPr>
        <w:pStyle w:val="Normal1"/>
        <w:rPr>
          <w:lang w:val="en-US"/>
        </w:rPr>
      </w:pPr>
      <w:r w:rsidRPr="002166A3">
        <w:rPr>
          <w:highlight w:val="white"/>
          <w:lang w:val="en-US"/>
        </w:rPr>
        <w:t>No reference</w:t>
      </w:r>
    </w:p>
    <w:p w:rsidR="001127AE" w:rsidRPr="002166A3" w:rsidRDefault="001127AE">
      <w:pPr>
        <w:pStyle w:val="Normal1"/>
        <w:rPr>
          <w:lang w:val="en-US"/>
        </w:rPr>
      </w:pPr>
    </w:p>
    <w:p w:rsidR="001127AE" w:rsidRPr="002166A3" w:rsidRDefault="002166A3">
      <w:pPr>
        <w:pStyle w:val="Normal1"/>
        <w:rPr>
          <w:lang w:val="en-US"/>
        </w:rPr>
      </w:pPr>
      <w:r w:rsidRPr="002166A3">
        <w:rPr>
          <w:rFonts w:ascii="Calibri" w:eastAsia="Calibri" w:hAnsi="Calibri" w:cs="Calibri"/>
          <w:b/>
          <w:color w:val="FF0000"/>
          <w:sz w:val="28"/>
          <w:szCs w:val="28"/>
          <w:highlight w:val="white"/>
          <w:lang w:val="en-US"/>
        </w:rPr>
        <w:t xml:space="preserve">SSAC </w:t>
      </w:r>
    </w:p>
    <w:p w:rsidR="001127AE" w:rsidRPr="002166A3" w:rsidRDefault="002166A3">
      <w:pPr>
        <w:pStyle w:val="Normal1"/>
        <w:rPr>
          <w:lang w:val="en-US"/>
        </w:rPr>
      </w:pPr>
      <w:r w:rsidRPr="002166A3">
        <w:rPr>
          <w:highlight w:val="white"/>
          <w:lang w:val="en-US"/>
        </w:rPr>
        <w:t>No reference</w:t>
      </w:r>
    </w:p>
    <w:p w:rsidR="001127AE" w:rsidRPr="002166A3" w:rsidRDefault="001127AE">
      <w:pPr>
        <w:pStyle w:val="Normal1"/>
        <w:rPr>
          <w:lang w:val="en-US"/>
        </w:rPr>
      </w:pPr>
    </w:p>
    <w:p w:rsidR="001127AE" w:rsidRPr="002166A3" w:rsidRDefault="002166A3">
      <w:pPr>
        <w:pStyle w:val="Normal1"/>
        <w:rPr>
          <w:lang w:val="en-US"/>
        </w:rPr>
      </w:pPr>
      <w:r w:rsidRPr="002166A3">
        <w:rPr>
          <w:rFonts w:ascii="Calibri" w:eastAsia="Calibri" w:hAnsi="Calibri" w:cs="Calibri"/>
          <w:b/>
          <w:color w:val="FF0000"/>
          <w:sz w:val="28"/>
          <w:szCs w:val="28"/>
          <w:highlight w:val="white"/>
          <w:lang w:val="en-US"/>
        </w:rPr>
        <w:t xml:space="preserve">RSSAC </w:t>
      </w:r>
    </w:p>
    <w:p w:rsidR="001127AE" w:rsidRPr="002166A3" w:rsidRDefault="002166A3">
      <w:pPr>
        <w:pStyle w:val="Normal1"/>
        <w:rPr>
          <w:lang w:val="en-US"/>
        </w:rPr>
      </w:pPr>
      <w:r w:rsidRPr="002166A3">
        <w:rPr>
          <w:highlight w:val="white"/>
          <w:lang w:val="en-US"/>
        </w:rPr>
        <w:t>No reference</w:t>
      </w:r>
    </w:p>
    <w:p w:rsidR="001127AE" w:rsidRPr="002166A3" w:rsidRDefault="001127AE">
      <w:pPr>
        <w:pStyle w:val="Normal1"/>
        <w:rPr>
          <w:lang w:val="en-US"/>
        </w:rPr>
      </w:pPr>
    </w:p>
    <w:p w:rsidR="001127AE" w:rsidRPr="002166A3" w:rsidRDefault="002166A3">
      <w:pPr>
        <w:pStyle w:val="Normal1"/>
        <w:rPr>
          <w:lang w:val="en-US"/>
        </w:rPr>
      </w:pPr>
      <w:r w:rsidRPr="002166A3">
        <w:rPr>
          <w:rFonts w:ascii="Calibri" w:eastAsia="Calibri" w:hAnsi="Calibri" w:cs="Calibri"/>
          <w:b/>
          <w:color w:val="FF0000"/>
          <w:sz w:val="28"/>
          <w:szCs w:val="28"/>
          <w:highlight w:val="white"/>
          <w:lang w:val="en-US"/>
        </w:rPr>
        <w:t xml:space="preserve">ALAC </w:t>
      </w:r>
    </w:p>
    <w:p w:rsidR="001127AE" w:rsidRPr="002166A3" w:rsidRDefault="002166A3">
      <w:pPr>
        <w:pStyle w:val="Normal1"/>
        <w:rPr>
          <w:lang w:val="en-US"/>
        </w:rPr>
      </w:pPr>
      <w:r w:rsidRPr="002166A3">
        <w:rPr>
          <w:color w:val="333333"/>
          <w:highlight w:val="white"/>
          <w:lang w:val="en-US"/>
        </w:rPr>
        <w:t xml:space="preserve">“The </w:t>
      </w:r>
      <w:r w:rsidRPr="002166A3">
        <w:rPr>
          <w:lang w:val="en-US"/>
        </w:rPr>
        <w:t>ALAC</w:t>
      </w:r>
      <w:r w:rsidRPr="002166A3">
        <w:rPr>
          <w:color w:val="333333"/>
          <w:highlight w:val="white"/>
          <w:lang w:val="en-US"/>
        </w:rPr>
        <w:t xml:space="preserve"> shall consist of (</w:t>
      </w:r>
      <w:proofErr w:type="spellStart"/>
      <w:r w:rsidRPr="002166A3">
        <w:rPr>
          <w:color w:val="333333"/>
          <w:highlight w:val="white"/>
          <w:lang w:val="en-US"/>
        </w:rPr>
        <w:t>i</w:t>
      </w:r>
      <w:proofErr w:type="spellEnd"/>
      <w:r w:rsidRPr="002166A3">
        <w:rPr>
          <w:color w:val="333333"/>
          <w:highlight w:val="white"/>
          <w:lang w:val="en-US"/>
        </w:rPr>
        <w:t xml:space="preserve">) two members selected by each of the Regional At-Large Organizations ("RALOs") established according to paragraph </w:t>
      </w:r>
      <w:hyperlink r:id="rId18" w:anchor="XI-2.4g">
        <w:r w:rsidRPr="002166A3">
          <w:rPr>
            <w:color w:val="0088CC"/>
            <w:highlight w:val="white"/>
            <w:u w:val="single"/>
            <w:lang w:val="en-US"/>
          </w:rPr>
          <w:t>4(g) of this Section</w:t>
        </w:r>
      </w:hyperlink>
      <w:r w:rsidRPr="002166A3">
        <w:rPr>
          <w:color w:val="333333"/>
          <w:highlight w:val="white"/>
          <w:lang w:val="en-US"/>
        </w:rPr>
        <w:t xml:space="preserve">, and (ii) five members selected by the Nominating Committee. The five members selected by the Nominating Committee shall include one citizen of a country within each of the five Geographic Regions established according to </w:t>
      </w:r>
      <w:hyperlink r:id="rId19" w:anchor="VI-5">
        <w:r w:rsidRPr="002166A3">
          <w:rPr>
            <w:color w:val="0088CC"/>
            <w:highlight w:val="white"/>
            <w:u w:val="single"/>
            <w:lang w:val="en-US"/>
          </w:rPr>
          <w:t>Section 5 of Article VI</w:t>
        </w:r>
      </w:hyperlink>
      <w:r w:rsidRPr="002166A3">
        <w:rPr>
          <w:color w:val="333333"/>
          <w:highlight w:val="white"/>
          <w:lang w:val="en-US"/>
        </w:rPr>
        <w:t>.”</w:t>
      </w:r>
    </w:p>
    <w:p w:rsidR="001127AE" w:rsidRPr="002166A3" w:rsidRDefault="001127AE">
      <w:pPr>
        <w:pStyle w:val="Normal1"/>
        <w:jc w:val="both"/>
        <w:rPr>
          <w:lang w:val="en-US"/>
        </w:rPr>
      </w:pPr>
    </w:p>
    <w:p w:rsidR="001127AE" w:rsidRPr="002166A3" w:rsidRDefault="002166A3">
      <w:pPr>
        <w:pStyle w:val="Normal1"/>
        <w:jc w:val="both"/>
        <w:rPr>
          <w:lang w:val="en-US"/>
        </w:rPr>
      </w:pPr>
      <w:r w:rsidRPr="002166A3">
        <w:rPr>
          <w:rFonts w:ascii="Calibri" w:eastAsia="Calibri" w:hAnsi="Calibri" w:cs="Calibri"/>
          <w:b/>
          <w:color w:val="FF0000"/>
          <w:sz w:val="28"/>
          <w:szCs w:val="28"/>
          <w:highlight w:val="white"/>
          <w:lang w:val="en-US"/>
        </w:rPr>
        <w:t>ICANN Staff</w:t>
      </w:r>
    </w:p>
    <w:p w:rsidR="001127AE" w:rsidRPr="002166A3" w:rsidRDefault="002166A3">
      <w:pPr>
        <w:pStyle w:val="Normal1"/>
        <w:jc w:val="both"/>
        <w:rPr>
          <w:lang w:val="en-US"/>
        </w:rPr>
      </w:pPr>
      <w:r w:rsidRPr="002166A3">
        <w:rPr>
          <w:highlight w:val="white"/>
          <w:lang w:val="en-US"/>
        </w:rPr>
        <w:t>No reference</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1"/>
        <w:jc w:val="both"/>
        <w:rPr>
          <w:lang w:val="en-US"/>
        </w:rPr>
      </w:pPr>
      <w:r w:rsidRPr="002166A3">
        <w:rPr>
          <w:rFonts w:ascii="Calibri" w:eastAsia="Calibri" w:hAnsi="Calibri" w:cs="Calibri"/>
          <w:sz w:val="28"/>
          <w:szCs w:val="28"/>
          <w:lang w:val="en-US"/>
        </w:rPr>
        <w:t>Having reviewed and inventoried the existing mechanisms related to Board/</w:t>
      </w:r>
      <w:proofErr w:type="spellStart"/>
      <w:r w:rsidRPr="002166A3">
        <w:rPr>
          <w:rFonts w:ascii="Calibri" w:eastAsia="Calibri" w:hAnsi="Calibri" w:cs="Calibri"/>
          <w:sz w:val="28"/>
          <w:szCs w:val="28"/>
          <w:lang w:val="en-US"/>
        </w:rPr>
        <w:t>NomCom</w:t>
      </w:r>
      <w:proofErr w:type="spellEnd"/>
      <w:r w:rsidRPr="002166A3">
        <w:rPr>
          <w:rFonts w:ascii="Calibri" w:eastAsia="Calibri" w:hAnsi="Calibri" w:cs="Calibri"/>
          <w:sz w:val="28"/>
          <w:szCs w:val="28"/>
          <w:lang w:val="en-US"/>
        </w:rPr>
        <w:t xml:space="preserve">/SO/AC diversity, </w:t>
      </w:r>
      <w:r w:rsidR="00E74D6D">
        <w:rPr>
          <w:rFonts w:ascii="Calibri" w:eastAsia="Calibri" w:hAnsi="Calibri" w:cs="Calibri"/>
          <w:sz w:val="28"/>
          <w:szCs w:val="28"/>
          <w:lang w:val="en-US"/>
        </w:rPr>
        <w:t>while some diversity arrangements exist within I</w:t>
      </w:r>
      <w:r w:rsidR="00A01678">
        <w:rPr>
          <w:rFonts w:ascii="Calibri" w:eastAsia="Calibri" w:hAnsi="Calibri" w:cs="Calibri"/>
          <w:sz w:val="28"/>
          <w:szCs w:val="28"/>
          <w:lang w:val="en-US"/>
        </w:rPr>
        <w:t>CANN</w:t>
      </w:r>
      <w:r w:rsidR="00E74D6D">
        <w:rPr>
          <w:rFonts w:ascii="Calibri" w:eastAsia="Calibri" w:hAnsi="Calibri" w:cs="Calibri"/>
          <w:sz w:val="28"/>
          <w:szCs w:val="28"/>
          <w:lang w:val="en-US"/>
        </w:rPr>
        <w:t xml:space="preserve"> documents, diversity does not appear as one of the areas where I</w:t>
      </w:r>
      <w:r w:rsidR="00A01678">
        <w:rPr>
          <w:rFonts w:ascii="Calibri" w:eastAsia="Calibri" w:hAnsi="Calibri" w:cs="Calibri"/>
          <w:sz w:val="28"/>
          <w:szCs w:val="28"/>
          <w:lang w:val="en-US"/>
        </w:rPr>
        <w:t>CANN</w:t>
      </w:r>
      <w:r w:rsidR="00E74D6D">
        <w:rPr>
          <w:rFonts w:ascii="Calibri" w:eastAsia="Calibri" w:hAnsi="Calibri" w:cs="Calibri"/>
          <w:sz w:val="28"/>
          <w:szCs w:val="28"/>
          <w:lang w:val="en-US"/>
        </w:rPr>
        <w:t xml:space="preserve"> continuously strives to improve</w:t>
      </w:r>
      <w:r w:rsidRPr="002166A3">
        <w:rPr>
          <w:rFonts w:ascii="Calibri" w:eastAsia="Calibri" w:hAnsi="Calibri" w:cs="Calibri"/>
          <w:sz w:val="28"/>
          <w:szCs w:val="28"/>
          <w:lang w:val="en-US"/>
        </w:rPr>
        <w:t>.</w:t>
      </w:r>
      <w:r w:rsidR="00E74D6D">
        <w:rPr>
          <w:rFonts w:ascii="Calibri" w:eastAsia="Calibri" w:hAnsi="Calibri" w:cs="Calibri"/>
          <w:sz w:val="28"/>
          <w:szCs w:val="28"/>
          <w:lang w:val="en-US"/>
        </w:rPr>
        <w:t xml:space="preserve"> </w:t>
      </w:r>
    </w:p>
    <w:p w:rsidR="001127AE" w:rsidRPr="002166A3" w:rsidRDefault="00572F63" w:rsidP="00572F63">
      <w:pPr>
        <w:pStyle w:val="Ttulo1"/>
        <w:keepNext w:val="0"/>
        <w:keepLines w:val="0"/>
        <w:spacing w:before="480" w:after="120"/>
        <w:contextualSpacing w:val="0"/>
        <w:jc w:val="center"/>
        <w:rPr>
          <w:lang w:val="en-US"/>
        </w:rPr>
      </w:pPr>
      <w:bookmarkStart w:id="6" w:name="h.1m1rmzawtqrv" w:colFirst="0" w:colLast="0"/>
      <w:bookmarkEnd w:id="6"/>
      <w:r>
        <w:rPr>
          <w:rFonts w:ascii="Arial" w:eastAsia="Arial" w:hAnsi="Arial" w:cs="Arial"/>
          <w:b/>
          <w:sz w:val="36"/>
          <w:szCs w:val="36"/>
          <w:lang w:val="en-US"/>
        </w:rPr>
        <w:t>Recommendations</w:t>
      </w:r>
    </w:p>
    <w:p w:rsidR="001127AE" w:rsidRPr="002166A3" w:rsidRDefault="001127AE">
      <w:pPr>
        <w:pStyle w:val="Normal1"/>
        <w:jc w:val="both"/>
        <w:rPr>
          <w:lang w:val="en-US"/>
        </w:rPr>
      </w:pP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Therefore, the CCWG </w:t>
      </w:r>
      <w:r w:rsidR="00E74D6D">
        <w:rPr>
          <w:rFonts w:ascii="Calibri" w:eastAsia="Calibri" w:hAnsi="Calibri" w:cs="Calibri"/>
          <w:sz w:val="28"/>
          <w:szCs w:val="28"/>
          <w:lang w:val="en-US"/>
        </w:rPr>
        <w:t xml:space="preserve">recommends the </w:t>
      </w:r>
      <w:r w:rsidRPr="002166A3">
        <w:rPr>
          <w:rFonts w:ascii="Calibri" w:eastAsia="Calibri" w:hAnsi="Calibri" w:cs="Calibri"/>
          <w:sz w:val="28"/>
          <w:szCs w:val="28"/>
          <w:lang w:val="en-US"/>
        </w:rPr>
        <w:t>following actions with the view to enhancing (further) ICANN’s effectiveness in promoting diversity:</w:t>
      </w:r>
    </w:p>
    <w:p w:rsidR="001127AE" w:rsidRPr="002166A3" w:rsidRDefault="002166A3">
      <w:pPr>
        <w:pStyle w:val="Normal1"/>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1"/>
        <w:ind w:hanging="360"/>
        <w:jc w:val="both"/>
        <w:rPr>
          <w:lang w:val="en-US"/>
        </w:rPr>
      </w:pPr>
      <w:r w:rsidRPr="002166A3">
        <w:rPr>
          <w:rFonts w:ascii="Calibri" w:eastAsia="Calibri" w:hAnsi="Calibri" w:cs="Calibri"/>
          <w:sz w:val="28"/>
          <w:szCs w:val="28"/>
          <w:lang w:val="en-US"/>
        </w:rPr>
        <w:t>1.</w:t>
      </w:r>
      <w:r w:rsidRPr="002166A3">
        <w:rPr>
          <w:rFonts w:ascii="Times New Roman" w:eastAsia="Times New Roman" w:hAnsi="Times New Roman" w:cs="Times New Roman"/>
          <w:sz w:val="14"/>
          <w:szCs w:val="14"/>
          <w:lang w:val="en-US"/>
        </w:rPr>
        <w:tab/>
      </w:r>
      <w:r w:rsidR="00A01678">
        <w:rPr>
          <w:rFonts w:ascii="Calibri" w:eastAsia="Calibri" w:hAnsi="Calibri" w:cs="Calibri"/>
          <w:sz w:val="28"/>
          <w:szCs w:val="28"/>
          <w:lang w:val="en-US"/>
        </w:rPr>
        <w:t>I</w:t>
      </w:r>
      <w:r w:rsidRPr="002166A3">
        <w:rPr>
          <w:rFonts w:ascii="Calibri" w:eastAsia="Calibri" w:hAnsi="Calibri" w:cs="Calibri"/>
          <w:sz w:val="28"/>
          <w:szCs w:val="28"/>
          <w:lang w:val="en-US"/>
        </w:rPr>
        <w:t>nclude diversity as an important element for the creation of any new structure</w:t>
      </w:r>
      <w:r w:rsidR="00E74D6D">
        <w:rPr>
          <w:rFonts w:ascii="Calibri" w:eastAsia="Calibri" w:hAnsi="Calibri" w:cs="Calibri"/>
          <w:sz w:val="28"/>
          <w:szCs w:val="28"/>
          <w:lang w:val="en-US"/>
        </w:rPr>
        <w:t xml:space="preserve">, such as the IRP (see section </w:t>
      </w:r>
      <w:r w:rsidR="00E74D6D" w:rsidRPr="00A01678">
        <w:rPr>
          <w:rFonts w:ascii="Calibri" w:eastAsia="Calibri" w:hAnsi="Calibri" w:cs="Calibri"/>
          <w:sz w:val="28"/>
          <w:szCs w:val="28"/>
          <w:highlight w:val="yellow"/>
          <w:lang w:val="en-US"/>
          <w:rPrChange w:id="7" w:author="León Felipe Sánchez Ambía" w:date="2015-07-24T13:10:00Z">
            <w:rPr>
              <w:rFonts w:ascii="Calibri" w:eastAsia="Calibri" w:hAnsi="Calibri" w:cs="Calibri"/>
              <w:sz w:val="28"/>
              <w:szCs w:val="28"/>
              <w:lang w:val="en-US"/>
            </w:rPr>
          </w:rPrChange>
        </w:rPr>
        <w:t>XXXX</w:t>
      </w:r>
      <w:r w:rsidR="00E74D6D">
        <w:rPr>
          <w:rFonts w:ascii="Calibri" w:eastAsia="Calibri" w:hAnsi="Calibri" w:cs="Calibri"/>
          <w:sz w:val="28"/>
          <w:szCs w:val="28"/>
          <w:lang w:val="en-US"/>
        </w:rPr>
        <w:t xml:space="preserve"> for diversity requirements for the panel) and the I</w:t>
      </w:r>
      <w:r w:rsidR="00A01678">
        <w:rPr>
          <w:rFonts w:ascii="Calibri" w:eastAsia="Calibri" w:hAnsi="Calibri" w:cs="Calibri"/>
          <w:sz w:val="28"/>
          <w:szCs w:val="28"/>
          <w:lang w:val="en-US"/>
        </w:rPr>
        <w:t>CANN</w:t>
      </w:r>
      <w:r w:rsidR="00E74D6D">
        <w:rPr>
          <w:rFonts w:ascii="Calibri" w:eastAsia="Calibri" w:hAnsi="Calibri" w:cs="Calibri"/>
          <w:sz w:val="28"/>
          <w:szCs w:val="28"/>
          <w:lang w:val="en-US"/>
        </w:rPr>
        <w:t xml:space="preserve"> Community Assembly (see section </w:t>
      </w:r>
      <w:r w:rsidR="00E74D6D" w:rsidRPr="00A01678">
        <w:rPr>
          <w:rFonts w:ascii="Calibri" w:eastAsia="Calibri" w:hAnsi="Calibri" w:cs="Calibri"/>
          <w:sz w:val="28"/>
          <w:szCs w:val="28"/>
          <w:highlight w:val="yellow"/>
          <w:lang w:val="en-US"/>
          <w:rPrChange w:id="8" w:author="León Felipe Sánchez Ambía" w:date="2015-07-24T13:10:00Z">
            <w:rPr>
              <w:rFonts w:ascii="Calibri" w:eastAsia="Calibri" w:hAnsi="Calibri" w:cs="Calibri"/>
              <w:sz w:val="28"/>
              <w:szCs w:val="28"/>
              <w:lang w:val="en-US"/>
            </w:rPr>
          </w:rPrChange>
        </w:rPr>
        <w:t>XXX</w:t>
      </w:r>
      <w:r w:rsidR="00E74D6D">
        <w:rPr>
          <w:rFonts w:ascii="Calibri" w:eastAsia="Calibri" w:hAnsi="Calibri" w:cs="Calibri"/>
          <w:sz w:val="28"/>
          <w:szCs w:val="28"/>
          <w:lang w:val="en-US"/>
        </w:rPr>
        <w:t xml:space="preserve"> for diversity requirements for the Assembly)</w:t>
      </w:r>
    </w:p>
    <w:p w:rsidR="001127AE" w:rsidRPr="002166A3" w:rsidRDefault="002166A3">
      <w:pPr>
        <w:pStyle w:val="Normal1"/>
        <w:ind w:hanging="360"/>
        <w:jc w:val="both"/>
        <w:rPr>
          <w:lang w:val="en-US"/>
        </w:rPr>
      </w:pPr>
      <w:r w:rsidRPr="002166A3">
        <w:rPr>
          <w:rFonts w:ascii="Calibri" w:eastAsia="Calibri" w:hAnsi="Calibri" w:cs="Calibri"/>
          <w:sz w:val="28"/>
          <w:szCs w:val="28"/>
          <w:lang w:val="en-US"/>
        </w:rPr>
        <w:t>2.</w:t>
      </w:r>
      <w:r w:rsidRPr="002166A3">
        <w:rPr>
          <w:rFonts w:ascii="Times New Roman" w:eastAsia="Times New Roman" w:hAnsi="Times New Roman" w:cs="Times New Roman"/>
          <w:sz w:val="14"/>
          <w:szCs w:val="14"/>
          <w:lang w:val="en-US"/>
        </w:rPr>
        <w:tab/>
      </w:r>
      <w:r w:rsidR="00A01678">
        <w:rPr>
          <w:rFonts w:ascii="Calibri" w:eastAsia="Calibri" w:hAnsi="Calibri" w:cs="Calibri"/>
          <w:sz w:val="28"/>
          <w:szCs w:val="28"/>
          <w:lang w:val="en-US"/>
        </w:rPr>
        <w:t>E</w:t>
      </w:r>
      <w:r w:rsidR="008C00FF">
        <w:rPr>
          <w:rFonts w:ascii="Calibri" w:eastAsia="Calibri" w:hAnsi="Calibri" w:cs="Calibri"/>
          <w:sz w:val="28"/>
          <w:szCs w:val="28"/>
          <w:lang w:val="en-US"/>
        </w:rPr>
        <w:t>valuate a</w:t>
      </w:r>
      <w:r w:rsidRPr="002166A3">
        <w:rPr>
          <w:rFonts w:ascii="Calibri" w:eastAsia="Calibri" w:hAnsi="Calibri" w:cs="Calibri"/>
          <w:sz w:val="28"/>
          <w:szCs w:val="28"/>
          <w:lang w:val="en-US"/>
        </w:rPr>
        <w:t xml:space="preserve"> proposed evolution of the ATRT into </w:t>
      </w:r>
      <w:r w:rsidRPr="002166A3">
        <w:rPr>
          <w:rFonts w:ascii="Calibri" w:eastAsia="Calibri" w:hAnsi="Calibri" w:cs="Calibri"/>
          <w:b/>
          <w:sz w:val="28"/>
          <w:szCs w:val="28"/>
          <w:lang w:val="en-US"/>
        </w:rPr>
        <w:t xml:space="preserve">Accountability, Transparency and Diversity Reviews </w:t>
      </w:r>
      <w:r w:rsidRPr="002166A3">
        <w:rPr>
          <w:rFonts w:ascii="Calibri" w:eastAsia="Calibri" w:hAnsi="Calibri" w:cs="Calibri"/>
          <w:sz w:val="28"/>
          <w:szCs w:val="28"/>
          <w:lang w:val="en-US"/>
        </w:rPr>
        <w:t xml:space="preserve">and of the Structural Reviews into </w:t>
      </w:r>
      <w:r w:rsidRPr="002166A3">
        <w:rPr>
          <w:rFonts w:ascii="Calibri" w:eastAsia="Calibri" w:hAnsi="Calibri" w:cs="Calibri"/>
          <w:b/>
          <w:sz w:val="28"/>
          <w:szCs w:val="28"/>
          <w:lang w:val="en-US"/>
        </w:rPr>
        <w:t>Structural Accountability, Transparency and Diversity Reviews of SO/ACs</w:t>
      </w:r>
      <w:r w:rsidR="008C00FF">
        <w:rPr>
          <w:rFonts w:ascii="Calibri" w:eastAsia="Calibri" w:hAnsi="Calibri" w:cs="Calibri"/>
          <w:b/>
          <w:sz w:val="28"/>
          <w:szCs w:val="28"/>
          <w:lang w:val="en-US"/>
        </w:rPr>
        <w:t xml:space="preserve"> </w:t>
      </w:r>
      <w:r w:rsidR="008C00FF">
        <w:rPr>
          <w:rFonts w:ascii="Calibri" w:eastAsia="Calibri" w:hAnsi="Calibri" w:cs="Calibri"/>
          <w:sz w:val="28"/>
          <w:szCs w:val="28"/>
          <w:lang w:val="en-US"/>
        </w:rPr>
        <w:t>as part of WS2</w:t>
      </w:r>
      <w:r w:rsidRPr="002166A3">
        <w:rPr>
          <w:rFonts w:ascii="Calibri" w:eastAsia="Calibri" w:hAnsi="Calibri" w:cs="Calibri"/>
          <w:b/>
          <w:sz w:val="28"/>
          <w:szCs w:val="28"/>
          <w:lang w:val="en-US"/>
        </w:rPr>
        <w:t>.</w:t>
      </w:r>
    </w:p>
    <w:p w:rsidR="001127AE" w:rsidRPr="002166A3" w:rsidRDefault="002166A3">
      <w:pPr>
        <w:pStyle w:val="Normal1"/>
        <w:ind w:hanging="360"/>
        <w:jc w:val="both"/>
        <w:rPr>
          <w:lang w:val="en-US"/>
        </w:rPr>
      </w:pPr>
      <w:r w:rsidRPr="002166A3">
        <w:rPr>
          <w:rFonts w:ascii="Calibri" w:eastAsia="Calibri" w:hAnsi="Calibri" w:cs="Calibri"/>
          <w:sz w:val="28"/>
          <w:szCs w:val="28"/>
          <w:lang w:val="en-US"/>
        </w:rPr>
        <w:t>3.</w:t>
      </w:r>
      <w:r w:rsidRPr="002166A3">
        <w:rPr>
          <w:rFonts w:ascii="Times New Roman" w:eastAsia="Times New Roman" w:hAnsi="Times New Roman" w:cs="Times New Roman"/>
          <w:sz w:val="14"/>
          <w:szCs w:val="14"/>
          <w:lang w:val="en-US"/>
        </w:rPr>
        <w:tab/>
      </w:r>
      <w:r w:rsidR="008C00FF">
        <w:rPr>
          <w:rFonts w:asciiTheme="majorHAnsi" w:eastAsia="Times New Roman" w:hAnsiTheme="majorHAnsi" w:cs="Times New Roman"/>
          <w:sz w:val="28"/>
          <w:szCs w:val="28"/>
          <w:lang w:val="en-US"/>
        </w:rPr>
        <w:t>Perform, as part of WS2, a more detailed r</w:t>
      </w:r>
      <w:r w:rsidRPr="002166A3">
        <w:rPr>
          <w:rFonts w:ascii="Calibri" w:eastAsia="Calibri" w:hAnsi="Calibri" w:cs="Calibri"/>
          <w:sz w:val="28"/>
          <w:szCs w:val="28"/>
          <w:lang w:val="en-US"/>
        </w:rPr>
        <w:t xml:space="preserve">eview </w:t>
      </w:r>
      <w:r w:rsidR="008C00FF">
        <w:rPr>
          <w:rFonts w:ascii="Calibri" w:eastAsia="Calibri" w:hAnsi="Calibri" w:cs="Calibri"/>
          <w:sz w:val="28"/>
          <w:szCs w:val="28"/>
          <w:lang w:val="en-US"/>
        </w:rPr>
        <w:t>to</w:t>
      </w:r>
      <w:r w:rsidRPr="002166A3">
        <w:rPr>
          <w:rFonts w:ascii="Calibri" w:eastAsia="Calibri" w:hAnsi="Calibri" w:cs="Calibri"/>
          <w:sz w:val="28"/>
          <w:szCs w:val="28"/>
          <w:lang w:val="en-US"/>
        </w:rPr>
        <w:t xml:space="preserve"> establish a full inventory of the existing mechanisms related to diversity </w:t>
      </w:r>
      <w:bookmarkStart w:id="9" w:name="_GoBack"/>
      <w:bookmarkEnd w:id="9"/>
      <w:r w:rsidRPr="002166A3">
        <w:rPr>
          <w:rFonts w:ascii="Calibri" w:eastAsia="Calibri" w:hAnsi="Calibri" w:cs="Calibri"/>
          <w:sz w:val="28"/>
          <w:szCs w:val="28"/>
          <w:lang w:val="en-US"/>
        </w:rPr>
        <w:t>for each and every ICANN group (inclu</w:t>
      </w:r>
      <w:r>
        <w:rPr>
          <w:rFonts w:ascii="Calibri" w:eastAsia="Calibri" w:hAnsi="Calibri" w:cs="Calibri"/>
          <w:sz w:val="28"/>
          <w:szCs w:val="28"/>
          <w:lang w:val="en-US"/>
        </w:rPr>
        <w:t>ding SHG, Constituencies, R</w:t>
      </w:r>
      <w:r w:rsidR="008C00FF">
        <w:rPr>
          <w:rFonts w:ascii="Calibri" w:eastAsia="Calibri" w:hAnsi="Calibri" w:cs="Calibri"/>
          <w:sz w:val="28"/>
          <w:szCs w:val="28"/>
          <w:lang w:val="en-US"/>
        </w:rPr>
        <w:t>ALOs, the</w:t>
      </w:r>
      <w:r w:rsidRPr="002166A3">
        <w:rPr>
          <w:rFonts w:ascii="Calibri" w:eastAsia="Calibri" w:hAnsi="Calibri" w:cs="Calibri"/>
          <w:sz w:val="28"/>
          <w:szCs w:val="28"/>
          <w:lang w:val="en-US"/>
        </w:rPr>
        <w:t xml:space="preserve"> Fellowship program and</w:t>
      </w:r>
      <w:r w:rsidR="008C00FF">
        <w:rPr>
          <w:rFonts w:ascii="Calibri" w:eastAsia="Calibri" w:hAnsi="Calibri" w:cs="Calibri"/>
          <w:sz w:val="28"/>
          <w:szCs w:val="28"/>
          <w:lang w:val="en-US"/>
        </w:rPr>
        <w:t xml:space="preserve"> other ICANN outreach programs), as after an initial </w:t>
      </w:r>
      <w:r w:rsidRPr="002166A3">
        <w:rPr>
          <w:rFonts w:ascii="Calibri" w:eastAsia="Calibri" w:hAnsi="Calibri" w:cs="Calibri"/>
          <w:sz w:val="28"/>
          <w:szCs w:val="28"/>
          <w:lang w:val="en-US"/>
        </w:rPr>
        <w:t>review of the current documents, it is clear that they do not address the full concerns raised by the larger community on the diversity issue.</w:t>
      </w:r>
      <w:r w:rsidRPr="002166A3">
        <w:rPr>
          <w:rFonts w:ascii="Calibri" w:eastAsia="Calibri" w:hAnsi="Calibri" w:cs="Calibri"/>
          <w:sz w:val="28"/>
          <w:szCs w:val="28"/>
          <w:highlight w:val="white"/>
          <w:lang w:val="en-US"/>
        </w:rPr>
        <w:t xml:space="preserve"> </w:t>
      </w:r>
    </w:p>
    <w:p w:rsidR="001127AE" w:rsidRPr="002166A3" w:rsidRDefault="002166A3">
      <w:pPr>
        <w:pStyle w:val="Normal1"/>
        <w:ind w:hanging="360"/>
        <w:jc w:val="both"/>
        <w:rPr>
          <w:lang w:val="en-US"/>
        </w:rPr>
      </w:pPr>
      <w:r w:rsidRPr="002166A3">
        <w:rPr>
          <w:rFonts w:ascii="Calibri" w:eastAsia="Calibri" w:hAnsi="Calibri" w:cs="Calibri"/>
          <w:sz w:val="28"/>
          <w:szCs w:val="28"/>
          <w:lang w:val="en-US"/>
        </w:rPr>
        <w:lastRenderedPageBreak/>
        <w:t>4.</w:t>
      </w:r>
      <w:r w:rsidRPr="002166A3">
        <w:rPr>
          <w:rFonts w:ascii="Calibri" w:eastAsia="Calibri" w:hAnsi="Calibri" w:cs="Calibri"/>
          <w:sz w:val="28"/>
          <w:szCs w:val="28"/>
          <w:lang w:val="en-US"/>
        </w:rPr>
        <w:tab/>
        <w:t>Identify the possible structures that could follow, promote and support the strengthening of diversity within ICANN.</w:t>
      </w:r>
    </w:p>
    <w:p w:rsidR="001127AE" w:rsidRPr="002166A3" w:rsidRDefault="002166A3">
      <w:pPr>
        <w:pStyle w:val="Normal1"/>
        <w:ind w:hanging="360"/>
        <w:jc w:val="both"/>
        <w:rPr>
          <w:lang w:val="en-US"/>
        </w:rPr>
      </w:pPr>
      <w:r w:rsidRPr="002166A3">
        <w:rPr>
          <w:rFonts w:ascii="Calibri" w:eastAsia="Calibri" w:hAnsi="Calibri" w:cs="Calibri"/>
          <w:sz w:val="28"/>
          <w:szCs w:val="28"/>
          <w:lang w:val="en-US"/>
        </w:rPr>
        <w:t>5.</w:t>
      </w:r>
      <w:r w:rsidRPr="002166A3">
        <w:rPr>
          <w:rFonts w:ascii="Times New Roman" w:eastAsia="Times New Roman" w:hAnsi="Times New Roman" w:cs="Times New Roman"/>
          <w:sz w:val="14"/>
          <w:szCs w:val="14"/>
          <w:lang w:val="en-US"/>
        </w:rPr>
        <w:tab/>
      </w:r>
      <w:r w:rsidR="00A01678">
        <w:rPr>
          <w:rFonts w:ascii="Calibri" w:eastAsia="Calibri" w:hAnsi="Calibri" w:cs="Calibri"/>
          <w:sz w:val="28"/>
          <w:szCs w:val="28"/>
          <w:lang w:val="en-US"/>
        </w:rPr>
        <w:t>C</w:t>
      </w:r>
      <w:r w:rsidRPr="002166A3">
        <w:rPr>
          <w:rFonts w:ascii="Calibri" w:eastAsia="Calibri" w:hAnsi="Calibri" w:cs="Calibri"/>
          <w:sz w:val="28"/>
          <w:szCs w:val="28"/>
          <w:lang w:val="en-US"/>
        </w:rPr>
        <w:t>arry out a detailed working plan on enhancing ICANN diversity as part of WS2.</w:t>
      </w:r>
    </w:p>
    <w:p w:rsidR="001127AE" w:rsidRPr="002166A3" w:rsidRDefault="002166A3">
      <w:pPr>
        <w:pStyle w:val="Normal1"/>
        <w:ind w:hanging="360"/>
        <w:jc w:val="both"/>
        <w:rPr>
          <w:lang w:val="en-US"/>
        </w:rPr>
      </w:pPr>
      <w:r w:rsidRPr="002166A3">
        <w:rPr>
          <w:rFonts w:ascii="Calibri" w:eastAsia="Calibri" w:hAnsi="Calibri" w:cs="Calibri"/>
          <w:sz w:val="28"/>
          <w:szCs w:val="28"/>
          <w:lang w:val="en-US"/>
        </w:rPr>
        <w:t>6. Strengthen commitments to outreach and engagement in order to create a more diverse pool of ICANN participants, so that diversity is better reflected in the overall community and thus more naturally reflected in ICANN structures and leadership positions.</w:t>
      </w:r>
    </w:p>
    <w:p w:rsidR="001127AE" w:rsidRPr="002166A3" w:rsidRDefault="002166A3">
      <w:pPr>
        <w:pStyle w:val="Normal1"/>
        <w:rPr>
          <w:lang w:val="en-US"/>
        </w:rPr>
      </w:pPr>
      <w:r w:rsidRPr="002166A3">
        <w:rPr>
          <w:rFonts w:ascii="Calibri" w:eastAsia="Calibri" w:hAnsi="Calibri" w:cs="Calibri"/>
          <w:sz w:val="28"/>
          <w:szCs w:val="28"/>
          <w:lang w:val="en-US"/>
        </w:rPr>
        <w:t xml:space="preserve"> </w:t>
      </w:r>
    </w:p>
    <w:p w:rsidR="001127AE" w:rsidRPr="002166A3" w:rsidRDefault="001127AE">
      <w:pPr>
        <w:pStyle w:val="Normal1"/>
        <w:rPr>
          <w:lang w:val="en-US"/>
        </w:rPr>
      </w:pPr>
    </w:p>
    <w:sectPr w:rsidR="001127AE" w:rsidRPr="002166A3">
      <w:headerReference w:type="default" r:id="rId20"/>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102" w:rsidRDefault="00321102">
      <w:pPr>
        <w:spacing w:line="240" w:lineRule="auto"/>
      </w:pPr>
      <w:r>
        <w:separator/>
      </w:r>
    </w:p>
  </w:endnote>
  <w:endnote w:type="continuationSeparator" w:id="0">
    <w:p w:rsidR="00321102" w:rsidRDefault="00321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F63" w:rsidRPr="002166A3" w:rsidRDefault="00572F63">
    <w:pPr>
      <w:pStyle w:val="Normal1"/>
      <w:rPr>
        <w:lang w:val="en-US"/>
      </w:rPr>
    </w:pPr>
    <w:r>
      <w:rPr>
        <w:lang w:val="en-US"/>
      </w:rPr>
      <w:t>23</w:t>
    </w:r>
    <w:r w:rsidRPr="002166A3">
      <w:rPr>
        <w:lang w:val="en-US"/>
      </w:rPr>
      <w:t xml:space="preserve"> Jul 2015</w:t>
    </w:r>
    <w:r w:rsidRPr="002166A3">
      <w:rPr>
        <w:lang w:val="en-US"/>
      </w:rPr>
      <w:tab/>
    </w:r>
    <w:r w:rsidRPr="002166A3">
      <w:rPr>
        <w:lang w:val="en-US"/>
      </w:rPr>
      <w:tab/>
    </w:r>
    <w:r w:rsidRPr="002166A3">
      <w:rPr>
        <w:lang w:val="en-US"/>
      </w:rPr>
      <w:tab/>
    </w:r>
    <w:r w:rsidRPr="002166A3">
      <w:rPr>
        <w:lang w:val="en-US"/>
      </w:rPr>
      <w:tab/>
    </w:r>
    <w:r>
      <w:rPr>
        <w:lang w:val="en-US"/>
      </w:rPr>
      <w:t>Final document</w:t>
    </w:r>
    <w:r w:rsidRPr="002166A3">
      <w:rPr>
        <w:lang w:val="en-US"/>
      </w:rPr>
      <w:tab/>
    </w:r>
    <w:r w:rsidRPr="002166A3">
      <w:rPr>
        <w:lang w:val="en-US"/>
      </w:rPr>
      <w:tab/>
    </w:r>
    <w:r w:rsidRPr="002166A3">
      <w:rPr>
        <w:lang w:val="en-US"/>
      </w:rPr>
      <w:tab/>
    </w:r>
    <w:r w:rsidRPr="002166A3">
      <w:rPr>
        <w:lang w:val="en-US"/>
      </w:rPr>
      <w:tab/>
    </w:r>
    <w:r w:rsidRPr="002166A3">
      <w:rPr>
        <w:lang w:val="en-US"/>
      </w:rPr>
      <w:tab/>
      <w:t xml:space="preserve">page </w:t>
    </w:r>
    <w:r w:rsidRPr="002166A3">
      <w:rPr>
        <w:lang w:val="en-US"/>
      </w:rPr>
      <w:fldChar w:fldCharType="begin"/>
    </w:r>
    <w:r w:rsidRPr="002166A3">
      <w:rPr>
        <w:lang w:val="en-US"/>
      </w:rPr>
      <w:instrText>PAGE</w:instrText>
    </w:r>
    <w:r w:rsidRPr="002166A3">
      <w:rPr>
        <w:lang w:val="en-US"/>
      </w:rPr>
      <w:fldChar w:fldCharType="separate"/>
    </w:r>
    <w:r w:rsidR="00A01678">
      <w:rPr>
        <w:noProof/>
        <w:lang w:val="en-US"/>
      </w:rPr>
      <w:t>7</w:t>
    </w:r>
    <w:r w:rsidRPr="002166A3">
      <w:rPr>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102" w:rsidRDefault="00321102">
      <w:pPr>
        <w:spacing w:line="240" w:lineRule="auto"/>
      </w:pPr>
      <w:r>
        <w:separator/>
      </w:r>
    </w:p>
  </w:footnote>
  <w:footnote w:type="continuationSeparator" w:id="0">
    <w:p w:rsidR="00321102" w:rsidRDefault="00321102">
      <w:pPr>
        <w:spacing w:line="240" w:lineRule="auto"/>
      </w:pPr>
      <w:r>
        <w:continuationSeparator/>
      </w:r>
    </w:p>
  </w:footnote>
  <w:footnote w:id="1">
    <w:p w:rsidR="00572F63" w:rsidRPr="002166A3" w:rsidRDefault="00572F63">
      <w:pPr>
        <w:pStyle w:val="Normal1"/>
        <w:spacing w:line="240" w:lineRule="auto"/>
        <w:rPr>
          <w:lang w:val="en-US"/>
        </w:rPr>
      </w:pPr>
      <w:r>
        <w:rPr>
          <w:vertAlign w:val="superscript"/>
        </w:rPr>
        <w:footnoteRef/>
      </w:r>
      <w:r w:rsidRPr="00E74D6D">
        <w:rPr>
          <w:sz w:val="20"/>
          <w:szCs w:val="20"/>
          <w:lang w:val="en-US"/>
        </w:rPr>
        <w:t xml:space="preserve"> </w:t>
      </w:r>
      <w:r w:rsidRPr="002166A3">
        <w:rPr>
          <w:sz w:val="20"/>
          <w:szCs w:val="20"/>
          <w:lang w:val="en-US"/>
        </w:rPr>
        <w:t>Comments that included reference to diversity came from:</w:t>
      </w:r>
    </w:p>
    <w:p w:rsidR="00572F63" w:rsidRPr="002166A3" w:rsidRDefault="00572F63">
      <w:pPr>
        <w:pStyle w:val="Normal1"/>
        <w:spacing w:line="240" w:lineRule="auto"/>
        <w:rPr>
          <w:lang w:val="en-US"/>
        </w:rPr>
      </w:pPr>
      <w:r>
        <w:rPr>
          <w:sz w:val="20"/>
          <w:szCs w:val="20"/>
          <w:lang w:val="en-US"/>
        </w:rPr>
        <w:t xml:space="preserve">AFNIC, </w:t>
      </w:r>
      <w:proofErr w:type="spellStart"/>
      <w:r>
        <w:rPr>
          <w:sz w:val="20"/>
          <w:szCs w:val="20"/>
          <w:lang w:val="en-US"/>
        </w:rPr>
        <w:t>Gov</w:t>
      </w:r>
      <w:proofErr w:type="spellEnd"/>
      <w:r>
        <w:rPr>
          <w:sz w:val="20"/>
          <w:szCs w:val="20"/>
          <w:lang w:val="en-US"/>
        </w:rPr>
        <w:t>:</w:t>
      </w:r>
      <w:r w:rsidRPr="002166A3">
        <w:rPr>
          <w:sz w:val="20"/>
          <w:szCs w:val="20"/>
          <w:lang w:val="en-US"/>
        </w:rPr>
        <w:t xml:space="preserve"> ES - BR - IN - FR, CCG, </w:t>
      </w:r>
      <w:proofErr w:type="spellStart"/>
      <w:r w:rsidRPr="002166A3">
        <w:rPr>
          <w:sz w:val="20"/>
          <w:szCs w:val="20"/>
          <w:lang w:val="en-US"/>
        </w:rPr>
        <w:t>Linx</w:t>
      </w:r>
      <w:proofErr w:type="spellEnd"/>
      <w:r w:rsidRPr="002166A3">
        <w:rPr>
          <w:sz w:val="20"/>
          <w:szCs w:val="20"/>
          <w:lang w:val="en-US"/>
        </w:rPr>
        <w:t>, JPNIC, IPC, ZR, Jan Scholte, Eco, BC, ISPCP, Board, SBT</w:t>
      </w:r>
    </w:p>
  </w:footnote>
  <w:footnote w:id="2">
    <w:p w:rsidR="00572F63" w:rsidRPr="002166A3" w:rsidRDefault="00572F63">
      <w:pPr>
        <w:pStyle w:val="Normal1"/>
        <w:spacing w:line="240" w:lineRule="auto"/>
        <w:rPr>
          <w:lang w:val="en-US"/>
        </w:rPr>
      </w:pPr>
      <w:r>
        <w:rPr>
          <w:vertAlign w:val="superscript"/>
        </w:rPr>
        <w:footnoteRef/>
      </w:r>
      <w:r w:rsidRPr="00E74D6D">
        <w:rPr>
          <w:rFonts w:ascii="Calibri" w:eastAsia="Calibri" w:hAnsi="Calibri" w:cs="Calibri"/>
          <w:sz w:val="28"/>
          <w:szCs w:val="28"/>
          <w:highlight w:val="white"/>
          <w:lang w:val="en-US"/>
        </w:rPr>
        <w:t xml:space="preserve"> </w:t>
      </w:r>
      <w:r w:rsidRPr="002166A3">
        <w:rPr>
          <w:rFonts w:ascii="Calibri" w:eastAsia="Calibri" w:hAnsi="Calibri" w:cs="Calibri"/>
          <w:sz w:val="28"/>
          <w:szCs w:val="28"/>
          <w:highlight w:val="white"/>
          <w:lang w:val="en-US"/>
        </w:rPr>
        <w:t>Some in the work party argues that the list should be ordered. Initial discussions about ordering the diversity elements in terms of priority indicated that it would be challenging to find consensus on any ordered list.</w:t>
      </w:r>
    </w:p>
  </w:footnote>
  <w:footnote w:id="3">
    <w:p w:rsidR="00572F63" w:rsidRPr="00E74D6D" w:rsidRDefault="00572F63">
      <w:pPr>
        <w:pStyle w:val="Normal1"/>
        <w:spacing w:line="240" w:lineRule="auto"/>
        <w:rPr>
          <w:lang w:val="en-US"/>
        </w:rPr>
      </w:pPr>
      <w:r>
        <w:rPr>
          <w:vertAlign w:val="superscript"/>
        </w:rPr>
        <w:footnoteRef/>
      </w:r>
      <w:r w:rsidRPr="00E74D6D">
        <w:rPr>
          <w:sz w:val="20"/>
          <w:szCs w:val="20"/>
          <w:lang w:val="en-US"/>
        </w:rPr>
        <w:t xml:space="preserve"> </w:t>
      </w:r>
      <w:hyperlink r:id="rId1">
        <w:r w:rsidRPr="00E74D6D">
          <w:rPr>
            <w:rFonts w:ascii="Calibri" w:eastAsia="Calibri" w:hAnsi="Calibri" w:cs="Calibri"/>
            <w:color w:val="1155CC"/>
            <w:sz w:val="28"/>
            <w:szCs w:val="28"/>
            <w:highlight w:val="white"/>
            <w:u w:val="single"/>
            <w:lang w:val="en-US"/>
          </w:rPr>
          <w:t>https://www.nro.net/about-the-nro/the-nro-number-council</w:t>
        </w:r>
      </w:hyperlink>
    </w:p>
  </w:footnote>
  <w:footnote w:id="4">
    <w:p w:rsidR="00572F63" w:rsidRPr="00E74D6D" w:rsidRDefault="00572F63">
      <w:pPr>
        <w:pStyle w:val="Normal1"/>
        <w:spacing w:line="240" w:lineRule="auto"/>
        <w:rPr>
          <w:lang w:val="en-US"/>
        </w:rPr>
      </w:pPr>
      <w:r>
        <w:rPr>
          <w:vertAlign w:val="superscript"/>
        </w:rPr>
        <w:footnoteRef/>
      </w:r>
      <w:r w:rsidRPr="00E74D6D">
        <w:rPr>
          <w:sz w:val="20"/>
          <w:szCs w:val="20"/>
          <w:lang w:val="en-US"/>
        </w:rPr>
        <w:t xml:space="preserve"> </w:t>
      </w:r>
      <w:hyperlink r:id="rId2">
        <w:r w:rsidRPr="00E74D6D">
          <w:rPr>
            <w:rFonts w:ascii="Calibri" w:eastAsia="Calibri" w:hAnsi="Calibri" w:cs="Calibri"/>
            <w:color w:val="1155CC"/>
            <w:sz w:val="28"/>
            <w:szCs w:val="28"/>
            <w:highlight w:val="white"/>
            <w:u w:val="single"/>
            <w:lang w:val="en-US"/>
          </w:rPr>
          <w:t>http://archive.icann.org/en/aso/aso-mou-29oct04.htm</w:t>
        </w:r>
      </w:hyperlink>
    </w:p>
    <w:p w:rsidR="00572F63" w:rsidRPr="00E74D6D" w:rsidRDefault="00572F63">
      <w:pPr>
        <w:pStyle w:val="Normal1"/>
        <w:spacing w:line="240" w:lineRule="auto"/>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F63" w:rsidRPr="002166A3" w:rsidRDefault="00572F63">
    <w:pPr>
      <w:pStyle w:val="Normal1"/>
      <w:rPr>
        <w:lang w:val="en-US"/>
      </w:rPr>
    </w:pPr>
    <w:r>
      <w:rPr>
        <w:b/>
        <w:lang w:val="en-US"/>
      </w:rPr>
      <w:t>Final</w:t>
    </w:r>
    <w:r w:rsidRPr="002166A3">
      <w:rPr>
        <w:lang w:val="en-US"/>
      </w:rPr>
      <w:tab/>
    </w:r>
    <w:r w:rsidRPr="002166A3">
      <w:rPr>
        <w:lang w:val="en-US"/>
      </w:rPr>
      <w:tab/>
    </w:r>
    <w:r w:rsidRPr="002166A3">
      <w:rPr>
        <w:lang w:val="en-US"/>
      </w:rPr>
      <w:tab/>
    </w:r>
    <w:r w:rsidRPr="002166A3">
      <w:rPr>
        <w:lang w:val="en-US"/>
      </w:rPr>
      <w:tab/>
    </w:r>
    <w:r w:rsidRPr="002166A3">
      <w:rPr>
        <w:lang w:val="en-US"/>
      </w:rPr>
      <w:tab/>
    </w:r>
    <w:r w:rsidRPr="002166A3">
      <w:rPr>
        <w:lang w:val="en-US"/>
      </w:rPr>
      <w:tab/>
    </w:r>
    <w:r w:rsidRPr="002166A3">
      <w:rPr>
        <w:lang w:val="en-US"/>
      </w:rPr>
      <w:tab/>
    </w:r>
    <w:r w:rsidRPr="002166A3">
      <w:rPr>
        <w:lang w:val="en-US"/>
      </w:rPr>
      <w:tab/>
    </w:r>
    <w:r w:rsidRPr="002166A3">
      <w:rPr>
        <w:lang w:val="en-US"/>
      </w:rPr>
      <w:tab/>
      <w:t>WP3 - Diversity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42EE"/>
    <w:multiLevelType w:val="multilevel"/>
    <w:tmpl w:val="BDA4E7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4F20C3E"/>
    <w:multiLevelType w:val="multilevel"/>
    <w:tmpl w:val="B62E92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AA50E74"/>
    <w:multiLevelType w:val="multilevel"/>
    <w:tmpl w:val="599ACB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A426218"/>
    <w:multiLevelType w:val="multilevel"/>
    <w:tmpl w:val="FC32C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952386C"/>
    <w:multiLevelType w:val="multilevel"/>
    <w:tmpl w:val="70362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127AE"/>
    <w:rsid w:val="001127AE"/>
    <w:rsid w:val="002166A3"/>
    <w:rsid w:val="00285865"/>
    <w:rsid w:val="00321102"/>
    <w:rsid w:val="00572F63"/>
    <w:rsid w:val="008C00FF"/>
    <w:rsid w:val="00914B2D"/>
    <w:rsid w:val="00A01678"/>
    <w:rsid w:val="00AE1D2C"/>
    <w:rsid w:val="00B27CE7"/>
    <w:rsid w:val="00E74D6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Ttulo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Ttulo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contextualSpacing/>
    </w:pPr>
    <w:rPr>
      <w:rFonts w:ascii="Trebuchet MS" w:eastAsia="Trebuchet MS" w:hAnsi="Trebuchet MS" w:cs="Trebuchet MS"/>
      <w:sz w:val="42"/>
      <w:szCs w:val="42"/>
    </w:rPr>
  </w:style>
  <w:style w:type="paragraph" w:styleId="Subttulo">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paragraph" w:styleId="Textocomentario">
    <w:name w:val="annotation text"/>
    <w:basedOn w:val="Normal"/>
    <w:link w:val="TextocomentarioCar"/>
    <w:uiPriority w:val="99"/>
    <w:semiHidden/>
    <w:unhideWhenUsed/>
    <w:pPr>
      <w:spacing w:line="240" w:lineRule="auto"/>
    </w:pPr>
    <w:rPr>
      <w:sz w:val="24"/>
      <w:szCs w:val="24"/>
    </w:rPr>
  </w:style>
  <w:style w:type="character" w:customStyle="1" w:styleId="TextocomentarioCar">
    <w:name w:val="Texto comentario Car"/>
    <w:basedOn w:val="Fuentedeprrafopredeter"/>
    <w:link w:val="Textocomentario"/>
    <w:uiPriority w:val="99"/>
    <w:semiHidden/>
    <w:rPr>
      <w:sz w:val="24"/>
      <w:szCs w:val="24"/>
    </w:rPr>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2166A3"/>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166A3"/>
    <w:rPr>
      <w:rFonts w:ascii="Lucida Grande" w:hAnsi="Lucida Grande"/>
      <w:sz w:val="18"/>
      <w:szCs w:val="18"/>
    </w:rPr>
  </w:style>
  <w:style w:type="paragraph" w:styleId="Encabezado">
    <w:name w:val="header"/>
    <w:basedOn w:val="Normal"/>
    <w:link w:val="EncabezadoCar"/>
    <w:uiPriority w:val="99"/>
    <w:unhideWhenUsed/>
    <w:rsid w:val="002166A3"/>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2166A3"/>
  </w:style>
  <w:style w:type="paragraph" w:styleId="Piedepgina">
    <w:name w:val="footer"/>
    <w:basedOn w:val="Normal"/>
    <w:link w:val="PiedepginaCar"/>
    <w:uiPriority w:val="99"/>
    <w:unhideWhenUsed/>
    <w:rsid w:val="002166A3"/>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2166A3"/>
  </w:style>
  <w:style w:type="paragraph" w:styleId="Asuntodelcomentario">
    <w:name w:val="annotation subject"/>
    <w:basedOn w:val="Textocomentario"/>
    <w:next w:val="Textocomentario"/>
    <w:link w:val="AsuntodelcomentarioCar"/>
    <w:uiPriority w:val="99"/>
    <w:semiHidden/>
    <w:unhideWhenUsed/>
    <w:rsid w:val="00E74D6D"/>
    <w:rPr>
      <w:b/>
      <w:bCs/>
      <w:sz w:val="20"/>
      <w:szCs w:val="20"/>
    </w:rPr>
  </w:style>
  <w:style w:type="character" w:customStyle="1" w:styleId="AsuntodelcomentarioCar">
    <w:name w:val="Asunto del comentario Car"/>
    <w:basedOn w:val="TextocomentarioCar"/>
    <w:link w:val="Asuntodelcomentario"/>
    <w:uiPriority w:val="99"/>
    <w:semiHidden/>
    <w:rsid w:val="00E74D6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Ttulo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Ttulo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contextualSpacing/>
    </w:pPr>
    <w:rPr>
      <w:rFonts w:ascii="Trebuchet MS" w:eastAsia="Trebuchet MS" w:hAnsi="Trebuchet MS" w:cs="Trebuchet MS"/>
      <w:sz w:val="42"/>
      <w:szCs w:val="42"/>
    </w:rPr>
  </w:style>
  <w:style w:type="paragraph" w:styleId="Subttulo">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paragraph" w:styleId="Textocomentario">
    <w:name w:val="annotation text"/>
    <w:basedOn w:val="Normal"/>
    <w:link w:val="TextocomentarioCar"/>
    <w:uiPriority w:val="99"/>
    <w:semiHidden/>
    <w:unhideWhenUsed/>
    <w:pPr>
      <w:spacing w:line="240" w:lineRule="auto"/>
    </w:pPr>
    <w:rPr>
      <w:sz w:val="24"/>
      <w:szCs w:val="24"/>
    </w:rPr>
  </w:style>
  <w:style w:type="character" w:customStyle="1" w:styleId="TextocomentarioCar">
    <w:name w:val="Texto comentario Car"/>
    <w:basedOn w:val="Fuentedeprrafopredeter"/>
    <w:link w:val="Textocomentario"/>
    <w:uiPriority w:val="99"/>
    <w:semiHidden/>
    <w:rPr>
      <w:sz w:val="24"/>
      <w:szCs w:val="24"/>
    </w:rPr>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2166A3"/>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166A3"/>
    <w:rPr>
      <w:rFonts w:ascii="Lucida Grande" w:hAnsi="Lucida Grande"/>
      <w:sz w:val="18"/>
      <w:szCs w:val="18"/>
    </w:rPr>
  </w:style>
  <w:style w:type="paragraph" w:styleId="Encabezado">
    <w:name w:val="header"/>
    <w:basedOn w:val="Normal"/>
    <w:link w:val="EncabezadoCar"/>
    <w:uiPriority w:val="99"/>
    <w:unhideWhenUsed/>
    <w:rsid w:val="002166A3"/>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2166A3"/>
  </w:style>
  <w:style w:type="paragraph" w:styleId="Piedepgina">
    <w:name w:val="footer"/>
    <w:basedOn w:val="Normal"/>
    <w:link w:val="PiedepginaCar"/>
    <w:uiPriority w:val="99"/>
    <w:unhideWhenUsed/>
    <w:rsid w:val="002166A3"/>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2166A3"/>
  </w:style>
  <w:style w:type="paragraph" w:styleId="Asuntodelcomentario">
    <w:name w:val="annotation subject"/>
    <w:basedOn w:val="Textocomentario"/>
    <w:next w:val="Textocomentario"/>
    <w:link w:val="AsuntodelcomentarioCar"/>
    <w:uiPriority w:val="99"/>
    <w:semiHidden/>
    <w:unhideWhenUsed/>
    <w:rsid w:val="00E74D6D"/>
    <w:rPr>
      <w:b/>
      <w:bCs/>
      <w:sz w:val="20"/>
      <w:szCs w:val="20"/>
    </w:rPr>
  </w:style>
  <w:style w:type="character" w:customStyle="1" w:styleId="AsuntodelcomentarioCar">
    <w:name w:val="Asunto del comentario Car"/>
    <w:basedOn w:val="TextocomentarioCar"/>
    <w:link w:val="Asuntodelcomentario"/>
    <w:uiPriority w:val="99"/>
    <w:semiHidden/>
    <w:rsid w:val="00E74D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pages/governance/bylaws-en"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community.icann.org/download/attachments/53782997/affirmation-of-commitments-30sep09-en.pdf?version=1&amp;modificationDate=1435911624000&amp;api=v2" TargetMode="External"/><Relationship Id="rId11" Type="http://schemas.openxmlformats.org/officeDocument/2006/relationships/hyperlink" Target="https://community.icann.org/download/attachments/53782997/final-recommendations-31dec10-en.pdf?version=1&amp;modificationDate=1435911759000&amp;api=v2" TargetMode="External"/><Relationship Id="rId12" Type="http://schemas.openxmlformats.org/officeDocument/2006/relationships/hyperlink" Target="https://community.icann.org/download/attachments/53782997/final-recommendations-31dec13-en.pdf?version=1&amp;modificationDate=1435911871000&amp;api=v2" TargetMode="External"/><Relationship Id="rId13" Type="http://schemas.openxmlformats.org/officeDocument/2006/relationships/hyperlink" Target="https://community.icann.org/download/attachments/53782997/final-recommendations-31dec13-en.pdf?version=1&amp;modificationDate=1435911871000&amp;api=v2" TargetMode="External"/><Relationship Id="rId14" Type="http://schemas.openxmlformats.org/officeDocument/2006/relationships/hyperlink" Target="https://www.icann.org/resources/pages/bylaws-2012-02-25-en" TargetMode="External"/><Relationship Id="rId15" Type="http://schemas.openxmlformats.org/officeDocument/2006/relationships/hyperlink" Target="https://www.icann.org/resources/pages/bylaws-2012-02-25-en" TargetMode="External"/><Relationship Id="rId16" Type="http://schemas.openxmlformats.org/officeDocument/2006/relationships/hyperlink" Target="https://www.icann.org/resources/pages/bylaws-2012-02-25-en" TargetMode="External"/><Relationship Id="rId17" Type="http://schemas.openxmlformats.org/officeDocument/2006/relationships/hyperlink" Target="https://www.icann.org/resources/pages/bylaws-2012-02-25-en" TargetMode="External"/><Relationship Id="rId18" Type="http://schemas.openxmlformats.org/officeDocument/2006/relationships/hyperlink" Target="https://www.icann.org/resources/pages/bylaws-2012-02-25-en" TargetMode="External"/><Relationship Id="rId19" Type="http://schemas.openxmlformats.org/officeDocument/2006/relationships/hyperlink" Target="https://www.icann.org/resources/pages/bylaws-2012-02-25-e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x/saw0A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ro.net/about-the-nro/the-nro-number-council" TargetMode="External"/><Relationship Id="rId2" Type="http://schemas.openxmlformats.org/officeDocument/2006/relationships/hyperlink" Target="http://archive.icann.org/en/aso/aso-mou-29oct04.ht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1501</Words>
  <Characters>8257</Characters>
  <Application>Microsoft Macintosh Word</Application>
  <DocSecurity>0</DocSecurity>
  <Lines>68</Lines>
  <Paragraphs>19</Paragraphs>
  <ScaleCrop>false</ScaleCrop>
  <Company>ICANN</Company>
  <LinksUpToDate>false</LinksUpToDate>
  <CharactersWithSpaces>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Weill</dc:creator>
  <cp:lastModifiedBy>León Felipe Sánchez Ambía</cp:lastModifiedBy>
  <cp:revision>2</cp:revision>
  <dcterms:created xsi:type="dcterms:W3CDTF">2015-07-24T18:11:00Z</dcterms:created>
  <dcterms:modified xsi:type="dcterms:W3CDTF">2015-07-24T18:11:00Z</dcterms:modified>
</cp:coreProperties>
</file>