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3EBD" w:rsidRDefault="006D2016">
      <w:pPr>
        <w:pStyle w:val="normal0"/>
        <w:jc w:val="center"/>
      </w:pPr>
      <w:r>
        <w:rPr>
          <w:b/>
        </w:rPr>
        <w:t>Staff Accountability</w:t>
      </w:r>
    </w:p>
    <w:p w:rsidR="00163EBD" w:rsidRDefault="006D2016">
      <w:pPr>
        <w:pStyle w:val="normal0"/>
        <w:jc w:val="center"/>
      </w:pPr>
      <w:r>
        <w:rPr>
          <w:b/>
        </w:rPr>
        <w:t xml:space="preserve"> </w:t>
      </w:r>
    </w:p>
    <w:p w:rsidR="00163EBD" w:rsidRDefault="006D2016">
      <w:pPr>
        <w:pStyle w:val="normal0"/>
        <w:jc w:val="both"/>
      </w:pPr>
      <w:r>
        <w:t>During the first public com</w:t>
      </w:r>
      <w:bookmarkStart w:id="0" w:name="_GoBack"/>
      <w:bookmarkEnd w:id="0"/>
      <w:r>
        <w:t>ment period on the draft document built by the CCWG, there were several comments with regards to ICANN staff accountability and how the proposed mechanisms, so far, centered their impact only in ICANN’s Board of Directors.</w:t>
      </w:r>
    </w:p>
    <w:p w:rsidR="00163EBD" w:rsidRDefault="006D2016">
      <w:pPr>
        <w:pStyle w:val="normal0"/>
        <w:jc w:val="both"/>
      </w:pPr>
      <w:r>
        <w:t xml:space="preserve"> </w:t>
      </w:r>
    </w:p>
    <w:p w:rsidR="00163EBD" w:rsidRDefault="006D2016">
      <w:pPr>
        <w:pStyle w:val="normal0"/>
        <w:jc w:val="both"/>
      </w:pPr>
      <w:r>
        <w:t xml:space="preserve">The </w:t>
      </w:r>
      <w:r>
        <w:t>comment made by CENTR recommends that an “accountability literacy, culture and attitude” is fostered by not only establishing but also disclosing existing programs on  training and audit  for ICANN staff in order to have staff be accountable on their day-t</w:t>
      </w:r>
      <w:r>
        <w:t>o-day actions.</w:t>
      </w:r>
    </w:p>
    <w:p w:rsidR="00163EBD" w:rsidRDefault="006D2016">
      <w:pPr>
        <w:pStyle w:val="normal0"/>
        <w:jc w:val="both"/>
      </w:pPr>
      <w:r>
        <w:t xml:space="preserve"> </w:t>
      </w:r>
    </w:p>
    <w:p w:rsidR="00163EBD" w:rsidRDefault="006D2016">
      <w:pPr>
        <w:pStyle w:val="normal0"/>
        <w:jc w:val="both"/>
      </w:pPr>
      <w:r>
        <w:t>In general, management and staff should be accountable to working for the benefit of the community and in line with ICANN’s purpose and mission. While it is obvious that they report to the Board (the President &amp; CEO) or the President &amp; CEO</w:t>
      </w:r>
      <w:r>
        <w:t xml:space="preserve"> (management &amp; staff), the purpose of their accountability is the same as that of the Organization:</w:t>
      </w:r>
    </w:p>
    <w:p w:rsidR="00163EBD" w:rsidRDefault="006D2016">
      <w:pPr>
        <w:pStyle w:val="normal0"/>
        <w:jc w:val="both"/>
      </w:pPr>
      <w:r>
        <w:t xml:space="preserve"> </w:t>
      </w:r>
    </w:p>
    <w:p w:rsidR="00163EBD" w:rsidRDefault="006D2016">
      <w:pPr>
        <w:pStyle w:val="normal0"/>
        <w:ind w:left="720" w:hanging="360"/>
        <w:jc w:val="both"/>
      </w:pPr>
      <w:r>
        <w:t>-</w:t>
      </w:r>
      <w:r>
        <w:rPr>
          <w:rFonts w:ascii="Times New Roman" w:eastAsia="Times New Roman" w:hAnsi="Times New Roman" w:cs="Times New Roman"/>
          <w:sz w:val="14"/>
          <w:szCs w:val="14"/>
        </w:rPr>
        <w:t xml:space="preserve">       </w:t>
      </w:r>
      <w:r>
        <w:t>Complying with ICANN’s rules and processes;</w:t>
      </w:r>
    </w:p>
    <w:p w:rsidR="00163EBD" w:rsidRDefault="006D2016">
      <w:pPr>
        <w:pStyle w:val="normal0"/>
        <w:ind w:left="720" w:hanging="360"/>
        <w:jc w:val="both"/>
      </w:pPr>
      <w:r>
        <w:t>-</w:t>
      </w:r>
      <w:r>
        <w:rPr>
          <w:rFonts w:ascii="Times New Roman" w:eastAsia="Times New Roman" w:hAnsi="Times New Roman" w:cs="Times New Roman"/>
          <w:sz w:val="14"/>
          <w:szCs w:val="14"/>
        </w:rPr>
        <w:t xml:space="preserve">       </w:t>
      </w:r>
      <w:r>
        <w:t>Comply with applicable legislation;</w:t>
      </w:r>
    </w:p>
    <w:p w:rsidR="00163EBD" w:rsidRDefault="006D2016">
      <w:pPr>
        <w:pStyle w:val="normal0"/>
        <w:ind w:left="720" w:hanging="360"/>
        <w:jc w:val="both"/>
      </w:pPr>
      <w:r>
        <w:t>-</w:t>
      </w:r>
      <w:r>
        <w:rPr>
          <w:rFonts w:ascii="Times New Roman" w:eastAsia="Times New Roman" w:hAnsi="Times New Roman" w:cs="Times New Roman"/>
          <w:sz w:val="14"/>
          <w:szCs w:val="14"/>
        </w:rPr>
        <w:t xml:space="preserve">       </w:t>
      </w:r>
      <w:r>
        <w:t>Achieve certain levels of performance as well as s</w:t>
      </w:r>
      <w:r>
        <w:t>ecurity;</w:t>
      </w:r>
    </w:p>
    <w:p w:rsidR="00163EBD" w:rsidRDefault="006D2016">
      <w:pPr>
        <w:pStyle w:val="normal0"/>
        <w:ind w:left="720" w:hanging="360"/>
        <w:jc w:val="both"/>
      </w:pPr>
      <w:r>
        <w:t>-</w:t>
      </w:r>
      <w:r>
        <w:rPr>
          <w:rFonts w:ascii="Times New Roman" w:eastAsia="Times New Roman" w:hAnsi="Times New Roman" w:cs="Times New Roman"/>
          <w:sz w:val="14"/>
          <w:szCs w:val="14"/>
        </w:rPr>
        <w:t xml:space="preserve">  </w:t>
      </w:r>
      <w:r>
        <w:t>Make their decisions for the benefit of the community and not in the interest of a particular stakeholder or set of stakeholders or ICANN the organization alone.</w:t>
      </w:r>
    </w:p>
    <w:p w:rsidR="00163EBD" w:rsidRDefault="006D2016">
      <w:pPr>
        <w:pStyle w:val="normal0"/>
        <w:jc w:val="both"/>
      </w:pPr>
      <w:r>
        <w:t xml:space="preserve"> </w:t>
      </w:r>
    </w:p>
    <w:p w:rsidR="00163EBD" w:rsidRDefault="006D2016">
      <w:pPr>
        <w:pStyle w:val="normal0"/>
        <w:jc w:val="both"/>
      </w:pPr>
      <w:r>
        <w:t>After considering the comments received by the community, the CCWG established W</w:t>
      </w:r>
      <w:r>
        <w:t>P3 to propose ways to address the concerns raised during the first public comment period.</w:t>
      </w:r>
    </w:p>
    <w:p w:rsidR="00163EBD" w:rsidRDefault="006D2016">
      <w:pPr>
        <w:pStyle w:val="normal0"/>
        <w:jc w:val="both"/>
      </w:pPr>
      <w:r>
        <w:t xml:space="preserve"> </w:t>
      </w:r>
    </w:p>
    <w:p w:rsidR="00163EBD" w:rsidRDefault="006D2016">
      <w:pPr>
        <w:pStyle w:val="normal0"/>
        <w:jc w:val="both"/>
      </w:pPr>
      <w:r>
        <w:t>As a result of this work, WP3 divided its work into the following steps:</w:t>
      </w:r>
    </w:p>
    <w:p w:rsidR="00163EBD" w:rsidRDefault="006D2016">
      <w:pPr>
        <w:pStyle w:val="normal0"/>
        <w:jc w:val="both"/>
      </w:pPr>
      <w:r>
        <w:t xml:space="preserve"> </w:t>
      </w:r>
    </w:p>
    <w:p w:rsidR="00163EBD" w:rsidRDefault="006D2016">
      <w:pPr>
        <w:pStyle w:val="normal0"/>
        <w:ind w:left="720" w:hanging="360"/>
        <w:jc w:val="both"/>
      </w:pPr>
      <w:r>
        <w:t>1.</w:t>
      </w:r>
      <w:r>
        <w:rPr>
          <w:rFonts w:ascii="Times New Roman" w:eastAsia="Times New Roman" w:hAnsi="Times New Roman" w:cs="Times New Roman"/>
          <w:sz w:val="14"/>
          <w:szCs w:val="14"/>
        </w:rPr>
        <w:t xml:space="preserve">    </w:t>
      </w:r>
      <w:r>
        <w:t>Identify the existing accountability mechanisms in place applicable to ICANN staff.</w:t>
      </w:r>
    </w:p>
    <w:p w:rsidR="00163EBD" w:rsidRDefault="006D2016">
      <w:pPr>
        <w:pStyle w:val="normal0"/>
        <w:ind w:left="720" w:hanging="360"/>
        <w:jc w:val="both"/>
      </w:pPr>
      <w:r>
        <w:t>2.</w:t>
      </w:r>
      <w:r>
        <w:rPr>
          <w:rFonts w:ascii="Times New Roman" w:eastAsia="Times New Roman" w:hAnsi="Times New Roman" w:cs="Times New Roman"/>
          <w:sz w:val="14"/>
          <w:szCs w:val="14"/>
        </w:rPr>
        <w:t xml:space="preserve">    </w:t>
      </w:r>
      <w:r>
        <w:t>Review existing mechanisms in order to assess if they address the concerns expressed by the community during the first public comment period.</w:t>
      </w:r>
    </w:p>
    <w:p w:rsidR="00163EBD" w:rsidRDefault="006D2016">
      <w:pPr>
        <w:pStyle w:val="normal0"/>
        <w:ind w:left="720" w:hanging="360"/>
        <w:jc w:val="both"/>
      </w:pPr>
      <w:r>
        <w:t>3.</w:t>
      </w:r>
      <w:r>
        <w:rPr>
          <w:rFonts w:ascii="Times New Roman" w:eastAsia="Times New Roman" w:hAnsi="Times New Roman" w:cs="Times New Roman"/>
          <w:sz w:val="14"/>
          <w:szCs w:val="14"/>
        </w:rPr>
        <w:t xml:space="preserve">    </w:t>
      </w:r>
      <w:r>
        <w:t>Build a list of activities that should be taken in both WS1 and WS2.</w:t>
      </w:r>
    </w:p>
    <w:p w:rsidR="00163EBD" w:rsidRDefault="006D2016">
      <w:pPr>
        <w:pStyle w:val="normal0"/>
        <w:jc w:val="both"/>
      </w:pPr>
      <w:r>
        <w:t xml:space="preserve"> </w:t>
      </w:r>
    </w:p>
    <w:p w:rsidR="00163EBD" w:rsidRDefault="006D2016">
      <w:pPr>
        <w:pStyle w:val="normal0"/>
        <w:jc w:val="both"/>
      </w:pPr>
      <w:r>
        <w:t>The reviewed documents were:</w:t>
      </w:r>
    </w:p>
    <w:p w:rsidR="00163EBD" w:rsidRDefault="006D2016">
      <w:pPr>
        <w:pStyle w:val="normal0"/>
        <w:jc w:val="both"/>
      </w:pPr>
      <w:r>
        <w:t xml:space="preserve"> </w:t>
      </w:r>
    </w:p>
    <w:p w:rsidR="00163EBD" w:rsidRDefault="006D2016">
      <w:pPr>
        <w:pStyle w:val="normal0"/>
        <w:ind w:left="720" w:hanging="360"/>
        <w:jc w:val="both"/>
      </w:pPr>
      <w:r>
        <w:t>1.</w:t>
      </w:r>
      <w:r>
        <w:rPr>
          <w:rFonts w:ascii="Times New Roman" w:eastAsia="Times New Roman" w:hAnsi="Times New Roman" w:cs="Times New Roman"/>
          <w:sz w:val="14"/>
          <w:szCs w:val="14"/>
        </w:rPr>
        <w:t xml:space="preserve">   </w:t>
      </w:r>
      <w:hyperlink r:id="rId5">
        <w:r>
          <w:rPr>
            <w:rFonts w:ascii="Times New Roman" w:eastAsia="Times New Roman" w:hAnsi="Times New Roman" w:cs="Times New Roman"/>
            <w:sz w:val="14"/>
            <w:szCs w:val="14"/>
          </w:rPr>
          <w:t xml:space="preserve"> </w:t>
        </w:r>
      </w:hyperlink>
      <w:hyperlink r:id="rId6">
        <w:r>
          <w:rPr>
            <w:color w:val="1155CC"/>
            <w:u w:val="single"/>
          </w:rPr>
          <w:t>ICANN bylaws</w:t>
        </w:r>
      </w:hyperlink>
    </w:p>
    <w:p w:rsidR="00163EBD" w:rsidRDefault="006D2016">
      <w:pPr>
        <w:pStyle w:val="normal0"/>
        <w:ind w:left="720" w:hanging="360"/>
        <w:jc w:val="both"/>
      </w:pPr>
      <w:r>
        <w:t>2.</w:t>
      </w:r>
      <w:r>
        <w:rPr>
          <w:rFonts w:ascii="Times New Roman" w:eastAsia="Times New Roman" w:hAnsi="Times New Roman" w:cs="Times New Roman"/>
          <w:sz w:val="14"/>
          <w:szCs w:val="14"/>
        </w:rPr>
        <w:t xml:space="preserve">   </w:t>
      </w:r>
      <w:hyperlink r:id="rId7">
        <w:r>
          <w:rPr>
            <w:rFonts w:ascii="Times New Roman" w:eastAsia="Times New Roman" w:hAnsi="Times New Roman" w:cs="Times New Roman"/>
            <w:sz w:val="14"/>
            <w:szCs w:val="14"/>
          </w:rPr>
          <w:t xml:space="preserve"> </w:t>
        </w:r>
      </w:hyperlink>
      <w:hyperlink r:id="rId8">
        <w:r>
          <w:rPr>
            <w:color w:val="1155CC"/>
            <w:u w:val="single"/>
          </w:rPr>
          <w:t>The Affirmation of Commitments</w:t>
        </w:r>
      </w:hyperlink>
    </w:p>
    <w:p w:rsidR="00163EBD" w:rsidRDefault="006D2016">
      <w:pPr>
        <w:pStyle w:val="normal0"/>
        <w:ind w:left="720" w:hanging="360"/>
        <w:jc w:val="both"/>
      </w:pPr>
      <w:r>
        <w:t>3.</w:t>
      </w:r>
      <w:r>
        <w:rPr>
          <w:rFonts w:ascii="Times New Roman" w:eastAsia="Times New Roman" w:hAnsi="Times New Roman" w:cs="Times New Roman"/>
          <w:sz w:val="14"/>
          <w:szCs w:val="14"/>
        </w:rPr>
        <w:t xml:space="preserve">   </w:t>
      </w:r>
      <w:hyperlink r:id="rId9">
        <w:r>
          <w:rPr>
            <w:rFonts w:ascii="Times New Roman" w:eastAsia="Times New Roman" w:hAnsi="Times New Roman" w:cs="Times New Roman"/>
            <w:sz w:val="14"/>
            <w:szCs w:val="14"/>
          </w:rPr>
          <w:t xml:space="preserve"> </w:t>
        </w:r>
      </w:hyperlink>
      <w:hyperlink r:id="rId10">
        <w:r>
          <w:rPr>
            <w:color w:val="1155CC"/>
            <w:u w:val="single"/>
          </w:rPr>
          <w:t>ATRT 1 recommendations</w:t>
        </w:r>
      </w:hyperlink>
      <w:r>
        <w:t xml:space="preserve"> and</w:t>
      </w:r>
      <w:hyperlink r:id="rId11">
        <w:r>
          <w:t xml:space="preserve"> </w:t>
        </w:r>
      </w:hyperlink>
      <w:hyperlink r:id="rId12">
        <w:r>
          <w:rPr>
            <w:color w:val="1155CC"/>
            <w:u w:val="single"/>
          </w:rPr>
          <w:t>A</w:t>
        </w:r>
        <w:r>
          <w:rPr>
            <w:color w:val="1155CC"/>
            <w:u w:val="single"/>
          </w:rPr>
          <w:t>TRT 2 recommendations</w:t>
        </w:r>
      </w:hyperlink>
    </w:p>
    <w:p w:rsidR="00163EBD" w:rsidRDefault="006D2016">
      <w:pPr>
        <w:pStyle w:val="normal0"/>
        <w:jc w:val="both"/>
      </w:pPr>
      <w:r>
        <w:t xml:space="preserve"> </w:t>
      </w:r>
    </w:p>
    <w:p w:rsidR="00163EBD" w:rsidRDefault="006D2016">
      <w:pPr>
        <w:pStyle w:val="normal0"/>
        <w:jc w:val="both"/>
      </w:pPr>
      <w:r>
        <w:t>A first review of existing ICANN documentation shows that there is almost no provisions that oblige Staff to be held accountable to the SO/ACs or the larger internet community with regards to their actions.</w:t>
      </w:r>
    </w:p>
    <w:p w:rsidR="00163EBD" w:rsidRDefault="006D2016">
      <w:pPr>
        <w:pStyle w:val="normal0"/>
        <w:jc w:val="both"/>
      </w:pPr>
      <w:r>
        <w:t xml:space="preserve"> </w:t>
      </w:r>
    </w:p>
    <w:p w:rsidR="00163EBD" w:rsidRDefault="006D2016">
      <w:pPr>
        <w:pStyle w:val="normal0"/>
        <w:jc w:val="both"/>
      </w:pPr>
      <w:r>
        <w:t xml:space="preserve">Also, the reviewed documentation shows that most, if not all, mechanisms currently in place are aimed at holding ICANN Board of Directors accountable but they do not refer to Staff as part of </w:t>
      </w:r>
      <w:r>
        <w:lastRenderedPageBreak/>
        <w:t xml:space="preserve">that accountability effort in a way that properly addresses the </w:t>
      </w:r>
      <w:r>
        <w:t>concerns raised by the community during the public comment period.</w:t>
      </w:r>
    </w:p>
    <w:p w:rsidR="00163EBD" w:rsidRDefault="006D2016">
      <w:pPr>
        <w:pStyle w:val="normal0"/>
        <w:jc w:val="both"/>
      </w:pPr>
      <w:r>
        <w:t xml:space="preserve"> </w:t>
      </w:r>
    </w:p>
    <w:p w:rsidR="00163EBD" w:rsidRDefault="006D2016">
      <w:pPr>
        <w:pStyle w:val="normal0"/>
        <w:jc w:val="both"/>
      </w:pPr>
      <w:r>
        <w:t>An inventory of existing accountability mechanisms shows that documents reviewed include the following mechanisms:</w:t>
      </w:r>
    </w:p>
    <w:p w:rsidR="00163EBD" w:rsidRDefault="006D2016">
      <w:pPr>
        <w:pStyle w:val="normal0"/>
        <w:jc w:val="both"/>
      </w:pPr>
      <w:r>
        <w:t xml:space="preserve"> </w:t>
      </w:r>
    </w:p>
    <w:p w:rsidR="00163EBD" w:rsidRDefault="006D2016">
      <w:pPr>
        <w:pStyle w:val="normal0"/>
        <w:jc w:val="both"/>
      </w:pPr>
      <w:r>
        <w:rPr>
          <w:b/>
        </w:rPr>
        <w:t>Affirmation of commitments.-</w:t>
      </w:r>
    </w:p>
    <w:p w:rsidR="00163EBD" w:rsidRDefault="006D2016">
      <w:pPr>
        <w:pStyle w:val="normal0"/>
        <w:jc w:val="both"/>
      </w:pPr>
      <w:r>
        <w:rPr>
          <w:b/>
        </w:rPr>
        <w:t xml:space="preserve"> </w:t>
      </w:r>
    </w:p>
    <w:p w:rsidR="00163EBD" w:rsidRDefault="006D2016">
      <w:pPr>
        <w:pStyle w:val="normal0"/>
        <w:jc w:val="both"/>
      </w:pPr>
      <w:r>
        <w:t>The AoC includes some key commitments t</w:t>
      </w:r>
      <w:r>
        <w:t xml:space="preserve">hat while oriented to ICANN as an organization, are centered in commitments undertaken by the Board of Directors and not necessarily by Staff. Therefore, while recognizing that Staff is part of ICANN the Organization, there should be specific expectations </w:t>
      </w:r>
      <w:r>
        <w:t>and commitments established for Staff to be held accountable not only to the internal hierarchy of the Organization but also to those SO/ACs and the larger internet community to which their day-to-day actions should benefit.</w:t>
      </w:r>
    </w:p>
    <w:p w:rsidR="00163EBD" w:rsidRDefault="006D2016">
      <w:pPr>
        <w:pStyle w:val="normal0"/>
        <w:jc w:val="both"/>
      </w:pPr>
      <w:r>
        <w:t xml:space="preserve"> </w:t>
      </w:r>
    </w:p>
    <w:p w:rsidR="00163EBD" w:rsidRDefault="006D2016">
      <w:pPr>
        <w:pStyle w:val="normal0"/>
        <w:jc w:val="both"/>
      </w:pPr>
      <w:r>
        <w:t xml:space="preserve">The identified mechanisms or </w:t>
      </w:r>
      <w:r>
        <w:t>criteria by which SO/ACs should conduct their work in relation to the DNS are:</w:t>
      </w:r>
    </w:p>
    <w:p w:rsidR="00163EBD" w:rsidRDefault="006D2016">
      <w:pPr>
        <w:pStyle w:val="normal0"/>
        <w:jc w:val="both"/>
      </w:pPr>
      <w:r>
        <w:t xml:space="preserve"> </w:t>
      </w:r>
    </w:p>
    <w:p w:rsidR="00163EBD" w:rsidRDefault="006D2016">
      <w:pPr>
        <w:pStyle w:val="normal0"/>
        <w:ind w:left="720" w:hanging="360"/>
        <w:jc w:val="both"/>
      </w:pPr>
      <w:r>
        <w:t>a)</w:t>
      </w:r>
      <w:r>
        <w:rPr>
          <w:rFonts w:ascii="Times New Roman" w:eastAsia="Times New Roman" w:hAnsi="Times New Roman" w:cs="Times New Roman"/>
          <w:sz w:val="14"/>
          <w:szCs w:val="14"/>
        </w:rPr>
        <w:t xml:space="preserve">    </w:t>
      </w:r>
      <w:r>
        <w:t>AoC paragraph 9.1 e)</w:t>
      </w:r>
    </w:p>
    <w:p w:rsidR="00163EBD" w:rsidRDefault="006D2016">
      <w:pPr>
        <w:pStyle w:val="normal0"/>
        <w:ind w:left="720" w:hanging="360"/>
        <w:jc w:val="both"/>
      </w:pPr>
      <w:r>
        <w:t>b)  AoC paragraph 7</w:t>
      </w:r>
    </w:p>
    <w:p w:rsidR="00163EBD" w:rsidRDefault="006D2016">
      <w:pPr>
        <w:pStyle w:val="normal0"/>
        <w:jc w:val="both"/>
      </w:pPr>
      <w:r>
        <w:t xml:space="preserve"> </w:t>
      </w:r>
    </w:p>
    <w:p w:rsidR="00163EBD" w:rsidRDefault="006D2016">
      <w:pPr>
        <w:pStyle w:val="normal0"/>
        <w:jc w:val="both"/>
      </w:pPr>
      <w:r>
        <w:rPr>
          <w:b/>
        </w:rPr>
        <w:t>ATRT</w:t>
      </w:r>
    </w:p>
    <w:p w:rsidR="00163EBD" w:rsidRDefault="006D2016">
      <w:pPr>
        <w:pStyle w:val="normal0"/>
        <w:jc w:val="both"/>
      </w:pPr>
      <w:r>
        <w:rPr>
          <w:b/>
        </w:rPr>
        <w:t xml:space="preserve"> </w:t>
      </w:r>
    </w:p>
    <w:p w:rsidR="00163EBD" w:rsidRDefault="006D2016">
      <w:pPr>
        <w:pStyle w:val="normal0"/>
        <w:jc w:val="both"/>
      </w:pPr>
      <w:r>
        <w:t>Although Staff is constantly referred to in the ATRT recommendations, there is no particular recommendation that relate</w:t>
      </w:r>
      <w:r>
        <w:t xml:space="preserve">s directly to Staff accountability. However, one area in which ATRT2 did make recommendation concerning the staff deals with the operation of ‘whistleblowing’ activities by staff, and the need to insure that there is a safe means by which staff can inform </w:t>
      </w:r>
      <w:r>
        <w:t>the community of problems and issue that only they can see.</w:t>
      </w:r>
    </w:p>
    <w:p w:rsidR="00163EBD" w:rsidRDefault="006D2016">
      <w:pPr>
        <w:pStyle w:val="normal0"/>
        <w:jc w:val="both"/>
      </w:pPr>
      <w:r>
        <w:t xml:space="preserve"> </w:t>
      </w:r>
    </w:p>
    <w:p w:rsidR="00163EBD" w:rsidRDefault="006D2016">
      <w:pPr>
        <w:pStyle w:val="normal0"/>
        <w:jc w:val="both"/>
      </w:pPr>
      <w:r>
        <w:rPr>
          <w:b/>
        </w:rPr>
        <w:t>Bylaws</w:t>
      </w:r>
    </w:p>
    <w:p w:rsidR="00163EBD" w:rsidRDefault="006D2016">
      <w:pPr>
        <w:pStyle w:val="normal0"/>
        <w:jc w:val="both"/>
      </w:pPr>
      <w:r>
        <w:t xml:space="preserve"> </w:t>
      </w:r>
    </w:p>
    <w:p w:rsidR="00163EBD" w:rsidRDefault="006D2016">
      <w:pPr>
        <w:pStyle w:val="normal0"/>
        <w:jc w:val="both"/>
      </w:pPr>
      <w:r>
        <w:t>ICANN bylaws establish different mechanisms that subject Staff to be held accountable not only to the ICANN community but also to the larger community outside ICANN. The identified exis</w:t>
      </w:r>
      <w:r>
        <w:t>ting mechanisms are:</w:t>
      </w:r>
    </w:p>
    <w:p w:rsidR="00163EBD" w:rsidRDefault="006D2016">
      <w:pPr>
        <w:pStyle w:val="normal0"/>
        <w:jc w:val="both"/>
      </w:pPr>
      <w:r>
        <w:t xml:space="preserve"> </w:t>
      </w:r>
    </w:p>
    <w:p w:rsidR="00163EBD" w:rsidRDefault="006D2016">
      <w:pPr>
        <w:pStyle w:val="normal0"/>
        <w:ind w:left="720" w:hanging="360"/>
        <w:jc w:val="both"/>
      </w:pPr>
      <w:r>
        <w:t>a)</w:t>
      </w:r>
      <w:r>
        <w:rPr>
          <w:rFonts w:ascii="Times New Roman" w:eastAsia="Times New Roman" w:hAnsi="Times New Roman" w:cs="Times New Roman"/>
          <w:sz w:val="14"/>
          <w:szCs w:val="14"/>
        </w:rPr>
        <w:t xml:space="preserve">    </w:t>
      </w:r>
      <w:r>
        <w:t>Article IV, Section 2.2 a.</w:t>
      </w:r>
    </w:p>
    <w:p w:rsidR="00163EBD" w:rsidRDefault="006D2016">
      <w:pPr>
        <w:pStyle w:val="normal0"/>
        <w:ind w:left="720" w:hanging="360"/>
        <w:jc w:val="both"/>
      </w:pPr>
      <w:r>
        <w:t>b)</w:t>
      </w:r>
      <w:r>
        <w:rPr>
          <w:rFonts w:ascii="Times New Roman" w:eastAsia="Times New Roman" w:hAnsi="Times New Roman" w:cs="Times New Roman"/>
          <w:sz w:val="14"/>
          <w:szCs w:val="14"/>
        </w:rPr>
        <w:t xml:space="preserve">    </w:t>
      </w:r>
      <w:r>
        <w:t>Article IV, Section 2.3 f.</w:t>
      </w:r>
    </w:p>
    <w:p w:rsidR="00163EBD" w:rsidRDefault="006D2016">
      <w:pPr>
        <w:pStyle w:val="normal0"/>
        <w:ind w:left="720" w:hanging="360"/>
        <w:jc w:val="both"/>
      </w:pPr>
      <w:r>
        <w:t>c)</w:t>
      </w:r>
      <w:r>
        <w:rPr>
          <w:rFonts w:ascii="Times New Roman" w:eastAsia="Times New Roman" w:hAnsi="Times New Roman" w:cs="Times New Roman"/>
          <w:sz w:val="14"/>
          <w:szCs w:val="14"/>
        </w:rPr>
        <w:t xml:space="preserve">    </w:t>
      </w:r>
      <w:r>
        <w:t>Article V, Section 2.</w:t>
      </w:r>
    </w:p>
    <w:p w:rsidR="00163EBD" w:rsidRDefault="006D2016">
      <w:pPr>
        <w:pStyle w:val="normal0"/>
        <w:ind w:left="720" w:hanging="360"/>
        <w:jc w:val="both"/>
      </w:pPr>
      <w:r>
        <w:t>d)</w:t>
      </w:r>
      <w:r>
        <w:rPr>
          <w:rFonts w:ascii="Times New Roman" w:eastAsia="Times New Roman" w:hAnsi="Times New Roman" w:cs="Times New Roman"/>
          <w:sz w:val="14"/>
          <w:szCs w:val="14"/>
        </w:rPr>
        <w:t xml:space="preserve">    </w:t>
      </w:r>
      <w:r>
        <w:t>Article XIII, Section 4.</w:t>
      </w:r>
    </w:p>
    <w:p w:rsidR="00163EBD" w:rsidRDefault="00163EBD">
      <w:pPr>
        <w:pStyle w:val="normal0"/>
        <w:ind w:left="720"/>
        <w:jc w:val="both"/>
      </w:pPr>
    </w:p>
    <w:p w:rsidR="00163EBD" w:rsidRDefault="00163EBD">
      <w:pPr>
        <w:pStyle w:val="normal0"/>
        <w:ind w:left="720"/>
        <w:jc w:val="center"/>
      </w:pPr>
    </w:p>
    <w:p w:rsidR="00163EBD" w:rsidRDefault="00163EBD">
      <w:pPr>
        <w:pStyle w:val="normal0"/>
        <w:ind w:left="720"/>
        <w:jc w:val="center"/>
      </w:pPr>
    </w:p>
    <w:p w:rsidR="00163EBD" w:rsidRDefault="00163EBD">
      <w:pPr>
        <w:pStyle w:val="normal0"/>
        <w:ind w:left="720"/>
        <w:jc w:val="center"/>
      </w:pPr>
    </w:p>
    <w:p w:rsidR="006D2016" w:rsidRDefault="006D2016">
      <w:pPr>
        <w:pStyle w:val="normal0"/>
        <w:ind w:left="720"/>
        <w:jc w:val="center"/>
        <w:rPr>
          <w:b/>
        </w:rPr>
      </w:pPr>
    </w:p>
    <w:p w:rsidR="00163EBD" w:rsidRDefault="006D2016">
      <w:pPr>
        <w:pStyle w:val="normal0"/>
        <w:ind w:left="720"/>
        <w:jc w:val="center"/>
      </w:pPr>
      <w:r>
        <w:rPr>
          <w:b/>
        </w:rPr>
        <w:lastRenderedPageBreak/>
        <w:t>Recommendations</w:t>
      </w:r>
      <w:r>
        <w:t xml:space="preserve"> </w:t>
      </w:r>
    </w:p>
    <w:p w:rsidR="00163EBD" w:rsidRDefault="00163EBD">
      <w:pPr>
        <w:pStyle w:val="normal0"/>
        <w:ind w:left="720"/>
        <w:jc w:val="center"/>
      </w:pPr>
    </w:p>
    <w:p w:rsidR="00163EBD" w:rsidRDefault="006D2016">
      <w:pPr>
        <w:pStyle w:val="normal0"/>
        <w:jc w:val="both"/>
      </w:pPr>
      <w:r>
        <w:t>Having reviewed and inventoried the existing mechanisms related to Staff accountability, it is clear that current documents do not address the concerns raised by the larger community on this issue. Therefore, the WP3 suggests that the CCWG takes the follow</w:t>
      </w:r>
      <w:r>
        <w:t>ing actions:</w:t>
      </w:r>
    </w:p>
    <w:p w:rsidR="00163EBD" w:rsidRDefault="006D2016">
      <w:pPr>
        <w:pStyle w:val="normal0"/>
        <w:jc w:val="both"/>
      </w:pPr>
      <w:r>
        <w:t xml:space="preserve"> </w:t>
      </w:r>
    </w:p>
    <w:p w:rsidR="00163EBD" w:rsidRDefault="00163EBD">
      <w:pPr>
        <w:pStyle w:val="normal0"/>
        <w:ind w:hanging="360"/>
        <w:jc w:val="both"/>
      </w:pPr>
    </w:p>
    <w:p w:rsidR="00163EBD" w:rsidRDefault="006D2016">
      <w:pPr>
        <w:pStyle w:val="normal0"/>
        <w:ind w:left="720" w:hanging="360"/>
        <w:jc w:val="both"/>
      </w:pPr>
      <w:r>
        <w:t>a)  Develop a document, as part of WS 2, that</w:t>
      </w:r>
      <w:r>
        <w:t xml:space="preserve"> clearly describes</w:t>
      </w:r>
      <w:r>
        <w:t xml:space="preserve"> </w:t>
      </w:r>
      <w:r>
        <w:t>the role of ICANN staff vis a vis the ICANN Board and the ICANN community.  This document</w:t>
      </w:r>
      <w:r>
        <w:t xml:space="preserve"> should include a general description of the powers vested in ICANN st</w:t>
      </w:r>
      <w:r>
        <w:t>aff by the ICANN Board of Directors which need, and do not need, approval of the ICANN Board of Directors.</w:t>
      </w:r>
    </w:p>
    <w:p w:rsidR="00163EBD" w:rsidRDefault="006D2016">
      <w:pPr>
        <w:pStyle w:val="normal0"/>
        <w:ind w:left="720" w:hanging="360"/>
        <w:jc w:val="both"/>
      </w:pPr>
      <w:r>
        <w:t>b)  Review its current document so in the next version the IRP process is also applicable to Staff’s actions or inactions following an escalation path to be designed in WS2</w:t>
      </w:r>
      <w:r>
        <w:t>.</w:t>
      </w:r>
    </w:p>
    <w:p w:rsidR="00163EBD" w:rsidRDefault="006D2016">
      <w:pPr>
        <w:pStyle w:val="normal0"/>
        <w:ind w:left="720" w:hanging="360"/>
        <w:jc w:val="both"/>
      </w:pPr>
      <w:r>
        <w:t>c)</w:t>
      </w:r>
      <w:r>
        <w:rPr>
          <w:rFonts w:ascii="Times New Roman" w:eastAsia="Times New Roman" w:hAnsi="Times New Roman" w:cs="Times New Roman"/>
          <w:sz w:val="14"/>
          <w:szCs w:val="14"/>
        </w:rPr>
        <w:t xml:space="preserve">    </w:t>
      </w:r>
      <w:r>
        <w:t>Include a work plan as part of WS2 that considers the creation of a Code of Conduct, transparency criteria, training, and key performance indicators to be followed by Staff in relation to their interactions with all stakeholders, establishment of reg</w:t>
      </w:r>
      <w:r>
        <w:t xml:space="preserve">ular independent (internal + community) surveys/audits to track progress and identify areas that need improvement, establish appropriate processes to escalate issues that enable both community and staff members to raise issues. WS2 would include work done </w:t>
      </w:r>
      <w:r>
        <w:t>during the Ombudsman work of WP2 on the ability of Staff to use the Ombudsman for escalating or otherwise making the community aware of issues.</w:t>
      </w:r>
    </w:p>
    <w:p w:rsidR="00163EBD" w:rsidRDefault="006D2016">
      <w:pPr>
        <w:pStyle w:val="normal0"/>
        <w:ind w:left="720" w:hanging="360"/>
        <w:jc w:val="both"/>
      </w:pPr>
      <w:r>
        <w:t>d)</w:t>
      </w:r>
      <w:r>
        <w:rPr>
          <w:rFonts w:ascii="Times New Roman" w:eastAsia="Times New Roman" w:hAnsi="Times New Roman" w:cs="Times New Roman"/>
          <w:sz w:val="14"/>
          <w:szCs w:val="14"/>
        </w:rPr>
        <w:t xml:space="preserve">  </w:t>
      </w:r>
      <w:r>
        <w:t>Establish a commitment to carry a detailed working plan on enhancing Staff accountability as part of WS2</w:t>
      </w:r>
      <w:r>
        <w:rPr>
          <w:color w:val="FF0000"/>
        </w:rPr>
        <w:t xml:space="preserve"> </w:t>
      </w:r>
      <w:r>
        <w:t>that</w:t>
      </w:r>
      <w:r>
        <w:t xml:space="preserve"> includes realistic and meaningful access to redress by aggrieved parties that can demonstrate actual harm caused by ICANN staff action or inaction.</w:t>
      </w:r>
    </w:p>
    <w:p w:rsidR="00163EBD" w:rsidRDefault="00163EBD">
      <w:pPr>
        <w:pStyle w:val="normal0"/>
      </w:pPr>
    </w:p>
    <w:sectPr w:rsidR="00163E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163EBD"/>
    <w:rsid w:val="00163EBD"/>
    <w:rsid w:val="006D201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MX"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Ttulo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Ttulo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contextualSpacing/>
    </w:pPr>
    <w:rPr>
      <w:rFonts w:ascii="Trebuchet MS" w:eastAsia="Trebuchet MS" w:hAnsi="Trebuchet MS" w:cs="Trebuchet MS"/>
      <w:sz w:val="42"/>
      <w:szCs w:val="42"/>
    </w:rPr>
  </w:style>
  <w:style w:type="paragraph" w:styleId="Subttulo">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MX"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Ttulo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Ttulo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contextualSpacing/>
    </w:pPr>
    <w:rPr>
      <w:rFonts w:ascii="Trebuchet MS" w:eastAsia="Trebuchet MS" w:hAnsi="Trebuchet MS" w:cs="Trebuchet MS"/>
      <w:sz w:val="42"/>
      <w:szCs w:val="42"/>
    </w:rPr>
  </w:style>
  <w:style w:type="paragraph" w:styleId="Subttulo">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53782997/final-recommendations-31dec13-en.pdf?version=1&amp;modificationDate=1435911871000&amp;api=v2" TargetMode="External"/><Relationship Id="rId12" Type="http://schemas.openxmlformats.org/officeDocument/2006/relationships/hyperlink" Target="https://community.icann.org/download/attachments/53782997/final-recommendations-31dec13-en.pdf?version=1&amp;modificationDate=1435911871000&amp;api=v2"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resources/pages/governance/bylaws-en" TargetMode="External"/><Relationship Id="rId6" Type="http://schemas.openxmlformats.org/officeDocument/2006/relationships/hyperlink" Target="https://www.icann.org/resources/pages/governance/bylaws-en" TargetMode="External"/><Relationship Id="rId7" Type="http://schemas.openxmlformats.org/officeDocument/2006/relationships/hyperlink" Target="https://community.icann.org/download/attachments/53782997/affirmation-of-commitments-30sep09-en.pdf?version=1&amp;modificationDate=1435911624000&amp;api=v2" TargetMode="External"/><Relationship Id="rId8" Type="http://schemas.openxmlformats.org/officeDocument/2006/relationships/hyperlink" Target="https://community.icann.org/download/attachments/53782997/affirmation-of-commitments-30sep09-en.pdf?version=1&amp;modificationDate=1435911624000&amp;api=v2" TargetMode="External"/><Relationship Id="rId9" Type="http://schemas.openxmlformats.org/officeDocument/2006/relationships/hyperlink" Target="https://community.icann.org/download/attachments/53782997/final-recommendations-31dec10-en.pdf?version=1&amp;modificationDate=1435911759000&amp;api=v2" TargetMode="External"/><Relationship Id="rId10" Type="http://schemas.openxmlformats.org/officeDocument/2006/relationships/hyperlink" Target="https://community.icann.org/download/attachments/53782997/final-recommendations-31dec10-en.pdf?version=1&amp;modificationDate=1435911759000&amp;api=v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1066</Words>
  <Characters>5869</Characters>
  <Application>Microsoft Macintosh Word</Application>
  <DocSecurity>0</DocSecurity>
  <Lines>48</Lines>
  <Paragraphs>13</Paragraphs>
  <ScaleCrop>false</ScaleCrop>
  <Company>Fulton &amp; Fulton SC</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León Felipe Sánchez Ambía</cp:lastModifiedBy>
  <cp:revision>2</cp:revision>
  <dcterms:created xsi:type="dcterms:W3CDTF">2015-07-24T04:34:00Z</dcterms:created>
  <dcterms:modified xsi:type="dcterms:W3CDTF">2015-07-24T04:34:00Z</dcterms:modified>
</cp:coreProperties>
</file>