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D1EFE" w14:textId="0F52F5A4" w:rsidR="0003263C" w:rsidRPr="00EE69D3" w:rsidRDefault="0003263C" w:rsidP="0003263C">
      <w:pPr>
        <w:pStyle w:val="Title"/>
        <w:spacing w:after="0"/>
        <w:rPr>
          <w:rFonts w:ascii="Source Sans Pro" w:hAnsi="Source Sans Pro"/>
          <w:b/>
          <w:color w:val="000000" w:themeColor="text1"/>
          <w:sz w:val="32"/>
          <w:szCs w:val="32"/>
        </w:rPr>
      </w:pPr>
      <w:r w:rsidRPr="00EE69D3">
        <w:rPr>
          <w:rFonts w:ascii="Source Sans Pro" w:hAnsi="Source Sans Pro"/>
          <w:b/>
          <w:color w:val="000000" w:themeColor="text1"/>
          <w:sz w:val="32"/>
          <w:szCs w:val="32"/>
        </w:rPr>
        <w:t>Diversity Data</w:t>
      </w:r>
      <w:r w:rsidR="00582B46">
        <w:rPr>
          <w:rFonts w:ascii="Source Sans Pro" w:hAnsi="Source Sans Pro"/>
          <w:b/>
          <w:color w:val="000000" w:themeColor="text1"/>
          <w:sz w:val="32"/>
          <w:szCs w:val="32"/>
        </w:rPr>
        <w:t>: Sources, Challenges</w:t>
      </w:r>
      <w:r w:rsidR="00F76A67" w:rsidRPr="00EE69D3">
        <w:rPr>
          <w:rFonts w:ascii="Source Sans Pro" w:hAnsi="Source Sans Pro"/>
          <w:b/>
          <w:color w:val="000000" w:themeColor="text1"/>
          <w:sz w:val="32"/>
          <w:szCs w:val="32"/>
        </w:rPr>
        <w:t xml:space="preserve"> </w:t>
      </w:r>
      <w:r w:rsidR="00582B46">
        <w:rPr>
          <w:rFonts w:ascii="Source Sans Pro" w:hAnsi="Source Sans Pro"/>
          <w:b/>
          <w:color w:val="000000" w:themeColor="text1"/>
          <w:sz w:val="32"/>
          <w:szCs w:val="32"/>
        </w:rPr>
        <w:t xml:space="preserve">&amp; Opportunities </w:t>
      </w:r>
    </w:p>
    <w:p w14:paraId="5530F10D" w14:textId="77777777" w:rsidR="00582B46" w:rsidRDefault="00582B46">
      <w:pPr>
        <w:rPr>
          <w:rFonts w:ascii="Source Sans Pro" w:hAnsi="Source Sans Pro"/>
          <w:sz w:val="20"/>
          <w:szCs w:val="20"/>
          <w:lang w:val="en-GB"/>
        </w:rPr>
      </w:pPr>
    </w:p>
    <w:p w14:paraId="2B609F03" w14:textId="21C49BF8" w:rsidR="00C17FE1" w:rsidRPr="00EE69D3" w:rsidRDefault="00582B46">
      <w:pPr>
        <w:rPr>
          <w:rFonts w:ascii="Source Sans Pro" w:hAnsi="Source Sans Pro"/>
          <w:sz w:val="20"/>
          <w:szCs w:val="20"/>
          <w:lang w:val="en-GB"/>
        </w:rPr>
      </w:pPr>
      <w:r>
        <w:rPr>
          <w:rFonts w:ascii="Source Sans Pro" w:hAnsi="Source Sans Pro"/>
          <w:sz w:val="20"/>
          <w:szCs w:val="20"/>
          <w:lang w:val="en-GB"/>
        </w:rPr>
        <w:t xml:space="preserve">The </w:t>
      </w:r>
      <w:r w:rsidR="008B6F78">
        <w:rPr>
          <w:rFonts w:ascii="Source Sans Pro" w:hAnsi="Source Sans Pro"/>
          <w:sz w:val="20"/>
          <w:szCs w:val="20"/>
          <w:lang w:val="en-GB"/>
        </w:rPr>
        <w:t>information</w:t>
      </w:r>
      <w:r>
        <w:rPr>
          <w:rFonts w:ascii="Source Sans Pro" w:hAnsi="Source Sans Pro"/>
          <w:sz w:val="20"/>
          <w:szCs w:val="20"/>
          <w:lang w:val="en-GB"/>
        </w:rPr>
        <w:t xml:space="preserve"> below provides additional details on the sources of gender and geographic data across ICANN that was provided as input into WS2 on Diversity. It also outlines some of the challenges and opportunities that could help inform the </w:t>
      </w:r>
      <w:r w:rsidR="008B6F78">
        <w:rPr>
          <w:rFonts w:ascii="Source Sans Pro" w:hAnsi="Source Sans Pro"/>
          <w:sz w:val="20"/>
          <w:szCs w:val="20"/>
          <w:lang w:val="en-GB"/>
        </w:rPr>
        <w:t xml:space="preserve">community’s discussion on next steps. </w:t>
      </w:r>
    </w:p>
    <w:p w14:paraId="5905FD7D" w14:textId="77777777" w:rsidR="00EE69D3" w:rsidRPr="00582B46" w:rsidRDefault="00EE69D3">
      <w:pPr>
        <w:rPr>
          <w:rFonts w:ascii="Source Sans Pro" w:hAnsi="Source Sans Pro"/>
          <w:b/>
          <w:sz w:val="26"/>
          <w:szCs w:val="26"/>
          <w:lang w:val="en-GB"/>
        </w:rPr>
      </w:pPr>
    </w:p>
    <w:p w14:paraId="2A375991" w14:textId="356B3933" w:rsidR="00F76A67" w:rsidRDefault="00F76A67">
      <w:pPr>
        <w:rPr>
          <w:rFonts w:ascii="Source Sans Pro" w:hAnsi="Source Sans Pro"/>
          <w:b/>
          <w:sz w:val="26"/>
          <w:szCs w:val="26"/>
          <w:lang w:val="en-GB"/>
        </w:rPr>
      </w:pPr>
      <w:r w:rsidRPr="00EE69D3">
        <w:rPr>
          <w:rFonts w:ascii="Source Sans Pro" w:hAnsi="Source Sans Pro"/>
          <w:b/>
          <w:sz w:val="26"/>
          <w:szCs w:val="26"/>
          <w:lang w:val="en-GB"/>
        </w:rPr>
        <w:t xml:space="preserve">Data Sources </w:t>
      </w:r>
      <w:r w:rsidR="00582B46">
        <w:rPr>
          <w:rFonts w:ascii="Source Sans Pro" w:hAnsi="Source Sans Pro"/>
          <w:b/>
          <w:sz w:val="26"/>
          <w:szCs w:val="26"/>
          <w:lang w:val="en-GB"/>
        </w:rPr>
        <w:t xml:space="preserve">by Category </w:t>
      </w:r>
    </w:p>
    <w:p w14:paraId="2A2EEE77" w14:textId="77777777" w:rsidR="00EE69D3" w:rsidRPr="00EE69D3" w:rsidRDefault="00EE69D3">
      <w:pPr>
        <w:rPr>
          <w:rFonts w:ascii="Source Sans Pro" w:hAnsi="Source Sans Pro"/>
          <w:b/>
          <w:sz w:val="16"/>
          <w:szCs w:val="16"/>
          <w:lang w:val="en-GB"/>
        </w:rPr>
      </w:pPr>
    </w:p>
    <w:p w14:paraId="34C0F674" w14:textId="69BB9B1A" w:rsidR="00C17FE1" w:rsidRPr="00582B46" w:rsidRDefault="00C17FE1">
      <w:pPr>
        <w:rPr>
          <w:rFonts w:ascii="Source Sans Pro" w:hAnsi="Source Sans Pro"/>
          <w:b/>
          <w:sz w:val="20"/>
          <w:szCs w:val="20"/>
          <w:lang w:val="en-GB"/>
        </w:rPr>
      </w:pPr>
      <w:r w:rsidRPr="00582B46">
        <w:rPr>
          <w:rFonts w:ascii="Source Sans Pro" w:hAnsi="Source Sans Pro"/>
          <w:b/>
          <w:sz w:val="20"/>
          <w:szCs w:val="20"/>
          <w:lang w:val="en-GB"/>
        </w:rPr>
        <w:t xml:space="preserve">Meeting Participants </w:t>
      </w:r>
    </w:p>
    <w:p w14:paraId="08B1A919" w14:textId="77777777" w:rsidR="00C17FE1" w:rsidRPr="00EE69D3" w:rsidRDefault="00C17FE1" w:rsidP="00C17FE1">
      <w:pPr>
        <w:pStyle w:val="p1"/>
        <w:numPr>
          <w:ilvl w:val="0"/>
          <w:numId w:val="1"/>
        </w:numPr>
        <w:rPr>
          <w:rStyle w:val="s1"/>
          <w:rFonts w:ascii="Source Sans Pro" w:hAnsi="Source Sans Pro"/>
          <w:sz w:val="20"/>
          <w:szCs w:val="20"/>
        </w:rPr>
      </w:pPr>
      <w:r w:rsidRPr="00EE69D3">
        <w:rPr>
          <w:rStyle w:val="s1"/>
          <w:rFonts w:ascii="Source Sans Pro" w:hAnsi="Source Sans Pro"/>
          <w:sz w:val="20"/>
          <w:szCs w:val="20"/>
        </w:rPr>
        <w:t>Gender identified by salutation on registration forms</w:t>
      </w:r>
    </w:p>
    <w:p w14:paraId="22B0CEF1" w14:textId="77777777" w:rsidR="00C17FE1" w:rsidRPr="00EE69D3" w:rsidRDefault="00C17FE1" w:rsidP="00C17FE1">
      <w:pPr>
        <w:pStyle w:val="p1"/>
        <w:numPr>
          <w:ilvl w:val="0"/>
          <w:numId w:val="1"/>
        </w:numPr>
        <w:rPr>
          <w:rStyle w:val="s1"/>
          <w:rFonts w:ascii="Source Sans Pro" w:hAnsi="Source Sans Pro"/>
          <w:sz w:val="20"/>
          <w:szCs w:val="20"/>
        </w:rPr>
      </w:pPr>
      <w:r w:rsidRPr="00EE69D3">
        <w:rPr>
          <w:rStyle w:val="s1"/>
          <w:rFonts w:ascii="Source Sans Pro" w:hAnsi="Source Sans Pro"/>
          <w:sz w:val="20"/>
          <w:szCs w:val="20"/>
        </w:rPr>
        <w:t>Region identified by registration forms</w:t>
      </w:r>
    </w:p>
    <w:p w14:paraId="3203576B" w14:textId="77777777" w:rsidR="00C17FE1" w:rsidRPr="00EE69D3" w:rsidRDefault="00C17FE1" w:rsidP="00C17FE1">
      <w:pPr>
        <w:pStyle w:val="p1"/>
        <w:numPr>
          <w:ilvl w:val="0"/>
          <w:numId w:val="1"/>
        </w:numPr>
        <w:rPr>
          <w:rStyle w:val="s1"/>
          <w:rFonts w:ascii="Source Sans Pro" w:hAnsi="Source Sans Pro"/>
          <w:sz w:val="20"/>
          <w:szCs w:val="20"/>
        </w:rPr>
      </w:pPr>
      <w:r w:rsidRPr="00EE69D3">
        <w:rPr>
          <w:rStyle w:val="s1"/>
          <w:rFonts w:ascii="Source Sans Pro" w:hAnsi="Source Sans Pro"/>
          <w:sz w:val="20"/>
          <w:szCs w:val="20"/>
        </w:rPr>
        <w:t>8 regional categories are used</w:t>
      </w:r>
    </w:p>
    <w:p w14:paraId="1DCAD09C" w14:textId="636A10A5" w:rsidR="00C17FE1" w:rsidRPr="00EE69D3" w:rsidRDefault="00C17FE1" w:rsidP="00C17FE1">
      <w:pPr>
        <w:pStyle w:val="p1"/>
        <w:numPr>
          <w:ilvl w:val="0"/>
          <w:numId w:val="1"/>
        </w:numPr>
        <w:rPr>
          <w:rStyle w:val="s1"/>
          <w:rFonts w:ascii="Source Sans Pro" w:hAnsi="Source Sans Pro"/>
          <w:sz w:val="20"/>
          <w:szCs w:val="20"/>
        </w:rPr>
      </w:pPr>
      <w:r w:rsidRPr="00EE69D3">
        <w:rPr>
          <w:rStyle w:val="s1"/>
          <w:rFonts w:ascii="Source Sans Pro" w:hAnsi="Source Sans Pro"/>
          <w:sz w:val="20"/>
          <w:szCs w:val="20"/>
        </w:rPr>
        <w:t xml:space="preserve">Data is available publicly in </w:t>
      </w:r>
      <w:r w:rsidRPr="00EE69D3">
        <w:rPr>
          <w:rFonts w:ascii="Source Sans Pro" w:hAnsi="Source Sans Pro"/>
          <w:sz w:val="20"/>
          <w:szCs w:val="20"/>
        </w:rPr>
        <w:t xml:space="preserve">the </w:t>
      </w:r>
      <w:hyperlink r:id="rId6" w:history="1">
        <w:r w:rsidRPr="00EE69D3">
          <w:rPr>
            <w:rStyle w:val="Hyperlink"/>
            <w:rFonts w:ascii="Source Sans Pro" w:hAnsi="Source Sans Pro"/>
            <w:sz w:val="20"/>
            <w:szCs w:val="20"/>
          </w:rPr>
          <w:t>ICANN55 Technical Report</w:t>
        </w:r>
      </w:hyperlink>
      <w:r w:rsidRPr="00EE69D3">
        <w:rPr>
          <w:rFonts w:ascii="Source Sans Pro" w:hAnsi="Source Sans Pro"/>
          <w:sz w:val="20"/>
          <w:szCs w:val="20"/>
        </w:rPr>
        <w:t xml:space="preserve">, the </w:t>
      </w:r>
      <w:hyperlink r:id="rId7" w:history="1">
        <w:r w:rsidRPr="00EE69D3">
          <w:rPr>
            <w:rStyle w:val="Hyperlink"/>
            <w:rFonts w:ascii="Source Sans Pro" w:hAnsi="Source Sans Pro"/>
            <w:sz w:val="20"/>
            <w:szCs w:val="20"/>
          </w:rPr>
          <w:t>ICANN56 Technical Report</w:t>
        </w:r>
      </w:hyperlink>
      <w:r w:rsidRPr="00EE69D3">
        <w:rPr>
          <w:rFonts w:ascii="Source Sans Pro" w:hAnsi="Source Sans Pro"/>
          <w:sz w:val="20"/>
          <w:szCs w:val="20"/>
        </w:rPr>
        <w:t xml:space="preserve">, and the </w:t>
      </w:r>
      <w:hyperlink r:id="rId8" w:history="1">
        <w:r w:rsidRPr="00EE69D3">
          <w:rPr>
            <w:rStyle w:val="Hyperlink"/>
            <w:rFonts w:ascii="Source Sans Pro" w:hAnsi="Source Sans Pro"/>
            <w:sz w:val="20"/>
            <w:szCs w:val="20"/>
          </w:rPr>
          <w:t>ICANN57 Technical Report</w:t>
        </w:r>
      </w:hyperlink>
    </w:p>
    <w:p w14:paraId="1EC3CD12" w14:textId="77777777" w:rsidR="00C17FE1" w:rsidRPr="00EE69D3" w:rsidRDefault="00C17FE1" w:rsidP="00C17FE1">
      <w:pPr>
        <w:pStyle w:val="p1"/>
        <w:rPr>
          <w:rStyle w:val="s1"/>
          <w:rFonts w:ascii="Source Sans Pro" w:hAnsi="Source Sans Pro"/>
          <w:sz w:val="20"/>
          <w:szCs w:val="20"/>
        </w:rPr>
      </w:pPr>
    </w:p>
    <w:p w14:paraId="589EE8FB" w14:textId="635CBCEC" w:rsidR="00C17FE1" w:rsidRPr="00582B46" w:rsidRDefault="00C17FE1" w:rsidP="00C17FE1">
      <w:pPr>
        <w:pStyle w:val="p1"/>
        <w:rPr>
          <w:rStyle w:val="s1"/>
          <w:rFonts w:ascii="Source Sans Pro" w:hAnsi="Source Sans Pro"/>
          <w:b/>
          <w:sz w:val="20"/>
          <w:szCs w:val="20"/>
        </w:rPr>
      </w:pPr>
      <w:r w:rsidRPr="00582B46">
        <w:rPr>
          <w:rStyle w:val="s1"/>
          <w:rFonts w:ascii="Source Sans Pro" w:hAnsi="Source Sans Pro"/>
          <w:b/>
          <w:sz w:val="20"/>
          <w:szCs w:val="20"/>
        </w:rPr>
        <w:t>SO/AC Leadership Composition</w:t>
      </w:r>
    </w:p>
    <w:p w14:paraId="6DDF17C3" w14:textId="3C08159B" w:rsidR="00C17FE1" w:rsidRPr="00EE69D3" w:rsidRDefault="00C17FE1" w:rsidP="00C17FE1">
      <w:pPr>
        <w:pStyle w:val="p1"/>
        <w:numPr>
          <w:ilvl w:val="0"/>
          <w:numId w:val="2"/>
        </w:numPr>
        <w:rPr>
          <w:rStyle w:val="s1"/>
          <w:rFonts w:ascii="Source Sans Pro" w:hAnsi="Source Sans Pro"/>
          <w:sz w:val="20"/>
          <w:szCs w:val="20"/>
        </w:rPr>
      </w:pPr>
      <w:r w:rsidRPr="00EE69D3">
        <w:rPr>
          <w:rStyle w:val="s1"/>
          <w:rFonts w:ascii="Source Sans Pro" w:hAnsi="Source Sans Pro"/>
          <w:sz w:val="20"/>
          <w:szCs w:val="20"/>
        </w:rPr>
        <w:t>Gender and region identified by membership data available online</w:t>
      </w:r>
    </w:p>
    <w:p w14:paraId="229F8D73" w14:textId="169D88E0" w:rsidR="00C17FE1" w:rsidRPr="00EE69D3" w:rsidRDefault="00C17FE1" w:rsidP="00C17FE1">
      <w:pPr>
        <w:pStyle w:val="p1"/>
        <w:numPr>
          <w:ilvl w:val="0"/>
          <w:numId w:val="2"/>
        </w:numPr>
        <w:rPr>
          <w:rStyle w:val="s1"/>
          <w:rFonts w:ascii="Source Sans Pro" w:hAnsi="Source Sans Pro"/>
          <w:sz w:val="20"/>
          <w:szCs w:val="20"/>
        </w:rPr>
      </w:pPr>
      <w:r w:rsidRPr="00EE69D3">
        <w:rPr>
          <w:rStyle w:val="s1"/>
          <w:rFonts w:ascii="Source Sans Pro" w:hAnsi="Source Sans Pro"/>
          <w:sz w:val="20"/>
          <w:szCs w:val="20"/>
        </w:rPr>
        <w:t>Regional diversity reflects place of work</w:t>
      </w:r>
    </w:p>
    <w:p w14:paraId="5E02471F" w14:textId="77777777" w:rsidR="00C17FE1" w:rsidRPr="00EE69D3" w:rsidRDefault="00C17FE1" w:rsidP="00C17FE1">
      <w:pPr>
        <w:pStyle w:val="p1"/>
        <w:numPr>
          <w:ilvl w:val="0"/>
          <w:numId w:val="2"/>
        </w:numPr>
        <w:rPr>
          <w:rFonts w:ascii="Source Sans Pro" w:hAnsi="Source Sans Pro"/>
          <w:sz w:val="20"/>
          <w:szCs w:val="20"/>
        </w:rPr>
      </w:pPr>
      <w:r w:rsidRPr="00EE69D3">
        <w:rPr>
          <w:rFonts w:ascii="Source Sans Pro" w:hAnsi="Source Sans Pro"/>
          <w:sz w:val="20"/>
          <w:szCs w:val="20"/>
        </w:rPr>
        <w:t xml:space="preserve">This data reflects ICANN Policy Development Community Leaders of Supporting Organizations (SOs), Advisory Committees (ACs), Regional At-Large Organizations (RALOs), and Executive Committees. </w:t>
      </w:r>
    </w:p>
    <w:p w14:paraId="775AA848" w14:textId="70FE316C" w:rsidR="00C17FE1" w:rsidRPr="00EE69D3" w:rsidRDefault="00C17FE1" w:rsidP="00C17FE1">
      <w:pPr>
        <w:pStyle w:val="p1"/>
        <w:numPr>
          <w:ilvl w:val="0"/>
          <w:numId w:val="2"/>
        </w:numPr>
        <w:rPr>
          <w:rFonts w:ascii="Source Sans Pro" w:hAnsi="Source Sans Pro"/>
          <w:sz w:val="20"/>
          <w:szCs w:val="20"/>
        </w:rPr>
      </w:pPr>
      <w:r w:rsidRPr="00EE69D3">
        <w:rPr>
          <w:rFonts w:ascii="Source Sans Pro" w:hAnsi="Source Sans Pro"/>
          <w:sz w:val="20"/>
          <w:szCs w:val="20"/>
        </w:rPr>
        <w:t xml:space="preserve">This leadership reflects the data of 159 individuals, including: </w:t>
      </w:r>
      <w:r w:rsidRPr="00EE69D3">
        <w:rPr>
          <w:rFonts w:ascii="Source Sans Pro" w:hAnsi="Source Sans Pro" w:cstheme="minorBidi"/>
          <w:sz w:val="20"/>
          <w:szCs w:val="20"/>
        </w:rPr>
        <w:t>ASO Council Chair and Vice Chairs</w:t>
      </w:r>
      <w:r w:rsidRPr="00EE69D3">
        <w:rPr>
          <w:rFonts w:ascii="Source Sans Pro" w:hAnsi="Source Sans Pro"/>
          <w:sz w:val="20"/>
          <w:szCs w:val="20"/>
        </w:rPr>
        <w:t xml:space="preserve">; Address Council Members; </w:t>
      </w:r>
      <w:proofErr w:type="spellStart"/>
      <w:r w:rsidRPr="00EE69D3">
        <w:rPr>
          <w:rFonts w:ascii="Source Sans Pro" w:hAnsi="Source Sans Pro"/>
          <w:sz w:val="20"/>
          <w:szCs w:val="20"/>
        </w:rPr>
        <w:t>ccNSO</w:t>
      </w:r>
      <w:proofErr w:type="spellEnd"/>
      <w:r w:rsidRPr="00EE69D3">
        <w:rPr>
          <w:rFonts w:ascii="Source Sans Pro" w:hAnsi="Source Sans Pro"/>
          <w:sz w:val="20"/>
          <w:szCs w:val="20"/>
        </w:rPr>
        <w:t xml:space="preserve"> Council Chairs and Vice Chairs; </w:t>
      </w:r>
      <w:proofErr w:type="spellStart"/>
      <w:r w:rsidRPr="00EE69D3">
        <w:rPr>
          <w:rFonts w:ascii="Source Sans Pro" w:hAnsi="Source Sans Pro"/>
          <w:sz w:val="20"/>
          <w:szCs w:val="20"/>
        </w:rPr>
        <w:t>ccNSO</w:t>
      </w:r>
      <w:proofErr w:type="spellEnd"/>
      <w:r w:rsidRPr="00EE69D3">
        <w:rPr>
          <w:rFonts w:ascii="Source Sans Pro" w:hAnsi="Source Sans Pro"/>
          <w:sz w:val="20"/>
          <w:szCs w:val="20"/>
        </w:rPr>
        <w:t xml:space="preserve"> Council Members; GNSO Council Chair and Vice Chairs; GNSO Council Members; ALAC Leadership Team; ALAC Members; GAC Leadership Team; RSSAC Chairs; SSAC Chair and Vice Chair; AFRALO Leadership; APRALO Leadership; EURALO Leadership; LACRALO Leadership; NARALO Leadership; Registries Stakeholder Group Executive Committee; Registrars Stakeholder Group Executive Committee; Commercial Stakeholder Group Executive Committee; Non-Commercial Stakeholder Group Executive Committee; Business Constituency Executive Committee; Intellectual Property Constituency Executive Committee; Internet Service Providers and Connectivity Providers Constituency Executive Committees; Non-Commercial Users Constituency Executive Committee; and Not-for-Profit Operational Concerns Constituency Executive Committee</w:t>
      </w:r>
      <w:r w:rsidR="007C0FD3" w:rsidRPr="00EE69D3">
        <w:rPr>
          <w:rFonts w:ascii="Source Sans Pro" w:hAnsi="Source Sans Pro"/>
          <w:sz w:val="20"/>
          <w:szCs w:val="20"/>
        </w:rPr>
        <w:t>.</w:t>
      </w:r>
    </w:p>
    <w:p w14:paraId="6968A06B" w14:textId="62BAF5EB" w:rsidR="00C17FE1" w:rsidRPr="00EE69D3" w:rsidRDefault="00C17FE1" w:rsidP="00C17FE1">
      <w:pPr>
        <w:pStyle w:val="p1"/>
        <w:numPr>
          <w:ilvl w:val="0"/>
          <w:numId w:val="2"/>
        </w:numPr>
        <w:rPr>
          <w:rFonts w:ascii="Source Sans Pro" w:hAnsi="Source Sans Pro"/>
          <w:sz w:val="20"/>
          <w:szCs w:val="20"/>
        </w:rPr>
      </w:pPr>
      <w:r w:rsidRPr="00EE69D3">
        <w:rPr>
          <w:rFonts w:ascii="Source Sans Pro" w:hAnsi="Source Sans Pro"/>
          <w:sz w:val="20"/>
          <w:szCs w:val="20"/>
        </w:rPr>
        <w:t xml:space="preserve">Further information can be found on each group’s webpage; for example, more information on the Address Council is available </w:t>
      </w:r>
      <w:hyperlink r:id="rId9" w:history="1">
        <w:r w:rsidRPr="00EE69D3">
          <w:rPr>
            <w:rStyle w:val="Hyperlink"/>
            <w:rFonts w:ascii="Source Sans Pro" w:hAnsi="Source Sans Pro"/>
            <w:sz w:val="20"/>
            <w:szCs w:val="20"/>
          </w:rPr>
          <w:t>here</w:t>
        </w:r>
      </w:hyperlink>
      <w:r w:rsidR="007C0FD3" w:rsidRPr="00EE69D3">
        <w:rPr>
          <w:rFonts w:ascii="Source Sans Pro" w:hAnsi="Source Sans Pro"/>
          <w:sz w:val="20"/>
          <w:szCs w:val="20"/>
        </w:rPr>
        <w:t>.</w:t>
      </w:r>
    </w:p>
    <w:p w14:paraId="74110646" w14:textId="77777777" w:rsidR="00C17FE1" w:rsidRPr="00EE69D3" w:rsidRDefault="00C17FE1" w:rsidP="00C17FE1">
      <w:pPr>
        <w:pStyle w:val="p1"/>
        <w:rPr>
          <w:rFonts w:ascii="Source Sans Pro" w:hAnsi="Source Sans Pro"/>
          <w:sz w:val="20"/>
          <w:szCs w:val="20"/>
        </w:rPr>
      </w:pPr>
    </w:p>
    <w:p w14:paraId="4C2A9F0B" w14:textId="7DB74B4E" w:rsidR="00C17FE1" w:rsidRPr="00582B46" w:rsidRDefault="00C17FE1" w:rsidP="00C17FE1">
      <w:pPr>
        <w:pStyle w:val="p1"/>
        <w:rPr>
          <w:rFonts w:ascii="Source Sans Pro" w:hAnsi="Source Sans Pro"/>
          <w:b/>
          <w:sz w:val="20"/>
          <w:szCs w:val="20"/>
        </w:rPr>
      </w:pPr>
      <w:r w:rsidRPr="00582B46">
        <w:rPr>
          <w:rFonts w:ascii="Source Sans Pro" w:hAnsi="Source Sans Pro"/>
          <w:b/>
          <w:sz w:val="20"/>
          <w:szCs w:val="20"/>
        </w:rPr>
        <w:t xml:space="preserve">Governmental Advisory Committee </w:t>
      </w:r>
    </w:p>
    <w:p w14:paraId="77096BD7" w14:textId="46D5CC23" w:rsidR="00C17FE1" w:rsidRPr="00EE69D3" w:rsidRDefault="00C17FE1" w:rsidP="00C17FE1">
      <w:pPr>
        <w:pStyle w:val="p1"/>
        <w:numPr>
          <w:ilvl w:val="0"/>
          <w:numId w:val="3"/>
        </w:numPr>
        <w:rPr>
          <w:rStyle w:val="s1"/>
          <w:rFonts w:ascii="Source Sans Pro" w:hAnsi="Source Sans Pro"/>
          <w:sz w:val="20"/>
          <w:szCs w:val="20"/>
        </w:rPr>
      </w:pPr>
      <w:r w:rsidRPr="00EE69D3">
        <w:rPr>
          <w:rStyle w:val="s1"/>
          <w:rFonts w:ascii="Source Sans Pro" w:hAnsi="Source Sans Pro"/>
          <w:sz w:val="20"/>
          <w:szCs w:val="20"/>
        </w:rPr>
        <w:t>Gender and region identified by membership data available online</w:t>
      </w:r>
    </w:p>
    <w:p w14:paraId="73802E0F" w14:textId="13053C59" w:rsidR="00C17FE1" w:rsidRPr="00EE69D3" w:rsidRDefault="00C17FE1" w:rsidP="00C17FE1">
      <w:pPr>
        <w:pStyle w:val="p1"/>
        <w:numPr>
          <w:ilvl w:val="0"/>
          <w:numId w:val="3"/>
        </w:numPr>
        <w:rPr>
          <w:rStyle w:val="s1"/>
          <w:rFonts w:ascii="Source Sans Pro" w:hAnsi="Source Sans Pro"/>
          <w:sz w:val="20"/>
          <w:szCs w:val="20"/>
        </w:rPr>
      </w:pPr>
      <w:r w:rsidRPr="00EE69D3">
        <w:rPr>
          <w:rFonts w:ascii="Source Sans Pro" w:hAnsi="Source Sans Pro"/>
          <w:sz w:val="20"/>
          <w:szCs w:val="20"/>
        </w:rPr>
        <w:t>Regional diversity as represented here reflects place of work, not citizenship</w:t>
      </w:r>
    </w:p>
    <w:p w14:paraId="31C53EDD" w14:textId="3979119D" w:rsidR="00C17FE1" w:rsidRPr="00EE69D3" w:rsidRDefault="00C17FE1" w:rsidP="00C17FE1">
      <w:pPr>
        <w:pStyle w:val="p1"/>
        <w:numPr>
          <w:ilvl w:val="0"/>
          <w:numId w:val="3"/>
        </w:numPr>
        <w:rPr>
          <w:rFonts w:ascii="Source Sans Pro" w:hAnsi="Source Sans Pro"/>
          <w:sz w:val="20"/>
          <w:szCs w:val="20"/>
        </w:rPr>
      </w:pPr>
      <w:r w:rsidRPr="00EE69D3">
        <w:rPr>
          <w:rFonts w:ascii="Source Sans Pro" w:hAnsi="Source Sans Pro"/>
          <w:sz w:val="20"/>
          <w:szCs w:val="20"/>
        </w:rPr>
        <w:t xml:space="preserve">GAC membership consists of national governments and distinct economies recognized in international </w:t>
      </w:r>
      <w:proofErr w:type="spellStart"/>
      <w:r w:rsidRPr="00EE69D3">
        <w:rPr>
          <w:rFonts w:ascii="Source Sans Pro" w:hAnsi="Source Sans Pro"/>
          <w:sz w:val="20"/>
          <w:szCs w:val="20"/>
        </w:rPr>
        <w:t>fora</w:t>
      </w:r>
      <w:proofErr w:type="spellEnd"/>
      <w:r w:rsidRPr="00EE69D3">
        <w:rPr>
          <w:rFonts w:ascii="Source Sans Pro" w:hAnsi="Source Sans Pro"/>
          <w:sz w:val="20"/>
          <w:szCs w:val="20"/>
        </w:rPr>
        <w:t xml:space="preserve">; there are currently 171 </w:t>
      </w:r>
      <w:hyperlink r:id="rId10" w:history="1">
        <w:r w:rsidRPr="00EE69D3">
          <w:rPr>
            <w:rStyle w:val="Hyperlink"/>
            <w:rFonts w:ascii="Source Sans Pro" w:hAnsi="Source Sans Pro"/>
            <w:sz w:val="20"/>
            <w:szCs w:val="20"/>
          </w:rPr>
          <w:t>GAC Members</w:t>
        </w:r>
      </w:hyperlink>
      <w:r w:rsidRPr="00EE69D3">
        <w:rPr>
          <w:rFonts w:ascii="Source Sans Pro" w:hAnsi="Source Sans Pro"/>
          <w:sz w:val="20"/>
          <w:szCs w:val="20"/>
        </w:rPr>
        <w:t xml:space="preserve">. The current </w:t>
      </w:r>
      <w:hyperlink r:id="rId11" w:history="1">
        <w:r w:rsidRPr="00EE69D3">
          <w:rPr>
            <w:rStyle w:val="Hyperlink"/>
            <w:rFonts w:ascii="Source Sans Pro" w:hAnsi="Source Sans Pro"/>
            <w:sz w:val="20"/>
            <w:szCs w:val="20"/>
          </w:rPr>
          <w:t>GAC Leadership</w:t>
        </w:r>
      </w:hyperlink>
      <w:r w:rsidRPr="00EE69D3">
        <w:rPr>
          <w:rFonts w:ascii="Source Sans Pro" w:hAnsi="Source Sans Pro"/>
          <w:sz w:val="20"/>
          <w:szCs w:val="20"/>
        </w:rPr>
        <w:t xml:space="preserve"> consists of one Chair and four Vice Chairs. Multinational governmental and treaty organizations and public authorities serve as </w:t>
      </w:r>
      <w:hyperlink r:id="rId12" w:history="1">
        <w:r w:rsidRPr="00EE69D3">
          <w:rPr>
            <w:rStyle w:val="Hyperlink"/>
            <w:rFonts w:ascii="Source Sans Pro" w:hAnsi="Source Sans Pro"/>
            <w:sz w:val="20"/>
            <w:szCs w:val="20"/>
          </w:rPr>
          <w:t>Observers</w:t>
        </w:r>
      </w:hyperlink>
      <w:r w:rsidRPr="00EE69D3">
        <w:rPr>
          <w:rFonts w:ascii="Source Sans Pro" w:hAnsi="Source Sans Pro"/>
          <w:sz w:val="20"/>
          <w:szCs w:val="20"/>
        </w:rPr>
        <w:t>, of which there are currently 35. This data reflects individuals involved, not member countries or organizations; some countries or organizations have more than one representative. As such, the data reflects 322 Members, 5 Leaders, and 57 Observers</w:t>
      </w:r>
      <w:r w:rsidR="007C0FD3" w:rsidRPr="00EE69D3">
        <w:rPr>
          <w:rFonts w:ascii="Source Sans Pro" w:hAnsi="Source Sans Pro"/>
          <w:sz w:val="20"/>
          <w:szCs w:val="20"/>
        </w:rPr>
        <w:t>.</w:t>
      </w:r>
    </w:p>
    <w:p w14:paraId="6854C06E" w14:textId="77777777" w:rsidR="00420DD2" w:rsidRPr="00EE69D3" w:rsidRDefault="00420DD2" w:rsidP="00420DD2">
      <w:pPr>
        <w:pStyle w:val="p1"/>
        <w:rPr>
          <w:rFonts w:ascii="Source Sans Pro" w:hAnsi="Source Sans Pro"/>
          <w:sz w:val="20"/>
          <w:szCs w:val="20"/>
        </w:rPr>
      </w:pPr>
    </w:p>
    <w:p w14:paraId="16672F21" w14:textId="0F87BF70" w:rsidR="00420DD2" w:rsidRPr="00582B46" w:rsidRDefault="00420DD2" w:rsidP="00420DD2">
      <w:pPr>
        <w:pStyle w:val="p1"/>
        <w:rPr>
          <w:rFonts w:ascii="Source Sans Pro" w:hAnsi="Source Sans Pro"/>
          <w:b/>
          <w:sz w:val="20"/>
          <w:szCs w:val="20"/>
        </w:rPr>
      </w:pPr>
      <w:r w:rsidRPr="00582B46">
        <w:rPr>
          <w:rFonts w:ascii="Source Sans Pro" w:hAnsi="Source Sans Pro"/>
          <w:b/>
          <w:sz w:val="20"/>
          <w:szCs w:val="20"/>
        </w:rPr>
        <w:t xml:space="preserve">Review Teams </w:t>
      </w:r>
    </w:p>
    <w:p w14:paraId="10A6E74E" w14:textId="238D1524" w:rsidR="00420DD2" w:rsidRPr="00EE69D3" w:rsidRDefault="00D8411F" w:rsidP="00420DD2">
      <w:pPr>
        <w:pStyle w:val="p1"/>
        <w:numPr>
          <w:ilvl w:val="0"/>
          <w:numId w:val="3"/>
        </w:numPr>
        <w:rPr>
          <w:rStyle w:val="s1"/>
          <w:rFonts w:ascii="Source Sans Pro" w:hAnsi="Source Sans Pro"/>
          <w:sz w:val="20"/>
          <w:szCs w:val="20"/>
        </w:rPr>
      </w:pPr>
      <w:r w:rsidRPr="00EE69D3">
        <w:rPr>
          <w:rStyle w:val="s1"/>
          <w:rFonts w:ascii="Source Sans Pro" w:hAnsi="Source Sans Pro"/>
          <w:sz w:val="20"/>
          <w:szCs w:val="20"/>
        </w:rPr>
        <w:t xml:space="preserve">Gender data was </w:t>
      </w:r>
      <w:r w:rsidR="00FA141D" w:rsidRPr="00EE69D3">
        <w:rPr>
          <w:rStyle w:val="s1"/>
          <w:rFonts w:ascii="Source Sans Pro" w:hAnsi="Source Sans Pro"/>
          <w:sz w:val="20"/>
          <w:szCs w:val="20"/>
        </w:rPr>
        <w:t>gathered from</w:t>
      </w:r>
      <w:r w:rsidRPr="00EE69D3">
        <w:rPr>
          <w:rStyle w:val="s1"/>
          <w:rFonts w:ascii="Source Sans Pro" w:hAnsi="Source Sans Pro"/>
          <w:sz w:val="20"/>
          <w:szCs w:val="20"/>
        </w:rPr>
        <w:t xml:space="preserve"> membership </w:t>
      </w:r>
      <w:r w:rsidR="00FA141D" w:rsidRPr="00EE69D3">
        <w:rPr>
          <w:rStyle w:val="s1"/>
          <w:rFonts w:ascii="Source Sans Pro" w:hAnsi="Source Sans Pro"/>
          <w:sz w:val="20"/>
          <w:szCs w:val="20"/>
        </w:rPr>
        <w:t>information</w:t>
      </w:r>
      <w:r w:rsidRPr="00EE69D3">
        <w:rPr>
          <w:rStyle w:val="s1"/>
          <w:rFonts w:ascii="Source Sans Pro" w:hAnsi="Source Sans Pro"/>
          <w:sz w:val="20"/>
          <w:szCs w:val="20"/>
        </w:rPr>
        <w:t xml:space="preserve"> available online; r</w:t>
      </w:r>
      <w:r w:rsidR="008A33C8" w:rsidRPr="00EE69D3">
        <w:rPr>
          <w:rStyle w:val="s1"/>
          <w:rFonts w:ascii="Source Sans Pro" w:hAnsi="Source Sans Pro"/>
          <w:sz w:val="20"/>
          <w:szCs w:val="20"/>
        </w:rPr>
        <w:t xml:space="preserve">egional data was gathered from </w:t>
      </w:r>
      <w:r w:rsidRPr="00EE69D3">
        <w:rPr>
          <w:rStyle w:val="s1"/>
          <w:rFonts w:ascii="Source Sans Pro" w:hAnsi="Source Sans Pro"/>
          <w:sz w:val="20"/>
          <w:szCs w:val="20"/>
        </w:rPr>
        <w:t>Statement</w:t>
      </w:r>
      <w:r w:rsidR="00B74B96" w:rsidRPr="00EE69D3">
        <w:rPr>
          <w:rStyle w:val="s1"/>
          <w:rFonts w:ascii="Source Sans Pro" w:hAnsi="Source Sans Pro"/>
          <w:sz w:val="20"/>
          <w:szCs w:val="20"/>
        </w:rPr>
        <w:t>s</w:t>
      </w:r>
      <w:r w:rsidRPr="00EE69D3">
        <w:rPr>
          <w:rStyle w:val="s1"/>
          <w:rFonts w:ascii="Source Sans Pro" w:hAnsi="Source Sans Pro"/>
          <w:sz w:val="20"/>
          <w:szCs w:val="20"/>
        </w:rPr>
        <w:t xml:space="preserve"> of Interest.</w:t>
      </w:r>
      <w:r w:rsidR="008A33C8" w:rsidRPr="00EE69D3">
        <w:rPr>
          <w:rStyle w:val="s1"/>
          <w:rFonts w:ascii="Source Sans Pro" w:hAnsi="Source Sans Pro"/>
          <w:sz w:val="20"/>
          <w:szCs w:val="20"/>
        </w:rPr>
        <w:t xml:space="preserve"> </w:t>
      </w:r>
    </w:p>
    <w:p w14:paraId="091EFF62" w14:textId="74A57452" w:rsidR="00420DD2" w:rsidRPr="00EE69D3" w:rsidRDefault="00420DD2" w:rsidP="00420DD2">
      <w:pPr>
        <w:pStyle w:val="p1"/>
        <w:numPr>
          <w:ilvl w:val="0"/>
          <w:numId w:val="3"/>
        </w:numPr>
        <w:rPr>
          <w:rFonts w:ascii="Source Sans Pro" w:hAnsi="Source Sans Pro"/>
          <w:sz w:val="20"/>
          <w:szCs w:val="20"/>
        </w:rPr>
      </w:pPr>
      <w:r w:rsidRPr="00EE69D3">
        <w:rPr>
          <w:rFonts w:ascii="Source Sans Pro" w:hAnsi="Source Sans Pro"/>
          <w:sz w:val="20"/>
          <w:szCs w:val="20"/>
        </w:rPr>
        <w:t xml:space="preserve">ATRT1 had 12 team members; ATRS2 had 13; Consumer Metrics (CTT) has 15; WHOIS1 had 11; and SSR1 had 16. Further information is publicly available; for example, information on the members of ATRT1 is listed </w:t>
      </w:r>
      <w:hyperlink r:id="rId13" w:history="1">
        <w:r w:rsidRPr="00EE69D3">
          <w:rPr>
            <w:rStyle w:val="Hyperlink"/>
            <w:rFonts w:ascii="Source Sans Pro" w:hAnsi="Source Sans Pro"/>
            <w:sz w:val="20"/>
            <w:szCs w:val="20"/>
          </w:rPr>
          <w:t>here</w:t>
        </w:r>
      </w:hyperlink>
      <w:r w:rsidR="007C0FD3" w:rsidRPr="00EE69D3">
        <w:rPr>
          <w:rFonts w:ascii="Source Sans Pro" w:hAnsi="Source Sans Pro"/>
          <w:sz w:val="20"/>
          <w:szCs w:val="20"/>
        </w:rPr>
        <w:t>.</w:t>
      </w:r>
    </w:p>
    <w:p w14:paraId="0537FC44" w14:textId="77777777" w:rsidR="00420DD2" w:rsidRPr="00EE69D3" w:rsidRDefault="00420DD2" w:rsidP="00420DD2">
      <w:pPr>
        <w:pStyle w:val="p1"/>
        <w:rPr>
          <w:rFonts w:ascii="Source Sans Pro" w:hAnsi="Source Sans Pro"/>
          <w:sz w:val="20"/>
          <w:szCs w:val="20"/>
        </w:rPr>
      </w:pPr>
    </w:p>
    <w:p w14:paraId="6D7E25BA" w14:textId="77777777" w:rsidR="00582B46" w:rsidRDefault="00582B46" w:rsidP="00420DD2">
      <w:pPr>
        <w:pStyle w:val="p1"/>
        <w:rPr>
          <w:rStyle w:val="s1"/>
          <w:rFonts w:ascii="Source Sans Pro" w:hAnsi="Source Sans Pro"/>
          <w:b/>
          <w:sz w:val="20"/>
          <w:szCs w:val="20"/>
        </w:rPr>
      </w:pPr>
    </w:p>
    <w:p w14:paraId="7773EF6D" w14:textId="35B51BB0" w:rsidR="00420DD2" w:rsidRPr="00582B46" w:rsidRDefault="00420DD2" w:rsidP="00420DD2">
      <w:pPr>
        <w:pStyle w:val="p1"/>
        <w:rPr>
          <w:rStyle w:val="s1"/>
          <w:rFonts w:ascii="Source Sans Pro" w:hAnsi="Source Sans Pro"/>
          <w:b/>
          <w:sz w:val="20"/>
          <w:szCs w:val="20"/>
        </w:rPr>
      </w:pPr>
      <w:r w:rsidRPr="00582B46">
        <w:rPr>
          <w:rStyle w:val="s1"/>
          <w:rFonts w:ascii="Source Sans Pro" w:hAnsi="Source Sans Pro"/>
          <w:b/>
          <w:sz w:val="20"/>
          <w:szCs w:val="20"/>
        </w:rPr>
        <w:lastRenderedPageBreak/>
        <w:t>Online Community</w:t>
      </w:r>
    </w:p>
    <w:p w14:paraId="66635C45" w14:textId="0A6C6827" w:rsidR="00420DD2" w:rsidRPr="00EE69D3" w:rsidRDefault="00420DD2" w:rsidP="00420DD2">
      <w:pPr>
        <w:pStyle w:val="p1"/>
        <w:numPr>
          <w:ilvl w:val="0"/>
          <w:numId w:val="4"/>
        </w:numPr>
        <w:rPr>
          <w:rFonts w:ascii="Source Sans Pro" w:hAnsi="Source Sans Pro"/>
          <w:sz w:val="20"/>
          <w:szCs w:val="20"/>
        </w:rPr>
      </w:pPr>
      <w:r w:rsidRPr="00EE69D3">
        <w:rPr>
          <w:rFonts w:ascii="Source Sans Pro" w:hAnsi="Source Sans Pro"/>
          <w:sz w:val="20"/>
          <w:szCs w:val="20"/>
        </w:rPr>
        <w:t>This data indicates the total profiles created over five months, in which region</w:t>
      </w:r>
      <w:r w:rsidR="007C0FD3" w:rsidRPr="00EE69D3">
        <w:rPr>
          <w:rFonts w:ascii="Source Sans Pro" w:hAnsi="Source Sans Pro"/>
          <w:sz w:val="20"/>
          <w:szCs w:val="20"/>
        </w:rPr>
        <w:t>al categories are self-selected.</w:t>
      </w:r>
    </w:p>
    <w:p w14:paraId="1AD58800" w14:textId="77777777" w:rsidR="00420DD2" w:rsidRPr="00EE69D3" w:rsidRDefault="00420DD2" w:rsidP="00420DD2">
      <w:pPr>
        <w:pStyle w:val="p1"/>
        <w:rPr>
          <w:rFonts w:ascii="Source Sans Pro" w:hAnsi="Source Sans Pro"/>
          <w:sz w:val="20"/>
          <w:szCs w:val="20"/>
        </w:rPr>
      </w:pPr>
    </w:p>
    <w:p w14:paraId="43BB9A18" w14:textId="77777777" w:rsidR="00D54C5D" w:rsidRPr="00582B46" w:rsidRDefault="00420DD2" w:rsidP="00D54C5D">
      <w:pPr>
        <w:pStyle w:val="p1"/>
        <w:rPr>
          <w:rFonts w:ascii="Source Sans Pro" w:hAnsi="Source Sans Pro"/>
          <w:b/>
          <w:sz w:val="20"/>
          <w:szCs w:val="20"/>
        </w:rPr>
      </w:pPr>
      <w:r w:rsidRPr="00582B46">
        <w:rPr>
          <w:rFonts w:ascii="Source Sans Pro" w:hAnsi="Source Sans Pro"/>
          <w:b/>
          <w:sz w:val="20"/>
          <w:szCs w:val="20"/>
        </w:rPr>
        <w:t>Board</w:t>
      </w:r>
    </w:p>
    <w:p w14:paraId="41120690" w14:textId="77777777" w:rsidR="007C0FD3" w:rsidRPr="00EE69D3" w:rsidRDefault="00420DD2" w:rsidP="00D54C5D">
      <w:pPr>
        <w:pStyle w:val="p1"/>
        <w:numPr>
          <w:ilvl w:val="0"/>
          <w:numId w:val="4"/>
        </w:numPr>
        <w:rPr>
          <w:rFonts w:ascii="Source Sans Pro" w:hAnsi="Source Sans Pro"/>
          <w:sz w:val="20"/>
          <w:szCs w:val="20"/>
        </w:rPr>
      </w:pPr>
      <w:r w:rsidRPr="00EE69D3">
        <w:rPr>
          <w:rFonts w:ascii="Source Sans Pro" w:hAnsi="Source Sans Pro"/>
          <w:sz w:val="20"/>
          <w:szCs w:val="20"/>
        </w:rPr>
        <w:t xml:space="preserve">This data represents all 20 individuals on the </w:t>
      </w:r>
      <w:hyperlink r:id="rId14" w:history="1">
        <w:r w:rsidRPr="00EE69D3">
          <w:rPr>
            <w:rStyle w:val="Hyperlink"/>
            <w:rFonts w:ascii="Source Sans Pro" w:hAnsi="Source Sans Pro"/>
            <w:sz w:val="20"/>
            <w:szCs w:val="20"/>
          </w:rPr>
          <w:t>Board of Directors</w:t>
        </w:r>
      </w:hyperlink>
      <w:r w:rsidRPr="00EE69D3">
        <w:rPr>
          <w:rFonts w:ascii="Source Sans Pro" w:hAnsi="Source Sans Pro"/>
          <w:sz w:val="20"/>
          <w:szCs w:val="20"/>
        </w:rPr>
        <w:t>,</w:t>
      </w:r>
      <w:r w:rsidR="007C0FD3" w:rsidRPr="00EE69D3">
        <w:rPr>
          <w:rFonts w:ascii="Source Sans Pro" w:hAnsi="Source Sans Pro"/>
          <w:sz w:val="20"/>
          <w:szCs w:val="20"/>
        </w:rPr>
        <w:t xml:space="preserve"> including non-voting liaisons</w:t>
      </w:r>
    </w:p>
    <w:p w14:paraId="3A787D01" w14:textId="78DE2365" w:rsidR="00420DD2" w:rsidRPr="00EE69D3" w:rsidRDefault="00420DD2" w:rsidP="00D54C5D">
      <w:pPr>
        <w:pStyle w:val="p1"/>
        <w:numPr>
          <w:ilvl w:val="0"/>
          <w:numId w:val="4"/>
        </w:numPr>
        <w:rPr>
          <w:rFonts w:ascii="Source Sans Pro" w:hAnsi="Source Sans Pro"/>
          <w:sz w:val="20"/>
          <w:szCs w:val="20"/>
        </w:rPr>
      </w:pPr>
      <w:r w:rsidRPr="00EE69D3">
        <w:rPr>
          <w:rFonts w:ascii="Source Sans Pro" w:hAnsi="Source Sans Pro"/>
          <w:sz w:val="20"/>
          <w:szCs w:val="20"/>
        </w:rPr>
        <w:t>Regional diversity is based upon the citizenship used for the purposes of the diversity calculation required at Sec</w:t>
      </w:r>
      <w:r w:rsidR="007C0FD3" w:rsidRPr="00EE69D3">
        <w:rPr>
          <w:rFonts w:ascii="Source Sans Pro" w:hAnsi="Source Sans Pro"/>
          <w:sz w:val="20"/>
          <w:szCs w:val="20"/>
        </w:rPr>
        <w:t>tion 7.2(b) of the ICANN Bylaws</w:t>
      </w:r>
    </w:p>
    <w:p w14:paraId="4706B46A" w14:textId="77777777" w:rsidR="00D54C5D" w:rsidRPr="00EE69D3" w:rsidRDefault="00D54C5D" w:rsidP="00420DD2">
      <w:pPr>
        <w:pStyle w:val="p1"/>
        <w:rPr>
          <w:rFonts w:ascii="Source Sans Pro" w:hAnsi="Source Sans Pro"/>
          <w:sz w:val="20"/>
          <w:szCs w:val="20"/>
        </w:rPr>
      </w:pPr>
    </w:p>
    <w:p w14:paraId="674431F4" w14:textId="3E3D499D" w:rsidR="00D54C5D" w:rsidRPr="00582B46" w:rsidRDefault="00D54C5D" w:rsidP="00420DD2">
      <w:pPr>
        <w:pStyle w:val="p1"/>
        <w:rPr>
          <w:rFonts w:ascii="Source Sans Pro" w:hAnsi="Source Sans Pro"/>
          <w:b/>
          <w:sz w:val="20"/>
          <w:szCs w:val="20"/>
        </w:rPr>
      </w:pPr>
      <w:r w:rsidRPr="00582B46">
        <w:rPr>
          <w:rFonts w:ascii="Source Sans Pro" w:hAnsi="Source Sans Pro"/>
          <w:b/>
          <w:sz w:val="20"/>
          <w:szCs w:val="20"/>
        </w:rPr>
        <w:t>Personnel</w:t>
      </w:r>
    </w:p>
    <w:p w14:paraId="2C4E8544" w14:textId="77777777" w:rsidR="00D54C5D" w:rsidRPr="00EE69D3" w:rsidRDefault="00420DD2" w:rsidP="00D54C5D">
      <w:pPr>
        <w:pStyle w:val="p1"/>
        <w:numPr>
          <w:ilvl w:val="0"/>
          <w:numId w:val="4"/>
        </w:numPr>
        <w:rPr>
          <w:rFonts w:ascii="Source Sans Pro" w:hAnsi="Source Sans Pro"/>
          <w:sz w:val="20"/>
          <w:szCs w:val="20"/>
        </w:rPr>
      </w:pPr>
      <w:r w:rsidRPr="00EE69D3">
        <w:rPr>
          <w:rFonts w:ascii="Source Sans Pro" w:hAnsi="Source Sans Pro"/>
          <w:sz w:val="20"/>
          <w:szCs w:val="20"/>
        </w:rPr>
        <w:t xml:space="preserve">This data represents 365 full-time employees, the total personnel as of 30 November 2016. The figures are based on existing reports, which utilize three regional categories; the data represents place of work. HR designates the gender based on the profile applicants create during the hiring process. Staff may self-select gender; however, only binary options are given.  </w:t>
      </w:r>
    </w:p>
    <w:p w14:paraId="7DF2B313" w14:textId="7D00C882" w:rsidR="00420DD2" w:rsidRPr="00EE69D3" w:rsidRDefault="00420DD2" w:rsidP="00D54C5D">
      <w:pPr>
        <w:pStyle w:val="p1"/>
        <w:numPr>
          <w:ilvl w:val="0"/>
          <w:numId w:val="4"/>
        </w:numPr>
        <w:rPr>
          <w:rFonts w:ascii="Source Sans Pro" w:hAnsi="Source Sans Pro"/>
          <w:sz w:val="20"/>
          <w:szCs w:val="20"/>
        </w:rPr>
      </w:pPr>
      <w:r w:rsidRPr="00EE69D3">
        <w:rPr>
          <w:rFonts w:ascii="Source Sans Pro" w:hAnsi="Source Sans Pro"/>
          <w:sz w:val="20"/>
          <w:szCs w:val="20"/>
        </w:rPr>
        <w:t xml:space="preserve">Data is publicly available under section 3.3 of the Progress </w:t>
      </w:r>
      <w:hyperlink r:id="rId15" w:history="1">
        <w:r w:rsidR="00D54C5D" w:rsidRPr="00EE69D3">
          <w:rPr>
            <w:rStyle w:val="Hyperlink"/>
            <w:rFonts w:ascii="Source Sans Pro" w:hAnsi="Source Sans Pro"/>
            <w:sz w:val="20"/>
            <w:szCs w:val="20"/>
          </w:rPr>
          <w:t>dashboard</w:t>
        </w:r>
      </w:hyperlink>
    </w:p>
    <w:p w14:paraId="09F5BC4B" w14:textId="77777777" w:rsidR="00D54C5D" w:rsidRPr="00EE69D3" w:rsidRDefault="00D54C5D" w:rsidP="00D54C5D">
      <w:pPr>
        <w:pStyle w:val="p1"/>
        <w:ind w:left="0" w:firstLine="0"/>
        <w:rPr>
          <w:rFonts w:ascii="Source Sans Pro" w:hAnsi="Source Sans Pro"/>
          <w:sz w:val="20"/>
          <w:szCs w:val="20"/>
        </w:rPr>
      </w:pPr>
    </w:p>
    <w:p w14:paraId="3345312F" w14:textId="3A976CA5" w:rsidR="00D54C5D" w:rsidRPr="00582B46" w:rsidRDefault="00D54C5D" w:rsidP="00420DD2">
      <w:pPr>
        <w:pStyle w:val="p1"/>
        <w:rPr>
          <w:rFonts w:ascii="Source Sans Pro" w:hAnsi="Source Sans Pro"/>
          <w:b/>
          <w:sz w:val="20"/>
          <w:szCs w:val="20"/>
        </w:rPr>
      </w:pPr>
      <w:proofErr w:type="spellStart"/>
      <w:r w:rsidRPr="00582B46">
        <w:rPr>
          <w:rFonts w:ascii="Source Sans Pro" w:hAnsi="Source Sans Pro"/>
          <w:b/>
          <w:sz w:val="20"/>
          <w:szCs w:val="20"/>
        </w:rPr>
        <w:t>NextGen</w:t>
      </w:r>
      <w:proofErr w:type="spellEnd"/>
    </w:p>
    <w:p w14:paraId="6E8D839E" w14:textId="7BE4451B" w:rsidR="00D54C5D" w:rsidRPr="00EE69D3" w:rsidRDefault="00D54C5D" w:rsidP="00D54C5D">
      <w:pPr>
        <w:pStyle w:val="p1"/>
        <w:numPr>
          <w:ilvl w:val="0"/>
          <w:numId w:val="3"/>
        </w:numPr>
        <w:rPr>
          <w:rStyle w:val="s1"/>
          <w:rFonts w:ascii="Source Sans Pro" w:hAnsi="Source Sans Pro"/>
          <w:sz w:val="20"/>
          <w:szCs w:val="20"/>
        </w:rPr>
      </w:pPr>
      <w:r w:rsidRPr="00EE69D3">
        <w:rPr>
          <w:rStyle w:val="s1"/>
          <w:rFonts w:ascii="Source Sans Pro" w:hAnsi="Source Sans Pro"/>
          <w:sz w:val="20"/>
          <w:szCs w:val="20"/>
        </w:rPr>
        <w:t>Gender is self-declared; however,</w:t>
      </w:r>
      <w:r w:rsidR="007C0FD3" w:rsidRPr="00EE69D3">
        <w:rPr>
          <w:rStyle w:val="s1"/>
          <w:rFonts w:ascii="Source Sans Pro" w:hAnsi="Source Sans Pro"/>
          <w:sz w:val="20"/>
          <w:szCs w:val="20"/>
        </w:rPr>
        <w:t xml:space="preserve"> only binary options are given.</w:t>
      </w:r>
    </w:p>
    <w:p w14:paraId="45FF3DC8" w14:textId="364BFFCB" w:rsidR="00D54C5D" w:rsidRPr="00EE69D3" w:rsidRDefault="00D54C5D" w:rsidP="00D54C5D">
      <w:pPr>
        <w:pStyle w:val="p1"/>
        <w:numPr>
          <w:ilvl w:val="0"/>
          <w:numId w:val="3"/>
        </w:numPr>
        <w:rPr>
          <w:rStyle w:val="s1"/>
          <w:rFonts w:ascii="Source Sans Pro" w:hAnsi="Source Sans Pro"/>
          <w:sz w:val="20"/>
          <w:szCs w:val="20"/>
        </w:rPr>
      </w:pPr>
      <w:r w:rsidRPr="00EE69D3">
        <w:rPr>
          <w:rFonts w:ascii="Source Sans Pro" w:hAnsi="Source Sans Pro"/>
          <w:sz w:val="20"/>
          <w:szCs w:val="20"/>
        </w:rPr>
        <w:t xml:space="preserve">Regional data is not presented for the </w:t>
      </w:r>
      <w:proofErr w:type="spellStart"/>
      <w:r w:rsidRPr="00EE69D3">
        <w:rPr>
          <w:rFonts w:ascii="Source Sans Pro" w:hAnsi="Source Sans Pro"/>
          <w:sz w:val="20"/>
          <w:szCs w:val="20"/>
        </w:rPr>
        <w:t>NextGen</w:t>
      </w:r>
      <w:proofErr w:type="spellEnd"/>
      <w:r w:rsidRPr="00EE69D3">
        <w:rPr>
          <w:rFonts w:ascii="Source Sans Pro" w:hAnsi="Source Sans Pro"/>
          <w:sz w:val="20"/>
          <w:szCs w:val="20"/>
        </w:rPr>
        <w:t xml:space="preserve"> program because participants are drawn from the region of the Meeting</w:t>
      </w:r>
    </w:p>
    <w:p w14:paraId="7337B13D" w14:textId="77777777" w:rsidR="00D54C5D" w:rsidRPr="00EE69D3" w:rsidRDefault="00D54C5D" w:rsidP="007C0FD3">
      <w:pPr>
        <w:pStyle w:val="p1"/>
        <w:ind w:left="0" w:firstLine="0"/>
        <w:rPr>
          <w:rFonts w:ascii="Source Sans Pro" w:hAnsi="Source Sans Pro"/>
          <w:sz w:val="20"/>
          <w:szCs w:val="20"/>
        </w:rPr>
      </w:pPr>
    </w:p>
    <w:p w14:paraId="6BF20562" w14:textId="388F604F" w:rsidR="00D54C5D" w:rsidRPr="00582B46" w:rsidRDefault="00D54C5D" w:rsidP="00420DD2">
      <w:pPr>
        <w:pStyle w:val="p1"/>
        <w:rPr>
          <w:rStyle w:val="s1"/>
          <w:rFonts w:ascii="Source Sans Pro" w:hAnsi="Source Sans Pro"/>
          <w:b/>
          <w:sz w:val="20"/>
          <w:szCs w:val="20"/>
        </w:rPr>
      </w:pPr>
      <w:r w:rsidRPr="00582B46">
        <w:rPr>
          <w:rStyle w:val="s1"/>
          <w:rFonts w:ascii="Source Sans Pro" w:hAnsi="Source Sans Pro"/>
          <w:b/>
          <w:sz w:val="20"/>
          <w:szCs w:val="20"/>
        </w:rPr>
        <w:t>Fellowships</w:t>
      </w:r>
    </w:p>
    <w:p w14:paraId="39DE2B84" w14:textId="7F3C0BB3" w:rsidR="00D54C5D" w:rsidRPr="00EE69D3" w:rsidRDefault="00D54C5D" w:rsidP="00D54C5D">
      <w:pPr>
        <w:pStyle w:val="p1"/>
        <w:numPr>
          <w:ilvl w:val="0"/>
          <w:numId w:val="3"/>
        </w:numPr>
        <w:rPr>
          <w:rStyle w:val="s1"/>
          <w:rFonts w:ascii="Source Sans Pro" w:hAnsi="Source Sans Pro"/>
          <w:sz w:val="20"/>
          <w:szCs w:val="20"/>
        </w:rPr>
      </w:pPr>
      <w:r w:rsidRPr="00EE69D3">
        <w:rPr>
          <w:rStyle w:val="s1"/>
          <w:rFonts w:ascii="Source Sans Pro" w:hAnsi="Source Sans Pro"/>
          <w:sz w:val="20"/>
          <w:szCs w:val="20"/>
        </w:rPr>
        <w:t>Gender is self-declared; however, only binary options are given</w:t>
      </w:r>
      <w:r w:rsidR="007C0FD3" w:rsidRPr="00EE69D3">
        <w:rPr>
          <w:rStyle w:val="s1"/>
          <w:rFonts w:ascii="Source Sans Pro" w:hAnsi="Source Sans Pro"/>
          <w:sz w:val="20"/>
          <w:szCs w:val="20"/>
        </w:rPr>
        <w:t>.</w:t>
      </w:r>
    </w:p>
    <w:p w14:paraId="2B10F940" w14:textId="77777777" w:rsidR="00D54C5D" w:rsidRPr="00EE69D3" w:rsidRDefault="00D54C5D" w:rsidP="00420DD2">
      <w:pPr>
        <w:pStyle w:val="p1"/>
        <w:rPr>
          <w:rFonts w:ascii="Source Sans Pro" w:hAnsi="Source Sans Pro"/>
          <w:sz w:val="20"/>
          <w:szCs w:val="20"/>
        </w:rPr>
      </w:pPr>
    </w:p>
    <w:p w14:paraId="1B3834CE" w14:textId="1F481CC2" w:rsidR="00D54C5D" w:rsidRPr="00582B46" w:rsidRDefault="00D54C5D" w:rsidP="00420DD2">
      <w:pPr>
        <w:pStyle w:val="p1"/>
        <w:rPr>
          <w:rStyle w:val="s1"/>
          <w:rFonts w:ascii="Source Sans Pro" w:hAnsi="Source Sans Pro"/>
          <w:b/>
          <w:sz w:val="20"/>
          <w:szCs w:val="20"/>
        </w:rPr>
      </w:pPr>
      <w:r w:rsidRPr="00582B46">
        <w:rPr>
          <w:rStyle w:val="s1"/>
          <w:rFonts w:ascii="Source Sans Pro" w:hAnsi="Source Sans Pro"/>
          <w:b/>
          <w:sz w:val="20"/>
          <w:szCs w:val="20"/>
        </w:rPr>
        <w:t>ICANN Learn</w:t>
      </w:r>
    </w:p>
    <w:p w14:paraId="68557E06" w14:textId="3D99CBA3" w:rsidR="00D54C5D" w:rsidRPr="00EE69D3" w:rsidRDefault="00D54C5D" w:rsidP="00D54C5D">
      <w:pPr>
        <w:pStyle w:val="p1"/>
        <w:numPr>
          <w:ilvl w:val="0"/>
          <w:numId w:val="3"/>
        </w:numPr>
        <w:rPr>
          <w:rStyle w:val="s1"/>
          <w:rFonts w:ascii="Source Sans Pro" w:hAnsi="Source Sans Pro"/>
          <w:sz w:val="20"/>
          <w:szCs w:val="20"/>
        </w:rPr>
      </w:pPr>
      <w:r w:rsidRPr="00EE69D3">
        <w:rPr>
          <w:rStyle w:val="s1"/>
          <w:rFonts w:ascii="Source Sans Pro" w:hAnsi="Source Sans Pro"/>
          <w:sz w:val="20"/>
          <w:szCs w:val="20"/>
        </w:rPr>
        <w:t>ICANN Learn features 52 courses offered in 6 languages. Data represents 2400+ registered users and displays the percentage of users regis</w:t>
      </w:r>
      <w:r w:rsidR="007C0FD3" w:rsidRPr="00EE69D3">
        <w:rPr>
          <w:rStyle w:val="s1"/>
          <w:rFonts w:ascii="Source Sans Pro" w:hAnsi="Source Sans Pro"/>
          <w:sz w:val="20"/>
          <w:szCs w:val="20"/>
        </w:rPr>
        <w:t>tered to each language platform.</w:t>
      </w:r>
    </w:p>
    <w:p w14:paraId="3D32D381" w14:textId="77777777" w:rsidR="00D54C5D" w:rsidRPr="00EE69D3" w:rsidRDefault="00D54C5D" w:rsidP="00420DD2">
      <w:pPr>
        <w:pStyle w:val="p1"/>
        <w:rPr>
          <w:rFonts w:ascii="Source Sans Pro" w:hAnsi="Source Sans Pro"/>
          <w:sz w:val="20"/>
          <w:szCs w:val="20"/>
        </w:rPr>
      </w:pPr>
    </w:p>
    <w:p w14:paraId="0547B8C4" w14:textId="2B87FA1E" w:rsidR="00D54C5D" w:rsidRPr="00582B46" w:rsidRDefault="00D54C5D" w:rsidP="00420DD2">
      <w:pPr>
        <w:pStyle w:val="p1"/>
        <w:rPr>
          <w:rStyle w:val="s1"/>
          <w:rFonts w:ascii="Source Sans Pro" w:hAnsi="Source Sans Pro"/>
          <w:b/>
          <w:sz w:val="20"/>
          <w:szCs w:val="20"/>
        </w:rPr>
      </w:pPr>
      <w:r w:rsidRPr="00582B46">
        <w:rPr>
          <w:rStyle w:val="s1"/>
          <w:rFonts w:ascii="Source Sans Pro" w:hAnsi="Source Sans Pro"/>
          <w:b/>
          <w:sz w:val="20"/>
          <w:szCs w:val="20"/>
        </w:rPr>
        <w:t>Languages</w:t>
      </w:r>
    </w:p>
    <w:p w14:paraId="1BFF4AC5" w14:textId="5025FE8F" w:rsidR="00D54C5D" w:rsidRPr="00EE69D3" w:rsidRDefault="00D54C5D" w:rsidP="00D54C5D">
      <w:pPr>
        <w:pStyle w:val="p1"/>
        <w:numPr>
          <w:ilvl w:val="0"/>
          <w:numId w:val="3"/>
        </w:numPr>
        <w:rPr>
          <w:rFonts w:ascii="Source Sans Pro" w:hAnsi="Source Sans Pro"/>
          <w:sz w:val="20"/>
          <w:szCs w:val="20"/>
        </w:rPr>
      </w:pPr>
      <w:r w:rsidRPr="00EE69D3">
        <w:rPr>
          <w:rFonts w:ascii="Source Sans Pro" w:hAnsi="Source Sans Pro"/>
          <w:sz w:val="20"/>
          <w:szCs w:val="20"/>
        </w:rPr>
        <w:t>Recordings of meetings are posted through Adobe Connect after the session concludes, and audio links for all languages available for a session are also provided. This data shows total recorded hours (original and translated) for the last three ICANN meetings</w:t>
      </w:r>
      <w:r w:rsidR="007C0FD3" w:rsidRPr="00EE69D3">
        <w:rPr>
          <w:rFonts w:ascii="Source Sans Pro" w:hAnsi="Source Sans Pro"/>
          <w:sz w:val="20"/>
          <w:szCs w:val="20"/>
        </w:rPr>
        <w:t>.</w:t>
      </w:r>
    </w:p>
    <w:p w14:paraId="5DF06DD0" w14:textId="77777777" w:rsidR="00D54C5D" w:rsidRPr="00EE69D3" w:rsidRDefault="00D54C5D" w:rsidP="00F76A67">
      <w:pPr>
        <w:pStyle w:val="p1"/>
        <w:ind w:left="0" w:firstLine="0"/>
        <w:rPr>
          <w:rFonts w:ascii="Source Sans Pro" w:hAnsi="Source Sans Pro"/>
          <w:sz w:val="20"/>
          <w:szCs w:val="20"/>
        </w:rPr>
      </w:pPr>
    </w:p>
    <w:p w14:paraId="6BB1AD76" w14:textId="77777777" w:rsidR="00D54C5D" w:rsidRPr="00EE69D3" w:rsidRDefault="00D54C5D" w:rsidP="00420DD2">
      <w:pPr>
        <w:pStyle w:val="p1"/>
        <w:rPr>
          <w:rFonts w:ascii="Source Sans Pro" w:hAnsi="Source Sans Pro"/>
          <w:sz w:val="20"/>
          <w:szCs w:val="20"/>
        </w:rPr>
      </w:pPr>
    </w:p>
    <w:p w14:paraId="1A586D19" w14:textId="1D909403" w:rsidR="00D54C5D" w:rsidRDefault="00D54C5D" w:rsidP="00420DD2">
      <w:pPr>
        <w:pStyle w:val="p1"/>
        <w:rPr>
          <w:rFonts w:ascii="Source Sans Pro" w:hAnsi="Source Sans Pro"/>
          <w:b/>
          <w:sz w:val="26"/>
          <w:szCs w:val="26"/>
        </w:rPr>
      </w:pPr>
      <w:r w:rsidRPr="00EE69D3">
        <w:rPr>
          <w:rFonts w:ascii="Source Sans Pro" w:hAnsi="Source Sans Pro"/>
          <w:b/>
          <w:sz w:val="26"/>
          <w:szCs w:val="26"/>
        </w:rPr>
        <w:t xml:space="preserve">Data Collection </w:t>
      </w:r>
      <w:r w:rsidR="00582B46">
        <w:rPr>
          <w:rFonts w:ascii="Source Sans Pro" w:hAnsi="Source Sans Pro"/>
          <w:b/>
          <w:sz w:val="26"/>
          <w:szCs w:val="26"/>
        </w:rPr>
        <w:t>Challenges</w:t>
      </w:r>
      <w:r w:rsidR="00352381">
        <w:rPr>
          <w:rFonts w:ascii="Source Sans Pro" w:hAnsi="Source Sans Pro"/>
          <w:b/>
          <w:sz w:val="26"/>
          <w:szCs w:val="26"/>
        </w:rPr>
        <w:t xml:space="preserve"> &amp; Opportunities </w:t>
      </w:r>
      <w:bookmarkStart w:id="0" w:name="_GoBack"/>
      <w:bookmarkEnd w:id="0"/>
    </w:p>
    <w:p w14:paraId="657F2046" w14:textId="77777777" w:rsidR="00EE69D3" w:rsidRPr="00EE69D3" w:rsidRDefault="00EE69D3" w:rsidP="00420DD2">
      <w:pPr>
        <w:pStyle w:val="p1"/>
        <w:rPr>
          <w:rFonts w:ascii="Source Sans Pro" w:hAnsi="Source Sans Pro"/>
          <w:b/>
          <w:sz w:val="16"/>
          <w:szCs w:val="16"/>
        </w:rPr>
      </w:pPr>
    </w:p>
    <w:p w14:paraId="4F55E488" w14:textId="77777777" w:rsidR="00D54C5D" w:rsidRPr="00EE69D3" w:rsidRDefault="00D54C5D" w:rsidP="00F76A67">
      <w:pPr>
        <w:pStyle w:val="p1"/>
        <w:numPr>
          <w:ilvl w:val="0"/>
          <w:numId w:val="7"/>
        </w:numPr>
        <w:rPr>
          <w:rFonts w:ascii="Source Sans Pro" w:hAnsi="Source Sans Pro"/>
          <w:sz w:val="20"/>
          <w:szCs w:val="20"/>
        </w:rPr>
      </w:pPr>
      <w:r w:rsidRPr="00EE69D3">
        <w:rPr>
          <w:rFonts w:ascii="Source Sans Pro" w:hAnsi="Source Sans Pro"/>
          <w:sz w:val="20"/>
          <w:szCs w:val="20"/>
        </w:rPr>
        <w:t>Gender:</w:t>
      </w:r>
    </w:p>
    <w:p w14:paraId="35C2A925" w14:textId="77777777" w:rsidR="00D54C5D" w:rsidRPr="00EE69D3" w:rsidRDefault="00D54C5D" w:rsidP="00F76A67">
      <w:pPr>
        <w:pStyle w:val="p1"/>
        <w:numPr>
          <w:ilvl w:val="1"/>
          <w:numId w:val="7"/>
        </w:numPr>
        <w:rPr>
          <w:rStyle w:val="s1"/>
          <w:rFonts w:ascii="Source Sans Pro" w:hAnsi="Source Sans Pro"/>
          <w:sz w:val="20"/>
          <w:szCs w:val="20"/>
        </w:rPr>
      </w:pPr>
      <w:r w:rsidRPr="00EE69D3">
        <w:rPr>
          <w:rStyle w:val="s1"/>
          <w:rFonts w:ascii="Source Sans Pro" w:hAnsi="Source Sans Pro"/>
          <w:sz w:val="20"/>
          <w:szCs w:val="20"/>
        </w:rPr>
        <w:t xml:space="preserve">Gender is not always self-selected. Best practice would be to have all individuals self-select their gender.  </w:t>
      </w:r>
    </w:p>
    <w:p w14:paraId="07DFBDD9" w14:textId="77777777" w:rsidR="00D54C5D" w:rsidRPr="00EE69D3" w:rsidRDefault="00D54C5D" w:rsidP="00F76A67">
      <w:pPr>
        <w:pStyle w:val="p1"/>
        <w:numPr>
          <w:ilvl w:val="1"/>
          <w:numId w:val="7"/>
        </w:numPr>
        <w:rPr>
          <w:rStyle w:val="s1"/>
          <w:rFonts w:ascii="Source Sans Pro" w:hAnsi="Source Sans Pro"/>
          <w:sz w:val="20"/>
          <w:szCs w:val="20"/>
        </w:rPr>
      </w:pPr>
      <w:r w:rsidRPr="00EE69D3">
        <w:rPr>
          <w:rStyle w:val="s1"/>
          <w:rFonts w:ascii="Source Sans Pro" w:hAnsi="Source Sans Pro"/>
          <w:sz w:val="20"/>
          <w:szCs w:val="20"/>
        </w:rPr>
        <w:t>Gender selection is often presented as a binary. Best practice would be to include male/female/other fields.</w:t>
      </w:r>
    </w:p>
    <w:p w14:paraId="4E0194D9" w14:textId="38863D1E" w:rsidR="00D54C5D" w:rsidRPr="00EE69D3" w:rsidRDefault="00D54C5D" w:rsidP="00F76A67">
      <w:pPr>
        <w:pStyle w:val="p1"/>
        <w:numPr>
          <w:ilvl w:val="1"/>
          <w:numId w:val="7"/>
        </w:numPr>
        <w:rPr>
          <w:rFonts w:ascii="Source Sans Pro" w:hAnsi="Source Sans Pro"/>
          <w:sz w:val="20"/>
          <w:szCs w:val="20"/>
        </w:rPr>
      </w:pPr>
      <w:r w:rsidRPr="00EE69D3">
        <w:rPr>
          <w:rFonts w:ascii="Source Sans Pro" w:hAnsi="Source Sans Pro"/>
          <w:sz w:val="20"/>
          <w:szCs w:val="20"/>
        </w:rPr>
        <w:t>Gender data compiled from salutations in meeting registration data is self-selected. However, titles, such as Dr</w:t>
      </w:r>
      <w:r w:rsidR="00EE69D3">
        <w:rPr>
          <w:rFonts w:ascii="Source Sans Pro" w:hAnsi="Source Sans Pro"/>
          <w:sz w:val="20"/>
          <w:szCs w:val="20"/>
        </w:rPr>
        <w:t>.</w:t>
      </w:r>
      <w:r w:rsidRPr="00EE69D3">
        <w:rPr>
          <w:rFonts w:ascii="Source Sans Pro" w:hAnsi="Source Sans Pro"/>
          <w:sz w:val="20"/>
          <w:szCs w:val="20"/>
        </w:rPr>
        <w:t xml:space="preserve"> or Professor, are aggregated into the ‘other’ category along with blank or non-selected entries. Best practice would be to offer a gender field in registration forms that provides male/female/other options; this field could either be required or optional.</w:t>
      </w:r>
    </w:p>
    <w:p w14:paraId="791FC439" w14:textId="6CFBAFA2" w:rsidR="00D54C5D" w:rsidRPr="00EE69D3" w:rsidRDefault="00D54C5D" w:rsidP="00F76A67">
      <w:pPr>
        <w:pStyle w:val="p1"/>
        <w:numPr>
          <w:ilvl w:val="0"/>
          <w:numId w:val="7"/>
        </w:numPr>
        <w:rPr>
          <w:rFonts w:ascii="Source Sans Pro" w:hAnsi="Source Sans Pro"/>
          <w:sz w:val="20"/>
          <w:szCs w:val="20"/>
        </w:rPr>
      </w:pPr>
      <w:r w:rsidRPr="00EE69D3">
        <w:rPr>
          <w:rFonts w:ascii="Source Sans Pro" w:hAnsi="Source Sans Pro"/>
          <w:sz w:val="20"/>
          <w:szCs w:val="20"/>
        </w:rPr>
        <w:t>Region:</w:t>
      </w:r>
    </w:p>
    <w:p w14:paraId="35D46E23" w14:textId="7AED3304" w:rsidR="0003263C" w:rsidRPr="00EE69D3" w:rsidRDefault="0003263C" w:rsidP="00F76A67">
      <w:pPr>
        <w:pStyle w:val="p1"/>
        <w:numPr>
          <w:ilvl w:val="1"/>
          <w:numId w:val="7"/>
        </w:numPr>
        <w:rPr>
          <w:rStyle w:val="s1"/>
          <w:rFonts w:ascii="Source Sans Pro" w:hAnsi="Source Sans Pro"/>
          <w:sz w:val="20"/>
          <w:szCs w:val="20"/>
        </w:rPr>
      </w:pPr>
      <w:r w:rsidRPr="00EE69D3">
        <w:rPr>
          <w:rStyle w:val="s1"/>
          <w:rFonts w:ascii="Source Sans Pro" w:hAnsi="Source Sans Pro"/>
          <w:sz w:val="20"/>
          <w:szCs w:val="20"/>
        </w:rPr>
        <w:t>H</w:t>
      </w:r>
      <w:r w:rsidR="00605DBA" w:rsidRPr="00EE69D3">
        <w:rPr>
          <w:rStyle w:val="s1"/>
          <w:rFonts w:ascii="Source Sans Pro" w:hAnsi="Source Sans Pro"/>
          <w:sz w:val="20"/>
          <w:szCs w:val="20"/>
        </w:rPr>
        <w:t>uman Resources</w:t>
      </w:r>
      <w:r w:rsidRPr="00EE69D3">
        <w:rPr>
          <w:rStyle w:val="s1"/>
          <w:rFonts w:ascii="Source Sans Pro" w:hAnsi="Source Sans Pro"/>
          <w:sz w:val="20"/>
          <w:szCs w:val="20"/>
        </w:rPr>
        <w:t xml:space="preserve"> uses three regional categories and Meetings uses eight regional categories. Best practice would be to </w:t>
      </w:r>
      <w:r w:rsidR="00582B46">
        <w:rPr>
          <w:rStyle w:val="s1"/>
          <w:rFonts w:ascii="Source Sans Pro" w:hAnsi="Source Sans Pro"/>
          <w:sz w:val="20"/>
          <w:szCs w:val="20"/>
        </w:rPr>
        <w:t xml:space="preserve">identify a benchmark (i.e. </w:t>
      </w:r>
      <w:r w:rsidRPr="00EE69D3">
        <w:rPr>
          <w:rStyle w:val="s1"/>
          <w:rFonts w:ascii="Source Sans Pro" w:hAnsi="Source Sans Pro"/>
          <w:sz w:val="20"/>
          <w:szCs w:val="20"/>
        </w:rPr>
        <w:t>ICANN regions</w:t>
      </w:r>
      <w:r w:rsidR="00582B46">
        <w:rPr>
          <w:rStyle w:val="s1"/>
          <w:rFonts w:ascii="Source Sans Pro" w:hAnsi="Source Sans Pro"/>
          <w:sz w:val="20"/>
          <w:szCs w:val="20"/>
        </w:rPr>
        <w:t>)</w:t>
      </w:r>
      <w:r w:rsidRPr="00EE69D3">
        <w:rPr>
          <w:rStyle w:val="s1"/>
          <w:rFonts w:ascii="Source Sans Pro" w:hAnsi="Source Sans Pro"/>
          <w:sz w:val="20"/>
          <w:szCs w:val="20"/>
        </w:rPr>
        <w:t xml:space="preserve"> so that </w:t>
      </w:r>
      <w:r w:rsidR="00D54C5D" w:rsidRPr="00EE69D3">
        <w:rPr>
          <w:rStyle w:val="s1"/>
          <w:rFonts w:ascii="Source Sans Pro" w:hAnsi="Source Sans Pro"/>
          <w:sz w:val="20"/>
          <w:szCs w:val="20"/>
        </w:rPr>
        <w:t>data</w:t>
      </w:r>
      <w:r w:rsidR="00582B46">
        <w:rPr>
          <w:rStyle w:val="s1"/>
          <w:rFonts w:ascii="Source Sans Pro" w:hAnsi="Source Sans Pro"/>
          <w:sz w:val="20"/>
          <w:szCs w:val="20"/>
        </w:rPr>
        <w:t xml:space="preserve"> collected</w:t>
      </w:r>
      <w:r w:rsidR="00D54C5D" w:rsidRPr="00EE69D3">
        <w:rPr>
          <w:rStyle w:val="s1"/>
          <w:rFonts w:ascii="Source Sans Pro" w:hAnsi="Source Sans Pro"/>
          <w:sz w:val="20"/>
          <w:szCs w:val="20"/>
        </w:rPr>
        <w:t xml:space="preserve"> is consistent across the ICANN community. </w:t>
      </w:r>
    </w:p>
    <w:p w14:paraId="151602A9" w14:textId="4E9D57F2" w:rsidR="00D54C5D" w:rsidRPr="00EE69D3" w:rsidRDefault="00D54C5D" w:rsidP="00F76A67">
      <w:pPr>
        <w:pStyle w:val="p1"/>
        <w:numPr>
          <w:ilvl w:val="1"/>
          <w:numId w:val="7"/>
        </w:numPr>
        <w:rPr>
          <w:rStyle w:val="s1"/>
          <w:rFonts w:ascii="Source Sans Pro" w:hAnsi="Source Sans Pro"/>
          <w:sz w:val="20"/>
          <w:szCs w:val="20"/>
        </w:rPr>
      </w:pPr>
      <w:r w:rsidRPr="00EE69D3">
        <w:rPr>
          <w:rStyle w:val="s1"/>
          <w:rFonts w:ascii="Source Sans Pro" w:hAnsi="Source Sans Pro"/>
          <w:sz w:val="20"/>
          <w:szCs w:val="20"/>
        </w:rPr>
        <w:t>Most ICANN groups collect regional information only; if the regions change, that data would become unhelpful. If raw data</w:t>
      </w:r>
      <w:r w:rsidR="00582B46">
        <w:rPr>
          <w:rStyle w:val="s1"/>
          <w:rFonts w:ascii="Source Sans Pro" w:hAnsi="Source Sans Pro"/>
          <w:sz w:val="20"/>
          <w:szCs w:val="20"/>
        </w:rPr>
        <w:t xml:space="preserve"> were collected instead</w:t>
      </w:r>
      <w:r w:rsidRPr="00EE69D3">
        <w:rPr>
          <w:rStyle w:val="s1"/>
          <w:rFonts w:ascii="Source Sans Pro" w:hAnsi="Source Sans Pro"/>
          <w:sz w:val="20"/>
          <w:szCs w:val="20"/>
        </w:rPr>
        <w:t xml:space="preserve"> – such as the country –the data </w:t>
      </w:r>
      <w:r w:rsidR="00582B46">
        <w:rPr>
          <w:rStyle w:val="s1"/>
          <w:rFonts w:ascii="Source Sans Pro" w:hAnsi="Source Sans Pro"/>
          <w:sz w:val="20"/>
          <w:szCs w:val="20"/>
        </w:rPr>
        <w:t xml:space="preserve">can be reprocessed </w:t>
      </w:r>
      <w:r w:rsidRPr="00EE69D3">
        <w:rPr>
          <w:rStyle w:val="s1"/>
          <w:rFonts w:ascii="Source Sans Pro" w:hAnsi="Source Sans Pro"/>
          <w:sz w:val="20"/>
          <w:szCs w:val="20"/>
        </w:rPr>
        <w:t>as necessary</w:t>
      </w:r>
      <w:r w:rsidR="00582B46">
        <w:rPr>
          <w:rStyle w:val="s1"/>
          <w:rFonts w:ascii="Source Sans Pro" w:hAnsi="Source Sans Pro"/>
          <w:sz w:val="20"/>
          <w:szCs w:val="20"/>
        </w:rPr>
        <w:t xml:space="preserve"> to align with any potential changes in</w:t>
      </w:r>
      <w:r w:rsidRPr="00EE69D3">
        <w:rPr>
          <w:rStyle w:val="s1"/>
          <w:rFonts w:ascii="Source Sans Pro" w:hAnsi="Source Sans Pro"/>
          <w:sz w:val="20"/>
          <w:szCs w:val="20"/>
        </w:rPr>
        <w:t xml:space="preserve"> ICANN’s regional categories. </w:t>
      </w:r>
    </w:p>
    <w:p w14:paraId="52B7B731" w14:textId="77777777" w:rsidR="00D54C5D" w:rsidRPr="00EE69D3" w:rsidRDefault="00D54C5D" w:rsidP="0003263C">
      <w:pPr>
        <w:pStyle w:val="p1"/>
        <w:ind w:left="1440" w:firstLine="0"/>
        <w:rPr>
          <w:rFonts w:ascii="Source Sans Pro" w:hAnsi="Source Sans Pro"/>
          <w:sz w:val="20"/>
          <w:szCs w:val="20"/>
        </w:rPr>
      </w:pPr>
    </w:p>
    <w:sectPr w:rsidR="00D54C5D" w:rsidRPr="00EE69D3" w:rsidSect="0095718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B98"/>
    <w:multiLevelType w:val="hybridMultilevel"/>
    <w:tmpl w:val="4704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E397A"/>
    <w:multiLevelType w:val="hybridMultilevel"/>
    <w:tmpl w:val="27381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40565"/>
    <w:multiLevelType w:val="hybridMultilevel"/>
    <w:tmpl w:val="C9E60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37F02"/>
    <w:multiLevelType w:val="hybridMultilevel"/>
    <w:tmpl w:val="91EA3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A71EB"/>
    <w:multiLevelType w:val="hybridMultilevel"/>
    <w:tmpl w:val="A17C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30D94"/>
    <w:multiLevelType w:val="hybridMultilevel"/>
    <w:tmpl w:val="8142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323B72"/>
    <w:multiLevelType w:val="hybridMultilevel"/>
    <w:tmpl w:val="DA28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80"/>
    <w:rsid w:val="0003263C"/>
    <w:rsid w:val="000679E5"/>
    <w:rsid w:val="00291D4F"/>
    <w:rsid w:val="00352381"/>
    <w:rsid w:val="00395EF7"/>
    <w:rsid w:val="00420DD2"/>
    <w:rsid w:val="004266EB"/>
    <w:rsid w:val="00582B46"/>
    <w:rsid w:val="00605DBA"/>
    <w:rsid w:val="007001C5"/>
    <w:rsid w:val="007341E6"/>
    <w:rsid w:val="007C0FD3"/>
    <w:rsid w:val="008841D2"/>
    <w:rsid w:val="008A33C8"/>
    <w:rsid w:val="008B6F78"/>
    <w:rsid w:val="008F1380"/>
    <w:rsid w:val="0095007D"/>
    <w:rsid w:val="0095718C"/>
    <w:rsid w:val="00B74B96"/>
    <w:rsid w:val="00C17FE1"/>
    <w:rsid w:val="00CE5D5A"/>
    <w:rsid w:val="00D54C5D"/>
    <w:rsid w:val="00D8411F"/>
    <w:rsid w:val="00EE69D3"/>
    <w:rsid w:val="00F76A67"/>
    <w:rsid w:val="00FA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6B1E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17FE1"/>
    <w:pPr>
      <w:ind w:left="720" w:hanging="720"/>
    </w:pPr>
    <w:rPr>
      <w:rFonts w:ascii="Calibri" w:hAnsi="Calibri" w:cs="Times New Roman"/>
      <w:sz w:val="18"/>
      <w:szCs w:val="18"/>
    </w:rPr>
  </w:style>
  <w:style w:type="character" w:customStyle="1" w:styleId="s1">
    <w:name w:val="s1"/>
    <w:basedOn w:val="DefaultParagraphFont"/>
    <w:rsid w:val="00C17FE1"/>
  </w:style>
  <w:style w:type="character" w:styleId="Hyperlink">
    <w:name w:val="Hyperlink"/>
    <w:basedOn w:val="DefaultParagraphFont"/>
    <w:uiPriority w:val="99"/>
    <w:unhideWhenUsed/>
    <w:rsid w:val="00C17FE1"/>
    <w:rPr>
      <w:color w:val="0563C1" w:themeColor="hyperlink"/>
      <w:u w:val="single"/>
    </w:rPr>
  </w:style>
  <w:style w:type="table" w:styleId="TableGrid">
    <w:name w:val="Table Grid"/>
    <w:basedOn w:val="TableNormal"/>
    <w:uiPriority w:val="39"/>
    <w:rsid w:val="00D54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3263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3263C"/>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17FE1"/>
    <w:pPr>
      <w:ind w:left="720" w:hanging="720"/>
    </w:pPr>
    <w:rPr>
      <w:rFonts w:ascii="Calibri" w:hAnsi="Calibri" w:cs="Times New Roman"/>
      <w:sz w:val="18"/>
      <w:szCs w:val="18"/>
    </w:rPr>
  </w:style>
  <w:style w:type="character" w:customStyle="1" w:styleId="s1">
    <w:name w:val="s1"/>
    <w:basedOn w:val="DefaultParagraphFont"/>
    <w:rsid w:val="00C17FE1"/>
  </w:style>
  <w:style w:type="character" w:styleId="Hyperlink">
    <w:name w:val="Hyperlink"/>
    <w:basedOn w:val="DefaultParagraphFont"/>
    <w:uiPriority w:val="99"/>
    <w:unhideWhenUsed/>
    <w:rsid w:val="00C17FE1"/>
    <w:rPr>
      <w:color w:val="0563C1" w:themeColor="hyperlink"/>
      <w:u w:val="single"/>
    </w:rPr>
  </w:style>
  <w:style w:type="table" w:styleId="TableGrid">
    <w:name w:val="Table Grid"/>
    <w:basedOn w:val="TableNormal"/>
    <w:uiPriority w:val="39"/>
    <w:rsid w:val="00D54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3263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3263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gacweb.icann.org/display/gacweb/GAC+Leadership" TargetMode="External"/><Relationship Id="rId12" Type="http://schemas.openxmlformats.org/officeDocument/2006/relationships/hyperlink" Target="https://gacweb.icann.org/display/gacweb/GAC+Observers" TargetMode="External"/><Relationship Id="rId13" Type="http://schemas.openxmlformats.org/officeDocument/2006/relationships/hyperlink" Target="https://www.icann.org/resources/pages/governance/composition-en" TargetMode="External"/><Relationship Id="rId14" Type="http://schemas.openxmlformats.org/officeDocument/2006/relationships/hyperlink" Target="https://www.icann.org/resources/pages/board-of-directors" TargetMode="External"/><Relationship Id="rId15" Type="http://schemas.openxmlformats.org/officeDocument/2006/relationships/hyperlink" Target="https://www.icann.org/progres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news/blog/explore-our-first-icann-post-public-meeting-technical-report" TargetMode="External"/><Relationship Id="rId7" Type="http://schemas.openxmlformats.org/officeDocument/2006/relationships/hyperlink" Target="https://www.icann.org/news/blog/icann56-technical-report-now-available" TargetMode="External"/><Relationship Id="rId8" Type="http://schemas.openxmlformats.org/officeDocument/2006/relationships/hyperlink" Target="file:///Users/meghan.healy/Downloads/icann57_technical_report_-_by_the_numbers_web%20(1).pdf" TargetMode="External"/><Relationship Id="rId9" Type="http://schemas.openxmlformats.org/officeDocument/2006/relationships/hyperlink" Target="https://aso.icann.org/advisory-council/address-council-members/" TargetMode="External"/><Relationship Id="rId10" Type="http://schemas.openxmlformats.org/officeDocument/2006/relationships/hyperlink" Target="https://gacweb.icann.org/display/gacweb/GAC+Represent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5645</Characters>
  <Application>Microsoft Macintosh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Healy</dc:creator>
  <cp:keywords/>
  <dc:description/>
  <cp:lastModifiedBy>Ergys Ramaj</cp:lastModifiedBy>
  <cp:revision>2</cp:revision>
  <dcterms:created xsi:type="dcterms:W3CDTF">2017-01-23T15:50:00Z</dcterms:created>
  <dcterms:modified xsi:type="dcterms:W3CDTF">2017-01-23T15:50:00Z</dcterms:modified>
</cp:coreProperties>
</file>