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B4706" w14:textId="77777777" w:rsidR="00776771" w:rsidRDefault="00776771" w:rsidP="00776771">
      <w:pPr>
        <w:shd w:val="clear" w:color="auto" w:fill="FFFFFF"/>
        <w:jc w:val="center"/>
        <w:rPr>
          <w:rFonts w:ascii="Arial" w:hAnsi="Arial" w:cs="Arial"/>
          <w:b/>
          <w:color w:val="1F497D"/>
          <w:sz w:val="20"/>
          <w:szCs w:val="20"/>
          <w:lang w:val="en-GB" w:eastAsia="es-ES_tradnl"/>
        </w:rPr>
      </w:pPr>
      <w:r w:rsidRPr="00776771">
        <w:rPr>
          <w:rFonts w:ascii="Arial" w:hAnsi="Arial" w:cs="Arial"/>
          <w:b/>
          <w:color w:val="1F497D"/>
          <w:sz w:val="20"/>
          <w:szCs w:val="20"/>
          <w:lang w:val="en-GB" w:eastAsia="es-ES_tradnl"/>
        </w:rPr>
        <w:t>Diversity Sub WG – CCWG on Accountability</w:t>
      </w:r>
    </w:p>
    <w:p w14:paraId="5A075892" w14:textId="65770D21" w:rsidR="003C42E6" w:rsidRDefault="003C42E6" w:rsidP="00776771">
      <w:pPr>
        <w:shd w:val="clear" w:color="auto" w:fill="FFFFFF"/>
        <w:jc w:val="center"/>
        <w:rPr>
          <w:rFonts w:ascii="Arial" w:hAnsi="Arial" w:cs="Arial"/>
          <w:b/>
          <w:color w:val="1F497D"/>
          <w:sz w:val="20"/>
          <w:szCs w:val="20"/>
          <w:lang w:val="en-GB" w:eastAsia="es-ES_tradnl"/>
        </w:rPr>
      </w:pPr>
      <w:r>
        <w:rPr>
          <w:rFonts w:ascii="Arial" w:hAnsi="Arial" w:cs="Arial"/>
          <w:b/>
          <w:color w:val="1F497D"/>
          <w:sz w:val="20"/>
          <w:szCs w:val="20"/>
          <w:lang w:val="en-GB" w:eastAsia="es-ES_tradnl"/>
        </w:rPr>
        <w:t>GAC Response</w:t>
      </w:r>
    </w:p>
    <w:p w14:paraId="66DDC90E" w14:textId="77777777" w:rsidR="003C42E6" w:rsidRPr="00D01855" w:rsidRDefault="003C42E6" w:rsidP="00776771">
      <w:pPr>
        <w:shd w:val="clear" w:color="auto" w:fill="FFFFFF"/>
        <w:jc w:val="center"/>
        <w:rPr>
          <w:rFonts w:ascii="Arial" w:hAnsi="Arial" w:cs="Arial"/>
          <w:b/>
          <w:color w:val="222222"/>
          <w:sz w:val="19"/>
          <w:szCs w:val="19"/>
          <w:lang w:val="en-US" w:eastAsia="es-ES_tradnl"/>
        </w:rPr>
      </w:pPr>
      <w:bookmarkStart w:id="0" w:name="_GoBack"/>
      <w:bookmarkEnd w:id="0"/>
    </w:p>
    <w:p w14:paraId="05B0530D" w14:textId="77777777" w:rsidR="00776771" w:rsidRPr="00D01855" w:rsidRDefault="00776771" w:rsidP="00776771">
      <w:pPr>
        <w:shd w:val="clear" w:color="auto" w:fill="FFFFFF"/>
        <w:rPr>
          <w:rFonts w:ascii="Times New Roman" w:hAnsi="Times New Roman" w:cs="Times New Roman"/>
          <w:color w:val="222222"/>
          <w:lang w:val="en-US" w:eastAsia="es-ES_tradnl"/>
        </w:rPr>
      </w:pPr>
      <w:r w:rsidRPr="00776771">
        <w:rPr>
          <w:rFonts w:ascii="Century Gothic" w:hAnsi="Century Gothic" w:cs="Times New Roman"/>
          <w:color w:val="000000"/>
          <w:sz w:val="18"/>
          <w:szCs w:val="18"/>
          <w:lang w:val="en-GB" w:eastAsia="es-ES_tradnl"/>
        </w:rPr>
        <w:t> </w:t>
      </w:r>
    </w:p>
    <w:p w14:paraId="01D77B64" w14:textId="77777777" w:rsidR="00776771" w:rsidRPr="00D01855" w:rsidRDefault="00776771" w:rsidP="00776771">
      <w:pPr>
        <w:shd w:val="clear" w:color="auto" w:fill="FFFFFF"/>
        <w:rPr>
          <w:rFonts w:ascii="Times New Roman" w:hAnsi="Times New Roman" w:cs="Times New Roman"/>
          <w:color w:val="222222"/>
          <w:lang w:val="en-US" w:eastAsia="es-ES_tradnl"/>
        </w:rPr>
      </w:pPr>
      <w:r w:rsidRPr="00D01855">
        <w:rPr>
          <w:rFonts w:ascii="Calibri" w:hAnsi="Calibri" w:cs="Times New Roman"/>
          <w:color w:val="1F497D"/>
          <w:sz w:val="22"/>
          <w:szCs w:val="22"/>
          <w:lang w:val="en-US" w:eastAsia="es-ES_tradnl"/>
        </w:rPr>
        <w:t> </w:t>
      </w:r>
    </w:p>
    <w:p w14:paraId="42A5560A" w14:textId="77777777" w:rsidR="00776771" w:rsidRPr="003C42E6" w:rsidRDefault="00776771" w:rsidP="0077677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The Diversity Sub-Group has identified the following non-exhaustive list of elements of diversity as potentially relevant to ICANN SO/AC/groups:</w:t>
      </w:r>
    </w:p>
    <w:p w14:paraId="5BE285A4" w14:textId="77777777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A.      </w:t>
      </w:r>
      <w:r w:rsidRPr="003C42E6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  <w:t>Geographic/regional representation</w:t>
      </w:r>
    </w:p>
    <w:p w14:paraId="1C2DC46A" w14:textId="77777777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B.      </w:t>
      </w:r>
      <w:r w:rsidRPr="003C42E6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  <w:t>Language</w:t>
      </w:r>
    </w:p>
    <w:p w14:paraId="22D4D633" w14:textId="77777777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C.      </w:t>
      </w:r>
      <w:r w:rsidRPr="003C42E6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  <w:t>Gender</w:t>
      </w:r>
    </w:p>
    <w:p w14:paraId="5A2A2523" w14:textId="77777777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D.      </w:t>
      </w:r>
      <w:r w:rsidRPr="003C42E6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  <w:t>Age</w:t>
      </w:r>
    </w:p>
    <w:p w14:paraId="1DDF9BEA" w14:textId="77777777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E.      </w:t>
      </w:r>
      <w:r w:rsidRPr="003C42E6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  <w:t>Physical Disability</w:t>
      </w:r>
    </w:p>
    <w:p w14:paraId="266D1E93" w14:textId="0C03EBB3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F.       </w:t>
      </w:r>
      <w:r w:rsidRPr="003C42E6">
        <w:rPr>
          <w:rFonts w:ascii="Arial" w:hAnsi="Arial" w:cs="Arial"/>
          <w:i/>
          <w:iCs/>
          <w:strike/>
          <w:color w:val="000000" w:themeColor="text1"/>
          <w:sz w:val="22"/>
          <w:szCs w:val="22"/>
          <w:lang w:val="en-US" w:eastAsia="es-ES_tradnl"/>
        </w:rPr>
        <w:t>Diverse Skills</w:t>
      </w:r>
    </w:p>
    <w:p w14:paraId="433ABA94" w14:textId="77777777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G.      </w:t>
      </w:r>
      <w:r w:rsidRPr="003C42E6">
        <w:rPr>
          <w:rFonts w:ascii="Arial" w:hAnsi="Arial" w:cs="Arial"/>
          <w:i/>
          <w:iCs/>
          <w:color w:val="000000" w:themeColor="text1"/>
          <w:sz w:val="22"/>
          <w:szCs w:val="22"/>
          <w:lang w:val="en-US" w:eastAsia="es-ES_tradnl"/>
        </w:rPr>
        <w:t>Stakeholder group or constituency</w:t>
      </w:r>
    </w:p>
    <w:p w14:paraId="01C96EFB" w14:textId="77777777" w:rsidR="001232EB" w:rsidRPr="003C42E6" w:rsidRDefault="001232EB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</w:p>
    <w:p w14:paraId="3F149D0D" w14:textId="7424D3CD" w:rsidR="00776771" w:rsidRPr="003C42E6" w:rsidRDefault="001232EB" w:rsidP="0077677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Note from GAC: There is no agreement in the GAC in relation with including F Diverse skills so we suggest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to delete</w:t>
      </w:r>
      <w:proofErr w:type="gramEnd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it.</w:t>
      </w:r>
    </w:p>
    <w:p w14:paraId="04B49D8C" w14:textId="45317FC9" w:rsidR="00776771" w:rsidRPr="003C42E6" w:rsidRDefault="00776771" w:rsidP="001232EB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1.      What relative importance does your SO/AC/group give to these seven dimensions of diversity?</w:t>
      </w:r>
    </w:p>
    <w:p w14:paraId="200CBCF5" w14:textId="65971D4E" w:rsidR="00776771" w:rsidRPr="003C42E6" w:rsidRDefault="00C94D1D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While the GAC </w:t>
      </w:r>
      <w:r w:rsidR="00880C6C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seeks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to respect regional diversity in its leadership positions consistent with its Operating Principles, the GAC is not structured to develop advice</w:t>
      </w:r>
      <w:r w:rsidR="00784109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or make decisions along regional lines or </w:t>
      </w:r>
      <w:proofErr w:type="spellStart"/>
      <w:r w:rsidR="00784109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constitutency</w:t>
      </w:r>
      <w:proofErr w:type="spellEnd"/>
      <w:r w:rsidR="00784109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groups.  GAC representatives are appointed by member governments and observers based on </w:t>
      </w:r>
      <w:r w:rsidR="00033454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a range of</w:t>
      </w:r>
      <w:r w:rsidR="00784109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considerations, including skill set</w:t>
      </w:r>
      <w:r w:rsidR="00880C6C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</w:t>
      </w:r>
      <w:r w:rsidR="00062FEB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deemed relevant by the government/organization.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;</w:t>
      </w:r>
    </w:p>
    <w:p w14:paraId="23B9C637" w14:textId="07202601" w:rsidR="00776771" w:rsidRPr="003C42E6" w:rsidRDefault="00784109" w:rsidP="00776771">
      <w:pPr>
        <w:shd w:val="clear" w:color="auto" w:fill="FFFFFF"/>
        <w:spacing w:before="100" w:beforeAutospacing="1" w:line="233" w:lineRule="atLeast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With respect to </w:t>
      </w:r>
      <w:r w:rsidR="00033454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enriching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the GAC membership</w:t>
      </w:r>
      <w:r w:rsidR="003C42E6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and participation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, i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t should be noted that we normally reach out to unrepresented governments and intergovernmental organizations and that those governments and organizations nominate/appoint their GAC representatives/observers (i.e. we reach out </w:t>
      </w:r>
      <w:r w:rsidR="00033454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taking into account various 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diversity </w:t>
      </w:r>
      <w:proofErr w:type="spellStart"/>
      <w:proofErr w:type="gramStart"/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aspects,</w:t>
      </w:r>
      <w:r w:rsidR="00033454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including</w:t>
      </w:r>
      <w:proofErr w:type="spellEnd"/>
      <w:proofErr w:type="gramEnd"/>
      <w:r w:rsidR="00033454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</w:t>
      </w:r>
      <w:r w:rsidR="0041389F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geographic diversity and the ne</w:t>
      </w:r>
      <w:r w:rsidR="00033454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ed for particular expertise</w:t>
      </w:r>
      <w:r w:rsidR="001232EB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)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;</w:t>
      </w:r>
    </w:p>
    <w:p w14:paraId="28F60333" w14:textId="45BA7519" w:rsidR="00776771" w:rsidRPr="003C42E6" w:rsidRDefault="00776771" w:rsidP="00776771">
      <w:pPr>
        <w:shd w:val="clear" w:color="auto" w:fill="FFFFFF"/>
        <w:spacing w:before="100" w:beforeAutospacing="1" w:line="233" w:lineRule="atLeast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Yet when GAC nominates members to other bodies within ICANN, special attention is given to A., B.,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C..</w:t>
      </w:r>
      <w:proofErr w:type="gramEnd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(i.e. diversity in Geographic/regional representation</w:t>
      </w:r>
      <w:r w:rsidR="001232EB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and 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gender);</w:t>
      </w:r>
    </w:p>
    <w:p w14:paraId="00E57F7E" w14:textId="1D2B0AB7" w:rsidR="00776771" w:rsidRPr="003C42E6" w:rsidRDefault="00776771" w:rsidP="00776771">
      <w:pPr>
        <w:shd w:val="clear" w:color="auto" w:fill="FFFFFF"/>
        <w:spacing w:before="100" w:beforeAutospacing="1" w:after="160" w:line="233" w:lineRule="atLeast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Also when voting for candidates for GAC leadership team, members consider, to the extent possible, the same diversity aspects A., B.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C..</w:t>
      </w:r>
      <w:proofErr w:type="gramEnd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(i.e. diversity in Geographic/regional representation</w:t>
      </w:r>
      <w:r w:rsidR="001232EB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and 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gender);</w:t>
      </w:r>
    </w:p>
    <w:p w14:paraId="3F2526BD" w14:textId="1C8DCDE2" w:rsidR="00A8117E" w:rsidRPr="003C42E6" w:rsidRDefault="001232EB" w:rsidP="00F20701">
      <w:pPr>
        <w:shd w:val="clear" w:color="auto" w:fill="FFFFFF"/>
        <w:spacing w:before="100" w:beforeAutospacing="1" w:after="160" w:line="233" w:lineRule="atLeast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lastRenderedPageBreak/>
        <w:t xml:space="preserve">The GAC attaches great value to linguistic diversity. In the conduct of our own meetings interpretation in the six UN languages and Portuguese is provided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as a means to</w:t>
      </w:r>
      <w:proofErr w:type="gramEnd"/>
      <w:r w:rsidRPr="003C42E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foster greater participation and engagement by all members and observers. In addition, the GAC has suggested in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>a number of</w:t>
      </w:r>
      <w:proofErr w:type="gramEnd"/>
      <w:r w:rsidRPr="003C42E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diverse instances that more attention should be given by ICANN to this aspect of diversity, e.g. when issuing important information to the community, holding public consultations, etc.</w:t>
      </w:r>
    </w:p>
    <w:p w14:paraId="082E719C" w14:textId="480B0260" w:rsidR="00776771" w:rsidRPr="003C42E6" w:rsidRDefault="00776771" w:rsidP="003C42E6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2.      What, if any, additional dimensions of diversity are important to your SO/AC/group?</w:t>
      </w:r>
    </w:p>
    <w:p w14:paraId="1A3B34E6" w14:textId="1746BEAA" w:rsidR="00FC1B4E" w:rsidRPr="003C42E6" w:rsidRDefault="00FC1B4E" w:rsidP="003C42E6">
      <w:pPr>
        <w:pStyle w:val="Prrafodelista"/>
        <w:numPr>
          <w:ilvl w:val="0"/>
          <w:numId w:val="3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Inclusive participation</w:t>
      </w:r>
    </w:p>
    <w:p w14:paraId="78C926D7" w14:textId="100D2B5F" w:rsidR="00776771" w:rsidRPr="003C42E6" w:rsidRDefault="00776771" w:rsidP="003C42E6">
      <w:pPr>
        <w:pStyle w:val="Prrafodelista"/>
        <w:numPr>
          <w:ilvl w:val="0"/>
          <w:numId w:val="3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Diversity in views;</w:t>
      </w:r>
    </w:p>
    <w:p w14:paraId="5F7A118C" w14:textId="269D367C" w:rsidR="00776771" w:rsidRPr="003C42E6" w:rsidRDefault="00776771" w:rsidP="003C42E6">
      <w:pPr>
        <w:pStyle w:val="Prrafodelista"/>
        <w:numPr>
          <w:ilvl w:val="0"/>
          <w:numId w:val="3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Developing</w:t>
      </w:r>
      <w:r w:rsidR="00A8117E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,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developed;</w:t>
      </w:r>
      <w:r w:rsidR="00A8117E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underserved</w:t>
      </w:r>
      <w:r w:rsidR="00F2070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, considering also different aspects like infrastructure, capacity, access, among others.</w:t>
      </w:r>
    </w:p>
    <w:p w14:paraId="6900207E" w14:textId="77777777" w:rsidR="00776771" w:rsidRPr="003C42E6" w:rsidRDefault="00776771" w:rsidP="00776771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3.      How, if at all, does your SO/AC/group measure and track diversity issues related to its work?</w:t>
      </w:r>
    </w:p>
    <w:p w14:paraId="4655DB01" w14:textId="7F23E9BA" w:rsidR="00CF5D1D" w:rsidRPr="003C42E6" w:rsidRDefault="00CF5D1D" w:rsidP="00776771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This question needs metrics</w:t>
      </w:r>
      <w:r w:rsidR="0056032F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to be responded. A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part from information about attendance GAC does not measure these elements.</w:t>
      </w:r>
    </w:p>
    <w:p w14:paraId="56A8ED3F" w14:textId="71F8228C" w:rsidR="00FC1B4E" w:rsidRPr="003C42E6" w:rsidRDefault="0056032F" w:rsidP="00776771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In general, the</w:t>
      </w:r>
      <w:r w:rsidR="00FC1B4E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GAC tracks attendance at meetings and considers diversity in:</w:t>
      </w:r>
    </w:p>
    <w:p w14:paraId="44EB6C8C" w14:textId="6966F8F6" w:rsidR="00776771" w:rsidRPr="003C42E6" w:rsidRDefault="003C42E6" w:rsidP="003C42E6">
      <w:pPr>
        <w:pStyle w:val="Prrafodelista"/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Membership and r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epresentation in the GAC (GAC members and observers);</w:t>
      </w:r>
    </w:p>
    <w:p w14:paraId="16B00A7B" w14:textId="2E69D846" w:rsidR="00776771" w:rsidRPr="003C42E6" w:rsidRDefault="00FC1B4E" w:rsidP="003C42E6">
      <w:pPr>
        <w:pStyle w:val="Prrafodelista"/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Capacity building to promote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inclusive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  participation</w:t>
      </w:r>
      <w:proofErr w:type="gramEnd"/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;</w:t>
      </w:r>
    </w:p>
    <w:p w14:paraId="7A8EDF6E" w14:textId="2D9AC647" w:rsidR="00776771" w:rsidRPr="003C42E6" w:rsidRDefault="00776771" w:rsidP="003C42E6">
      <w:pPr>
        <w:pStyle w:val="Prrafodelista"/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Representation in the leadership group;</w:t>
      </w:r>
    </w:p>
    <w:p w14:paraId="561E7B7E" w14:textId="25B56B42" w:rsidR="00776771" w:rsidRPr="003C42E6" w:rsidRDefault="00776771" w:rsidP="003C42E6">
      <w:pPr>
        <w:pStyle w:val="Prrafodelista"/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Representation in external bodies (CCWG, Review Teams, PDPs, ….);</w:t>
      </w:r>
    </w:p>
    <w:p w14:paraId="6A74666A" w14:textId="3BE0982C" w:rsidR="00776771" w:rsidRPr="003C42E6" w:rsidRDefault="00776771" w:rsidP="003C42E6">
      <w:pPr>
        <w:pStyle w:val="Prrafodelista"/>
        <w:numPr>
          <w:ilvl w:val="0"/>
          <w:numId w:val="2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Participation to GAC internal WGs;</w:t>
      </w:r>
    </w:p>
    <w:p w14:paraId="0E89E1F4" w14:textId="77777777" w:rsidR="00776771" w:rsidRPr="003C42E6" w:rsidRDefault="00776771" w:rsidP="0077677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GB" w:eastAsia="es-ES_tradnl"/>
        </w:rPr>
        <w:t> </w:t>
      </w:r>
    </w:p>
    <w:p w14:paraId="60736D4F" w14:textId="61784373" w:rsidR="00776771" w:rsidRPr="003C42E6" w:rsidRDefault="00776771" w:rsidP="003C42E6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4.      How, if at all, does your SO/AC/group seek to promote diversity in its membership, its active participation, and its leadership?</w:t>
      </w:r>
    </w:p>
    <w:p w14:paraId="47356736" w14:textId="323A979E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Membership: GAC reaches out to unrepresented countries and intergovernmental organizations;</w:t>
      </w:r>
    </w:p>
    <w:p w14:paraId="66C55197" w14:textId="0CD754C1" w:rsidR="00776771" w:rsidRPr="003C42E6" w:rsidRDefault="00FC1B4E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Inclusive 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participation: GAC encourages participation by members representing different regions, cultures, languages, </w:t>
      </w:r>
      <w:r w:rsidR="00FD25BE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gender, </w:t>
      </w:r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views and having the required </w:t>
      </w:r>
      <w:proofErr w:type="spellStart"/>
      <w:proofErr w:type="gramStart"/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skills</w:t>
      </w: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,</w:t>
      </w:r>
      <w:r w:rsidR="00D60BC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knowledge</w:t>
      </w:r>
      <w:proofErr w:type="spellEnd"/>
      <w:proofErr w:type="gramEnd"/>
      <w:r w:rsidR="00776771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or experience; and considers the same aspects when nominating GAC members to external bodies;</w:t>
      </w:r>
    </w:p>
    <w:p w14:paraId="3AD7F8EE" w14:textId="5DC06A4B" w:rsidR="00776771" w:rsidRPr="003C42E6" w:rsidRDefault="00776771" w:rsidP="00776771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Leadership: GAC Operating Principles state that</w:t>
      </w:r>
      <w:r w:rsidR="00F46A1A"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.</w:t>
      </w:r>
      <w:r w:rsidR="00F20701" w:rsidRPr="003C42E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to the extent possible, the Vice-Chairs should appropriately reflect the geographic and development diversity of the membership</w:t>
      </w:r>
    </w:p>
    <w:p w14:paraId="0A758B98" w14:textId="77777777" w:rsidR="00776771" w:rsidRPr="003C42E6" w:rsidRDefault="00776771" w:rsidP="0077677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 </w:t>
      </w:r>
    </w:p>
    <w:p w14:paraId="6FADE0B6" w14:textId="73D8BF42" w:rsidR="00776771" w:rsidRPr="003C42E6" w:rsidRDefault="00776771" w:rsidP="003C42E6">
      <w:pPr>
        <w:shd w:val="clear" w:color="auto" w:fill="FFFFFF"/>
        <w:spacing w:before="100" w:beforeAutospacing="1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lastRenderedPageBreak/>
        <w:t xml:space="preserve">5.      What, if any, educational and informational initiatives </w:t>
      </w:r>
      <w:proofErr w:type="gramStart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does</w:t>
      </w:r>
      <w:proofErr w:type="gramEnd"/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 xml:space="preserve"> your SO/AC/group pursue to promote diversity awareness?</w:t>
      </w:r>
    </w:p>
    <w:p w14:paraId="7C9293E2" w14:textId="4775A851" w:rsidR="00776771" w:rsidRPr="003C42E6" w:rsidRDefault="00776771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Outreach activities;</w:t>
      </w:r>
    </w:p>
    <w:p w14:paraId="1E40495A" w14:textId="07C71467" w:rsidR="00776771" w:rsidRPr="003C42E6" w:rsidRDefault="00776771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HLGM (invitation of non-GAC members);</w:t>
      </w:r>
    </w:p>
    <w:p w14:paraId="234ACC1A" w14:textId="725AC79E" w:rsidR="00776771" w:rsidRPr="003C42E6" w:rsidRDefault="00776771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Material for new comers (also considered on new website);</w:t>
      </w:r>
    </w:p>
    <w:p w14:paraId="0784C316" w14:textId="1A70BEF7" w:rsidR="00776771" w:rsidRPr="003C42E6" w:rsidRDefault="00776771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Capacity building workshops;</w:t>
      </w:r>
    </w:p>
    <w:p w14:paraId="38A90382" w14:textId="2546712E" w:rsidR="00776771" w:rsidRPr="003C42E6" w:rsidRDefault="00776771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Chair interviews / public speeches;</w:t>
      </w:r>
    </w:p>
    <w:p w14:paraId="1F9CF66D" w14:textId="7B66793F" w:rsidR="00624520" w:rsidRPr="003C42E6" w:rsidRDefault="00776771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Collaboration with ICANN stakeholder engagement teams;</w:t>
      </w:r>
    </w:p>
    <w:p w14:paraId="651F2084" w14:textId="18A0AFBF" w:rsidR="00A8117E" w:rsidRPr="003C42E6" w:rsidRDefault="00A8117E" w:rsidP="003C42E6">
      <w:pPr>
        <w:pStyle w:val="Prrafodelista"/>
        <w:numPr>
          <w:ilvl w:val="0"/>
          <w:numId w:val="1"/>
        </w:numPr>
        <w:shd w:val="clear" w:color="auto" w:fill="FFFFFF"/>
        <w:spacing w:before="100" w:beforeAutospacing="1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Collaboration with ICANN regional staff at a regional and national level</w:t>
      </w:r>
    </w:p>
    <w:p w14:paraId="40B5F81C" w14:textId="77777777" w:rsidR="00776771" w:rsidRPr="003C42E6" w:rsidRDefault="00776771" w:rsidP="00776771">
      <w:pPr>
        <w:shd w:val="clear" w:color="auto" w:fill="FFFFFF"/>
        <w:spacing w:before="100" w:beforeAutospacing="1" w:after="160" w:line="233" w:lineRule="atLeast"/>
        <w:ind w:left="72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6.       What, if any, formal or informal practices or written or unwritten policies are pursued in your SO/AC/group to promote diversity?</w:t>
      </w:r>
    </w:p>
    <w:p w14:paraId="21C0C1C4" w14:textId="3F447426" w:rsidR="008541DA" w:rsidRPr="003C42E6" w:rsidRDefault="00776771" w:rsidP="003C42E6">
      <w:pPr>
        <w:shd w:val="clear" w:color="auto" w:fill="FFFFFF"/>
        <w:spacing w:before="100" w:beforeAutospacing="1"/>
        <w:ind w:left="1440"/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</w:pPr>
      <w:r w:rsidRPr="003C42E6">
        <w:rPr>
          <w:rFonts w:ascii="Arial" w:hAnsi="Arial" w:cs="Arial"/>
          <w:color w:val="000000" w:themeColor="text1"/>
          <w:sz w:val="22"/>
          <w:szCs w:val="22"/>
          <w:lang w:val="en-US" w:eastAsia="es-ES_tradnl"/>
        </w:rPr>
        <w:t>Same as question 4</w:t>
      </w:r>
    </w:p>
    <w:sectPr w:rsidR="008541DA" w:rsidRPr="003C42E6" w:rsidSect="00230E4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33054"/>
    <w:multiLevelType w:val="hybridMultilevel"/>
    <w:tmpl w:val="7D022F0A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A52602E"/>
    <w:multiLevelType w:val="hybridMultilevel"/>
    <w:tmpl w:val="4170C82A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D2D50B2"/>
    <w:multiLevelType w:val="hybridMultilevel"/>
    <w:tmpl w:val="FC620254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71"/>
    <w:rsid w:val="00014156"/>
    <w:rsid w:val="00033454"/>
    <w:rsid w:val="00062FEB"/>
    <w:rsid w:val="001232EB"/>
    <w:rsid w:val="00230E4B"/>
    <w:rsid w:val="002E782A"/>
    <w:rsid w:val="003334BE"/>
    <w:rsid w:val="003C42E6"/>
    <w:rsid w:val="0041389F"/>
    <w:rsid w:val="0056032F"/>
    <w:rsid w:val="00624520"/>
    <w:rsid w:val="00661D07"/>
    <w:rsid w:val="006C0F4B"/>
    <w:rsid w:val="00770C60"/>
    <w:rsid w:val="00776771"/>
    <w:rsid w:val="00784109"/>
    <w:rsid w:val="00880C6C"/>
    <w:rsid w:val="008F6923"/>
    <w:rsid w:val="00A61DA5"/>
    <w:rsid w:val="00A8117E"/>
    <w:rsid w:val="00C74709"/>
    <w:rsid w:val="00C912E1"/>
    <w:rsid w:val="00C94D1D"/>
    <w:rsid w:val="00CA2A70"/>
    <w:rsid w:val="00CF5D1D"/>
    <w:rsid w:val="00D01855"/>
    <w:rsid w:val="00D163FD"/>
    <w:rsid w:val="00D60BC1"/>
    <w:rsid w:val="00E822DD"/>
    <w:rsid w:val="00F20701"/>
    <w:rsid w:val="00F234EB"/>
    <w:rsid w:val="00F46A1A"/>
    <w:rsid w:val="00FC1B4E"/>
    <w:rsid w:val="00FD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198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-9026587503256114477default">
    <w:name w:val="m_-9026587503256114477default"/>
    <w:basedOn w:val="Normal"/>
    <w:rsid w:val="00776771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m-9026587503256114477msolistparagraph">
    <w:name w:val="m_-9026587503256114477msolistparagraph"/>
    <w:basedOn w:val="Normal"/>
    <w:rsid w:val="00776771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17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17E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117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117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117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117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117E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C1B4E"/>
    <w:pPr>
      <w:ind w:left="720"/>
      <w:contextualSpacing/>
    </w:pPr>
  </w:style>
  <w:style w:type="paragraph" w:styleId="Revisin">
    <w:name w:val="Revision"/>
    <w:hidden/>
    <w:uiPriority w:val="99"/>
    <w:semiHidden/>
    <w:rsid w:val="00D1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30F9-68F8-2048-BEDB-4450C890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672</Words>
  <Characters>3698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Industry Canada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Cavalli</dc:creator>
  <cp:lastModifiedBy>Olga Cavalli</cp:lastModifiedBy>
  <cp:revision>2</cp:revision>
  <cp:lastPrinted>2017-05-10T16:57:00Z</cp:lastPrinted>
  <dcterms:created xsi:type="dcterms:W3CDTF">2017-06-02T00:01:00Z</dcterms:created>
  <dcterms:modified xsi:type="dcterms:W3CDTF">2017-06-02T00:01:00Z</dcterms:modified>
</cp:coreProperties>
</file>