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079"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38E4C7A"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1518B8D8" w14:textId="428519DE" w:rsidR="000A420F" w:rsidRPr="0012640B" w:rsidRDefault="000A420F" w:rsidP="000A420F">
      <w:pPr>
        <w:jc w:val="center"/>
        <w:rPr>
          <w:rFonts w:ascii="Arial" w:hAnsi="Arial" w:cs="Arial"/>
          <w:b/>
        </w:rPr>
      </w:pPr>
      <w:r w:rsidRPr="0012640B">
        <w:rPr>
          <w:rFonts w:ascii="Arial" w:hAnsi="Arial" w:cs="Arial"/>
          <w:b/>
        </w:rPr>
        <w:t>Draft Report Version 1</w:t>
      </w:r>
      <w:r w:rsidR="007B235B">
        <w:rPr>
          <w:rFonts w:ascii="Arial" w:hAnsi="Arial" w:cs="Arial"/>
          <w:b/>
        </w:rPr>
        <w:t>.4</w:t>
      </w:r>
      <w:bookmarkStart w:id="0" w:name="_GoBack"/>
      <w:bookmarkEnd w:id="0"/>
    </w:p>
    <w:p w14:paraId="7077E5BF" w14:textId="77777777" w:rsidR="000A420F" w:rsidRPr="0012640B" w:rsidRDefault="000A420F" w:rsidP="000A420F">
      <w:pPr>
        <w:jc w:val="center"/>
        <w:rPr>
          <w:rFonts w:ascii="Arial" w:hAnsi="Arial" w:cs="Arial"/>
          <w:b/>
        </w:rPr>
      </w:pPr>
      <w:r w:rsidRPr="0012640B">
        <w:rPr>
          <w:rFonts w:ascii="Arial" w:hAnsi="Arial" w:cs="Arial"/>
          <w:b/>
        </w:rPr>
        <w:t xml:space="preserve">January </w:t>
      </w:r>
      <w:r w:rsidR="00465423">
        <w:rPr>
          <w:rFonts w:ascii="Arial" w:hAnsi="Arial" w:cs="Arial"/>
          <w:b/>
        </w:rPr>
        <w:t>2</w:t>
      </w:r>
      <w:r w:rsidR="007C27A1">
        <w:rPr>
          <w:rFonts w:ascii="Arial" w:hAnsi="Arial" w:cs="Arial"/>
          <w:b/>
        </w:rPr>
        <w:t>5</w:t>
      </w:r>
      <w:r w:rsidRPr="0012640B">
        <w:rPr>
          <w:rFonts w:ascii="Arial" w:hAnsi="Arial" w:cs="Arial"/>
          <w:b/>
        </w:rPr>
        <w:t>, 2017</w:t>
      </w:r>
    </w:p>
    <w:p w14:paraId="42B5C1D4" w14:textId="77777777" w:rsidR="000A420F" w:rsidRPr="0012640B" w:rsidRDefault="000A420F" w:rsidP="000A420F">
      <w:pPr>
        <w:jc w:val="center"/>
        <w:rPr>
          <w:rFonts w:ascii="Arial" w:hAnsi="Arial" w:cs="Arial"/>
          <w:b/>
        </w:rPr>
      </w:pPr>
    </w:p>
    <w:p w14:paraId="51D9BC27" w14:textId="77777777" w:rsidR="000A420F" w:rsidRDefault="000A420F" w:rsidP="000A420F">
      <w:pPr>
        <w:jc w:val="center"/>
        <w:rPr>
          <w:rFonts w:ascii="Arial" w:hAnsi="Arial" w:cs="Arial"/>
        </w:rPr>
      </w:pPr>
      <w:r w:rsidRPr="0012640B">
        <w:rPr>
          <w:rFonts w:ascii="Arial" w:hAnsi="Arial" w:cs="Arial"/>
        </w:rPr>
        <w:t>Table of Contents</w:t>
      </w:r>
    </w:p>
    <w:p w14:paraId="291411B7" w14:textId="77777777"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7556D560" w14:textId="77777777" w:rsidTr="00B22D22">
        <w:tc>
          <w:tcPr>
            <w:tcW w:w="8635" w:type="dxa"/>
          </w:tcPr>
          <w:p w14:paraId="01F86264"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30E33FB1" w14:textId="77777777" w:rsidR="00EE6BA5" w:rsidRPr="007C5A63" w:rsidRDefault="00EE6BA5" w:rsidP="00EE6BA5">
            <w:pPr>
              <w:pStyle w:val="ListParagraph"/>
              <w:ind w:left="1080"/>
              <w:jc w:val="both"/>
              <w:rPr>
                <w:rFonts w:ascii="Arial" w:hAnsi="Arial" w:cs="Arial"/>
              </w:rPr>
            </w:pPr>
          </w:p>
        </w:tc>
        <w:tc>
          <w:tcPr>
            <w:tcW w:w="715" w:type="dxa"/>
          </w:tcPr>
          <w:p w14:paraId="190F26F9" w14:textId="77777777" w:rsidR="007C5A63" w:rsidRDefault="007C5A63" w:rsidP="007C5A63">
            <w:pPr>
              <w:jc w:val="right"/>
              <w:rPr>
                <w:rFonts w:ascii="Arial" w:hAnsi="Arial" w:cs="Arial"/>
              </w:rPr>
            </w:pPr>
            <w:r>
              <w:rPr>
                <w:rFonts w:ascii="Arial" w:hAnsi="Arial" w:cs="Arial"/>
              </w:rPr>
              <w:t>2</w:t>
            </w:r>
          </w:p>
        </w:tc>
      </w:tr>
      <w:tr w:rsidR="007C5A63" w14:paraId="28F38ECB" w14:textId="77777777" w:rsidTr="00B22D22">
        <w:tc>
          <w:tcPr>
            <w:tcW w:w="8635" w:type="dxa"/>
          </w:tcPr>
          <w:p w14:paraId="1F44C98D"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2CF4DB80" w14:textId="77777777" w:rsidR="00EE6BA5" w:rsidRPr="007C5A63" w:rsidRDefault="00EE6BA5" w:rsidP="00EE6BA5">
            <w:pPr>
              <w:pStyle w:val="ListParagraph"/>
              <w:ind w:left="1080"/>
              <w:jc w:val="both"/>
              <w:rPr>
                <w:rFonts w:ascii="Arial" w:hAnsi="Arial" w:cs="Arial"/>
              </w:rPr>
            </w:pPr>
          </w:p>
        </w:tc>
        <w:tc>
          <w:tcPr>
            <w:tcW w:w="715" w:type="dxa"/>
          </w:tcPr>
          <w:p w14:paraId="48957698" w14:textId="77777777" w:rsidR="007C5A63" w:rsidRDefault="00B22D22" w:rsidP="007C5A63">
            <w:pPr>
              <w:jc w:val="right"/>
              <w:rPr>
                <w:rFonts w:ascii="Arial" w:hAnsi="Arial" w:cs="Arial"/>
              </w:rPr>
            </w:pPr>
            <w:r>
              <w:rPr>
                <w:rFonts w:ascii="Arial" w:hAnsi="Arial" w:cs="Arial"/>
              </w:rPr>
              <w:t>3</w:t>
            </w:r>
          </w:p>
        </w:tc>
      </w:tr>
      <w:tr w:rsidR="007C5A63" w14:paraId="7872931D" w14:textId="77777777" w:rsidTr="00B22D22">
        <w:tc>
          <w:tcPr>
            <w:tcW w:w="8635" w:type="dxa"/>
          </w:tcPr>
          <w:p w14:paraId="22B9D8F7"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4EC53FB1"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0029397A" w14:textId="77777777"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488EBE6F" w14:textId="77777777"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272C7C3F"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0A74F88" w14:textId="77777777"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5DA2FBA8" w14:textId="77777777" w:rsidR="00B22D22" w:rsidRDefault="00B22D22" w:rsidP="007C5A63">
            <w:pPr>
              <w:jc w:val="right"/>
              <w:rPr>
                <w:rFonts w:ascii="Arial" w:hAnsi="Arial" w:cs="Arial"/>
              </w:rPr>
            </w:pPr>
          </w:p>
          <w:p w14:paraId="509D418F" w14:textId="77777777" w:rsidR="007C5A63" w:rsidRDefault="00B22D22" w:rsidP="007C5A63">
            <w:pPr>
              <w:jc w:val="right"/>
              <w:rPr>
                <w:rFonts w:ascii="Arial" w:hAnsi="Arial" w:cs="Arial"/>
              </w:rPr>
            </w:pPr>
            <w:r>
              <w:rPr>
                <w:rFonts w:ascii="Arial" w:hAnsi="Arial" w:cs="Arial"/>
              </w:rPr>
              <w:t>3</w:t>
            </w:r>
          </w:p>
          <w:p w14:paraId="3BE8E982" w14:textId="77777777" w:rsidR="00B22D22" w:rsidRDefault="00B22D22" w:rsidP="007C5A63">
            <w:pPr>
              <w:jc w:val="right"/>
              <w:rPr>
                <w:rFonts w:ascii="Arial" w:hAnsi="Arial" w:cs="Arial"/>
              </w:rPr>
            </w:pPr>
            <w:r>
              <w:rPr>
                <w:rFonts w:ascii="Arial" w:hAnsi="Arial" w:cs="Arial"/>
              </w:rPr>
              <w:t>3</w:t>
            </w:r>
          </w:p>
          <w:p w14:paraId="715302E8" w14:textId="77777777" w:rsidR="009B5F09" w:rsidRDefault="009B5F09" w:rsidP="007C5A63">
            <w:pPr>
              <w:jc w:val="right"/>
              <w:rPr>
                <w:rFonts w:ascii="Arial" w:hAnsi="Arial" w:cs="Arial"/>
              </w:rPr>
            </w:pPr>
            <w:r>
              <w:rPr>
                <w:rFonts w:ascii="Arial" w:hAnsi="Arial" w:cs="Arial"/>
              </w:rPr>
              <w:t>4</w:t>
            </w:r>
          </w:p>
          <w:p w14:paraId="18A36097" w14:textId="77777777" w:rsidR="00B22D22" w:rsidRDefault="00B22D22" w:rsidP="007C5A63">
            <w:pPr>
              <w:jc w:val="right"/>
              <w:rPr>
                <w:rFonts w:ascii="Arial" w:hAnsi="Arial" w:cs="Arial"/>
              </w:rPr>
            </w:pPr>
            <w:r>
              <w:rPr>
                <w:rFonts w:ascii="Arial" w:hAnsi="Arial" w:cs="Arial"/>
              </w:rPr>
              <w:t>4</w:t>
            </w:r>
          </w:p>
          <w:p w14:paraId="4EBD4052" w14:textId="77777777" w:rsidR="00C35217" w:rsidRDefault="00C35217" w:rsidP="007C5A63">
            <w:pPr>
              <w:jc w:val="right"/>
              <w:rPr>
                <w:rFonts w:ascii="Arial" w:hAnsi="Arial" w:cs="Arial"/>
              </w:rPr>
            </w:pPr>
            <w:r>
              <w:rPr>
                <w:rFonts w:ascii="Arial" w:hAnsi="Arial" w:cs="Arial"/>
              </w:rPr>
              <w:t>4</w:t>
            </w:r>
          </w:p>
          <w:p w14:paraId="4D595DDC" w14:textId="77777777" w:rsidR="00C35217" w:rsidRDefault="00C35217" w:rsidP="007C5A63">
            <w:pPr>
              <w:jc w:val="right"/>
              <w:rPr>
                <w:rFonts w:ascii="Arial" w:hAnsi="Arial" w:cs="Arial"/>
              </w:rPr>
            </w:pPr>
          </w:p>
        </w:tc>
      </w:tr>
      <w:tr w:rsidR="007C5A63" w14:paraId="64053566" w14:textId="77777777" w:rsidTr="00B22D22">
        <w:tc>
          <w:tcPr>
            <w:tcW w:w="8635" w:type="dxa"/>
          </w:tcPr>
          <w:p w14:paraId="5E82C9B4" w14:textId="77777777"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5A80D621" w14:textId="77777777"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1BA3A4BB" w14:textId="77777777"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FF34D42" w14:textId="77777777" w:rsidR="00EE6BA5" w:rsidRPr="007C5A63" w:rsidRDefault="00EE6BA5" w:rsidP="00EE6BA5">
            <w:pPr>
              <w:pStyle w:val="ListParagraph"/>
              <w:ind w:left="1440"/>
              <w:rPr>
                <w:rFonts w:ascii="Arial" w:hAnsi="Arial" w:cs="Arial"/>
              </w:rPr>
            </w:pPr>
          </w:p>
        </w:tc>
        <w:tc>
          <w:tcPr>
            <w:tcW w:w="715" w:type="dxa"/>
          </w:tcPr>
          <w:p w14:paraId="63E7C713" w14:textId="77777777" w:rsidR="00B22D22" w:rsidRDefault="00B22D22" w:rsidP="00B22D22">
            <w:pPr>
              <w:jc w:val="right"/>
              <w:rPr>
                <w:rFonts w:ascii="Arial" w:hAnsi="Arial" w:cs="Arial"/>
              </w:rPr>
            </w:pPr>
          </w:p>
          <w:p w14:paraId="4DCD0589" w14:textId="77777777" w:rsidR="00B22D22" w:rsidRDefault="005C0FCF" w:rsidP="00B22D22">
            <w:pPr>
              <w:jc w:val="right"/>
              <w:rPr>
                <w:rFonts w:ascii="Arial" w:hAnsi="Arial" w:cs="Arial"/>
              </w:rPr>
            </w:pPr>
            <w:r>
              <w:rPr>
                <w:rFonts w:ascii="Arial" w:hAnsi="Arial" w:cs="Arial"/>
              </w:rPr>
              <w:t>5</w:t>
            </w:r>
          </w:p>
          <w:p w14:paraId="4D5A263F" w14:textId="77777777" w:rsidR="007C5A63" w:rsidRDefault="005C0FCF" w:rsidP="00B22D22">
            <w:pPr>
              <w:jc w:val="right"/>
              <w:rPr>
                <w:rFonts w:ascii="Arial" w:hAnsi="Arial" w:cs="Arial"/>
              </w:rPr>
            </w:pPr>
            <w:r>
              <w:rPr>
                <w:rFonts w:ascii="Arial" w:hAnsi="Arial" w:cs="Arial"/>
              </w:rPr>
              <w:t>5</w:t>
            </w:r>
          </w:p>
          <w:p w14:paraId="167A11AF" w14:textId="77777777" w:rsidR="00B22D22" w:rsidRDefault="00B22D22" w:rsidP="00B22D22">
            <w:pPr>
              <w:rPr>
                <w:rFonts w:ascii="Arial" w:hAnsi="Arial" w:cs="Arial"/>
              </w:rPr>
            </w:pPr>
          </w:p>
        </w:tc>
      </w:tr>
      <w:tr w:rsidR="007C5A63" w14:paraId="70DA03E3" w14:textId="77777777" w:rsidTr="00B22D22">
        <w:tc>
          <w:tcPr>
            <w:tcW w:w="8635" w:type="dxa"/>
          </w:tcPr>
          <w:p w14:paraId="36DE6731" w14:textId="77777777" w:rsidR="007C5A63" w:rsidRDefault="007C5A63" w:rsidP="007C5A63">
            <w:pPr>
              <w:rPr>
                <w:rFonts w:ascii="Arial" w:hAnsi="Arial" w:cs="Arial"/>
              </w:rPr>
            </w:pPr>
          </w:p>
          <w:p w14:paraId="0D29942D" w14:textId="77777777" w:rsidR="007C5A63" w:rsidRDefault="007C5A63" w:rsidP="00EE6BA5">
            <w:pPr>
              <w:ind w:left="1050"/>
              <w:rPr>
                <w:rFonts w:ascii="Arial" w:hAnsi="Arial" w:cs="Arial"/>
              </w:rPr>
            </w:pPr>
            <w:r>
              <w:rPr>
                <w:rFonts w:ascii="Arial" w:hAnsi="Arial" w:cs="Arial"/>
              </w:rPr>
              <w:t>Table of References</w:t>
            </w:r>
          </w:p>
        </w:tc>
        <w:tc>
          <w:tcPr>
            <w:tcW w:w="715" w:type="dxa"/>
          </w:tcPr>
          <w:p w14:paraId="0F263FDE" w14:textId="77777777" w:rsidR="007C5A63" w:rsidRDefault="007C5A63" w:rsidP="00B22D22">
            <w:pPr>
              <w:jc w:val="right"/>
              <w:rPr>
                <w:rFonts w:ascii="Arial" w:hAnsi="Arial" w:cs="Arial"/>
              </w:rPr>
            </w:pPr>
          </w:p>
          <w:p w14:paraId="496CDFFF" w14:textId="77777777" w:rsidR="00B22D22" w:rsidRDefault="005C0FCF" w:rsidP="00B22D22">
            <w:pPr>
              <w:jc w:val="right"/>
              <w:rPr>
                <w:rFonts w:ascii="Arial" w:hAnsi="Arial" w:cs="Arial"/>
              </w:rPr>
            </w:pPr>
            <w:r>
              <w:rPr>
                <w:rFonts w:ascii="Arial" w:hAnsi="Arial" w:cs="Arial"/>
              </w:rPr>
              <w:t>7</w:t>
            </w:r>
          </w:p>
        </w:tc>
      </w:tr>
    </w:tbl>
    <w:p w14:paraId="76D41BE4" w14:textId="77777777" w:rsidR="007C5A63" w:rsidRPr="0012640B" w:rsidRDefault="007C5A63" w:rsidP="000A420F">
      <w:pPr>
        <w:jc w:val="center"/>
        <w:rPr>
          <w:rFonts w:ascii="Arial" w:hAnsi="Arial" w:cs="Arial"/>
        </w:rPr>
      </w:pPr>
    </w:p>
    <w:p w14:paraId="423EE08E" w14:textId="77777777" w:rsidR="00A06B48" w:rsidRPr="0012640B" w:rsidRDefault="00A06B48">
      <w:pPr>
        <w:rPr>
          <w:rFonts w:ascii="Arial" w:hAnsi="Arial" w:cs="Arial"/>
        </w:rPr>
      </w:pPr>
    </w:p>
    <w:p w14:paraId="013982A1" w14:textId="77777777" w:rsidR="001365A7" w:rsidRPr="0012640B" w:rsidRDefault="00D9438E" w:rsidP="001365A7">
      <w:pPr>
        <w:jc w:val="center"/>
        <w:rPr>
          <w:rFonts w:ascii="Arial" w:hAnsi="Arial" w:cs="Arial"/>
        </w:rPr>
      </w:pPr>
      <w:r w:rsidRPr="0012640B">
        <w:rPr>
          <w:rFonts w:ascii="Arial" w:hAnsi="Arial" w:cs="Arial"/>
        </w:rPr>
        <w:br w:type="page"/>
      </w:r>
    </w:p>
    <w:p w14:paraId="16550234"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564242B5" w14:textId="49A304B3" w:rsidR="00B22D22" w:rsidRPr="0012640B" w:rsidRDefault="00B22D22" w:rsidP="00B22D22">
      <w:pPr>
        <w:jc w:val="center"/>
        <w:rPr>
          <w:rFonts w:ascii="Arial" w:hAnsi="Arial" w:cs="Arial"/>
          <w:b/>
        </w:rPr>
      </w:pPr>
      <w:r w:rsidRPr="0012640B">
        <w:rPr>
          <w:rFonts w:ascii="Arial" w:hAnsi="Arial" w:cs="Arial"/>
          <w:b/>
        </w:rPr>
        <w:t>Draft Report Version 1</w:t>
      </w:r>
      <w:r w:rsidR="007B235B">
        <w:rPr>
          <w:rFonts w:ascii="Arial" w:hAnsi="Arial" w:cs="Arial"/>
          <w:b/>
        </w:rPr>
        <w:t>.4</w:t>
      </w:r>
    </w:p>
    <w:p w14:paraId="4705F97A" w14:textId="77777777" w:rsidR="00B22D22" w:rsidRPr="0012640B" w:rsidRDefault="00011E02" w:rsidP="00B22D22">
      <w:pPr>
        <w:jc w:val="center"/>
        <w:rPr>
          <w:rFonts w:ascii="Arial" w:hAnsi="Arial" w:cs="Arial"/>
          <w:b/>
        </w:rPr>
      </w:pPr>
      <w:r>
        <w:rPr>
          <w:rFonts w:ascii="Arial" w:hAnsi="Arial" w:cs="Arial"/>
          <w:b/>
        </w:rPr>
        <w:t>January 20</w:t>
      </w:r>
      <w:r w:rsidR="00B22D22" w:rsidRPr="0012640B">
        <w:rPr>
          <w:rFonts w:ascii="Arial" w:hAnsi="Arial" w:cs="Arial"/>
          <w:b/>
        </w:rPr>
        <w:t>, 2017</w:t>
      </w:r>
    </w:p>
    <w:p w14:paraId="4B4085B3" w14:textId="77777777" w:rsidR="00D9438E" w:rsidRPr="0012640B" w:rsidRDefault="00D9438E">
      <w:pPr>
        <w:rPr>
          <w:rFonts w:ascii="Arial" w:hAnsi="Arial" w:cs="Arial"/>
        </w:rPr>
      </w:pPr>
    </w:p>
    <w:p w14:paraId="05560FB4" w14:textId="77777777"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1A5208A" w14:textId="5B957D5E"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343D54">
        <w:rPr>
          <w:rStyle w:val="FootnoteReference"/>
          <w:rFonts w:ascii="Arial" w:hAnsi="Arial" w:cs="Arial"/>
          <w:iCs/>
          <w:color w:val="000000" w:themeColor="text1"/>
        </w:rPr>
        <w:t xml:space="preserve"> </w:t>
      </w:r>
      <w:r w:rsidR="00343D54" w:rsidRPr="0012640B">
        <w:rPr>
          <w:rStyle w:val="FootnoteReference"/>
          <w:rFonts w:ascii="Arial" w:hAnsi="Arial" w:cs="Arial"/>
          <w:iCs/>
          <w:color w:val="000000" w:themeColor="text1"/>
        </w:rPr>
        <w:footnoteReference w:id="1"/>
      </w:r>
      <w:r w:rsidR="00343D54" w:rsidRPr="0012640B">
        <w:rPr>
          <w:rFonts w:ascii="Arial" w:hAnsi="Arial" w:cs="Arial"/>
          <w:iCs/>
          <w:color w:val="000000" w:themeColor="text1"/>
        </w:rPr>
        <w:t xml:space="preserve"> </w:t>
      </w:r>
      <w:r>
        <w:rPr>
          <w:rFonts w:ascii="Arial" w:hAnsi="Arial" w:cs="Arial"/>
        </w:rPr>
        <w:t xml:space="preserve">  </w:t>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Director removal process</w:t>
      </w:r>
      <w:r w:rsidR="00606D2F">
        <w:rPr>
          <w:rFonts w:ascii="Arial" w:hAnsi="Arial" w:cs="Arial"/>
        </w:rPr>
        <w:t xml:space="preserve"> </w:t>
      </w:r>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46DE3828"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61D3132" w14:textId="297E2569"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2"/>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3"/>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p>
    <w:p w14:paraId="38F51CC3" w14:textId="4D061820"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r>
        <w:rPr>
          <w:rFonts w:ascii="Arial" w:hAnsi="Arial" w:cs="Arial"/>
          <w:iCs/>
          <w:color w:val="000000" w:themeColor="text1"/>
        </w:rPr>
        <w:t xml:space="preserve">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r w:rsidR="00606D2F">
        <w:rPr>
          <w:rFonts w:ascii="Arial" w:hAnsi="Arial" w:cs="Arial"/>
          <w:iCs/>
          <w:color w:val="000000" w:themeColor="text1"/>
        </w:rPr>
        <w:t xml:space="preserve"> </w:t>
      </w:r>
      <w:r w:rsidR="001E2E99">
        <w:rPr>
          <w:rFonts w:ascii="Arial" w:hAnsi="Arial" w:cs="Arial"/>
          <w:iCs/>
          <w:color w:val="000000" w:themeColor="text1"/>
        </w:rPr>
        <w:t>who is a party or threatened to be a party to any proceeding in connection with a Board member’s removal or recall pursuant to the Bylaws are indemnified against costs associated with the proceeding.</w:t>
      </w:r>
      <w:r w:rsidR="001E2E99">
        <w:rPr>
          <w:rStyle w:val="FootnoteReference"/>
          <w:rFonts w:ascii="Arial" w:hAnsi="Arial" w:cs="Arial"/>
          <w:iCs/>
          <w:color w:val="000000" w:themeColor="text1"/>
        </w:rPr>
        <w:footnoteReference w:id="4"/>
      </w:r>
      <w:r w:rsidR="001E2E99">
        <w:rPr>
          <w:rFonts w:ascii="Arial" w:hAnsi="Arial" w:cs="Arial"/>
          <w:iCs/>
          <w:color w:val="000000" w:themeColor="text1"/>
        </w:rPr>
        <w:t xml:space="preserve">  </w:t>
      </w:r>
      <w:r w:rsidR="001E2E99">
        <w:rPr>
          <w:rFonts w:ascii="Arial" w:hAnsi="Arial" w:cs="Arial"/>
          <w:iCs/>
          <w:color w:val="000000" w:themeColor="text1"/>
        </w:rPr>
        <w:lastRenderedPageBreak/>
        <w:t xml:space="preserve">These persons </w:t>
      </w:r>
      <w:r w:rsidR="00343D54">
        <w:rPr>
          <w:rFonts w:ascii="Arial" w:hAnsi="Arial" w:cs="Arial"/>
          <w:iCs/>
          <w:color w:val="000000" w:themeColor="text1"/>
        </w:rPr>
        <w:t xml:space="preserve">are </w:t>
      </w:r>
      <w:r w:rsidR="001E2E99">
        <w:rPr>
          <w:rFonts w:ascii="Arial" w:hAnsi="Arial" w:cs="Arial"/>
          <w:iCs/>
          <w:color w:val="000000" w:themeColor="text1"/>
        </w:rPr>
        <w:t>referred to as the “Indemnified Party” throughout the remainder of this 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5"/>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14:paraId="2E5D3743" w14:textId="7084B975"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491DD7B0" w14:textId="77777777"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18E84651" w14:textId="77777777" w:rsidR="0012640B" w:rsidRPr="0012640B" w:rsidRDefault="0012640B" w:rsidP="0012640B">
      <w:pPr>
        <w:pStyle w:val="ListParagraph"/>
        <w:rPr>
          <w:rFonts w:ascii="Arial" w:hAnsi="Arial" w:cs="Arial"/>
        </w:rPr>
      </w:pPr>
    </w:p>
    <w:p w14:paraId="21DE60ED"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6B393338" w14:textId="7777777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0C6EE45B" w14:textId="77777777" w:rsidR="00034FFF" w:rsidRDefault="00034FFF" w:rsidP="00182E95">
      <w:pPr>
        <w:spacing w:after="0" w:line="240" w:lineRule="auto"/>
        <w:rPr>
          <w:rFonts w:ascii="Arial" w:hAnsi="Arial" w:cs="Arial"/>
        </w:rPr>
      </w:pPr>
    </w:p>
    <w:p w14:paraId="153B380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1BE1042A"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22698BC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14:paraId="46237CC6"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 xml:space="preserve">be </w:t>
      </w:r>
      <w:r w:rsidR="00C15259">
        <w:rPr>
          <w:rFonts w:ascii="Arial" w:eastAsia="Times New Roman" w:hAnsi="Arial" w:cs="Arial"/>
          <w:color w:val="000000"/>
        </w:rPr>
        <w:t>believed to be true</w:t>
      </w:r>
    </w:p>
    <w:p w14:paraId="5A7695F7" w14:textId="77777777"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p>
    <w:p w14:paraId="1263FD0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20ED9B6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567087CD" w14:textId="77777777"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 xml:space="preserve">include references to applicable by-laws and/or procedures if the assertion is that </w:t>
      </w:r>
      <w:r w:rsidR="005C0FCF">
        <w:rPr>
          <w:rFonts w:ascii="Arial" w:eastAsia="Times New Roman" w:hAnsi="Arial" w:cs="Arial"/>
          <w:color w:val="000000"/>
        </w:rPr>
        <w:t xml:space="preserve">  </w:t>
      </w:r>
      <w:r w:rsidRPr="005C5755">
        <w:rPr>
          <w:rFonts w:ascii="Arial" w:eastAsia="Times New Roman" w:hAnsi="Arial" w:cs="Arial"/>
          <w:color w:val="000000"/>
        </w:rPr>
        <w:t>a specific by-law or procedure has been breached</w:t>
      </w:r>
    </w:p>
    <w:p w14:paraId="3616B032"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1F72372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7BBA5D21" w14:textId="77777777"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3793C143"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3A69EDFF" w14:textId="77777777"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0CDC347E"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p>
    <w:p w14:paraId="76D68BFA"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lastRenderedPageBreak/>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1FC4FD9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634168CA"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31485E33" w14:textId="77777777"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14:paraId="40528BDD" w14:textId="77777777" w:rsidR="00B04BE8" w:rsidRDefault="00B04BE8" w:rsidP="00B04BE8">
      <w:pPr>
        <w:spacing w:after="0" w:line="240" w:lineRule="auto"/>
        <w:ind w:firstLine="720"/>
        <w:rPr>
          <w:rFonts w:ascii="Arial" w:hAnsi="Arial" w:cs="Arial"/>
        </w:rPr>
      </w:pPr>
    </w:p>
    <w:p w14:paraId="39CC861C" w14:textId="77777777"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14:paraId="7641BE6E" w14:textId="77777777" w:rsidR="009B5F09" w:rsidRDefault="009B5F09" w:rsidP="00B04BE8">
      <w:pPr>
        <w:spacing w:after="0" w:line="240" w:lineRule="auto"/>
        <w:ind w:firstLine="720"/>
        <w:rPr>
          <w:rFonts w:ascii="Arial" w:hAnsi="Arial" w:cs="Arial"/>
        </w:rPr>
      </w:pPr>
    </w:p>
    <w:p w14:paraId="53336F21" w14:textId="65FB0C07"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14:paraId="773B37DA"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35DA917E" w14:textId="77777777"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1D0C6CD0"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00B71978" w14:textId="77777777"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0B58C306" w14:textId="47CFA116"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However, should our first stand-</w:t>
      </w:r>
      <w:r>
        <w:rPr>
          <w:rFonts w:ascii="Arial" w:hAnsi="Arial" w:cs="Arial"/>
        </w:rPr>
        <w:t xml:space="preserve">alone recommendation be accepted, then we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14:paraId="673E7A05" w14:textId="77777777"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62DC0A09" w14:textId="77777777"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2E79F94D" w14:textId="77777777" w:rsidR="00C35217" w:rsidRDefault="00C35217" w:rsidP="00C35217">
      <w:pPr>
        <w:pStyle w:val="ListParagraph"/>
        <w:numPr>
          <w:ilvl w:val="1"/>
          <w:numId w:val="5"/>
        </w:numPr>
        <w:rPr>
          <w:rFonts w:ascii="Arial" w:hAnsi="Arial" w:cs="Arial"/>
        </w:rPr>
      </w:pPr>
      <w:r>
        <w:rPr>
          <w:rFonts w:ascii="Arial" w:hAnsi="Arial" w:cs="Arial"/>
        </w:rPr>
        <w:t>Legal Review of Recommendations</w:t>
      </w:r>
    </w:p>
    <w:p w14:paraId="185DC662" w14:textId="59A0EF78" w:rsidR="00C35217" w:rsidRDefault="00C35217" w:rsidP="00C35217">
      <w:pPr>
        <w:rPr>
          <w:rFonts w:ascii="Arial" w:hAnsi="Arial" w:cs="Arial"/>
        </w:rPr>
      </w:pPr>
      <w:r>
        <w:rPr>
          <w:rFonts w:ascii="Arial" w:hAnsi="Arial" w:cs="Arial"/>
        </w:rPr>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 xml:space="preserve">equired under </w:t>
      </w:r>
      <w:r>
        <w:rPr>
          <w:rFonts w:ascii="Arial" w:hAnsi="Arial" w:cs="Arial"/>
        </w:rPr>
        <w:lastRenderedPageBreak/>
        <w:t>California law? Samantha Eisner, Deputy General Counsel for ICANN responded to question 1 on November 15, 2016 as follows:</w:t>
      </w:r>
    </w:p>
    <w:p w14:paraId="6090550C" w14:textId="77777777"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14:paraId="1C1B9716"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697FE5C8" w14:textId="77777777"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6A9F0BBC"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72922294" w14:textId="77777777"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i/>
          <w:color w:val="000000"/>
        </w:rPr>
        <w:t xml:space="preserve"> </w:t>
      </w:r>
      <w:r w:rsidR="003E17AD">
        <w:rPr>
          <w:rStyle w:val="FootnoteReference"/>
          <w:i/>
          <w:color w:val="000000"/>
        </w:rPr>
        <w:footnoteReference w:id="6"/>
      </w:r>
    </w:p>
    <w:p w14:paraId="6B458E8F" w14:textId="0A735C61" w:rsidR="00C35217" w:rsidRDefault="00C35217" w:rsidP="00C35217">
      <w:pPr>
        <w:rPr>
          <w:rFonts w:ascii="Arial" w:hAnsi="Arial" w:cs="Arial"/>
        </w:rPr>
      </w:pPr>
      <w:r>
        <w:rPr>
          <w:rFonts w:ascii="Arial" w:hAnsi="Arial" w:cs="Arial"/>
        </w:rPr>
        <w:t>With regard to question 2, ICA</w:t>
      </w:r>
      <w:r w:rsidR="00A24C77">
        <w:rPr>
          <w:rFonts w:ascii="Arial" w:hAnsi="Arial" w:cs="Arial"/>
        </w:rPr>
        <w:t xml:space="preserve">NN Legal has advised that they </w:t>
      </w:r>
      <w:r w:rsidR="003E17AD" w:rsidRPr="00A24C77">
        <w:rPr>
          <w:rFonts w:ascii="Arial" w:hAnsi="Arial" w:cs="Arial"/>
          <w:i/>
        </w:rPr>
        <w:t xml:space="preserve">don’t see any concerns or conflicts between the recommendations of the report and understand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7"/>
      </w:r>
    </w:p>
    <w:p w14:paraId="667AFB75"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170DACEB" w14:textId="77777777" w:rsidR="00623F77" w:rsidRPr="0012640B" w:rsidRDefault="00623F77" w:rsidP="00623F77">
      <w:pPr>
        <w:pStyle w:val="ListParagraph"/>
        <w:rPr>
          <w:rFonts w:ascii="Arial" w:hAnsi="Arial" w:cs="Arial"/>
        </w:rPr>
      </w:pPr>
    </w:p>
    <w:p w14:paraId="02AF7F0E"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06180E57" w14:textId="58AE7278" w:rsidR="00623F77" w:rsidRPr="0012640B" w:rsidRDefault="000651C4" w:rsidP="000651C4">
      <w:pPr>
        <w:rPr>
          <w:rFonts w:ascii="Arial" w:hAnsi="Arial" w:cs="Arial"/>
        </w:rPr>
      </w:pPr>
      <w:r>
        <w:rPr>
          <w:rFonts w:ascii="Arial" w:hAnsi="Arial" w:cs="Arial"/>
        </w:rPr>
        <w:t xml:space="preserve">The guidelines assist the community with the implementation of Recommendation #2, they are consistent with rationale in support of NTIA requirements as more specifically described in </w:t>
      </w:r>
      <w:r>
        <w:rPr>
          <w:rFonts w:ascii="Arial" w:hAnsi="Arial" w:cs="Arial"/>
        </w:rPr>
        <w:lastRenderedPageBreak/>
        <w:t>Annex 02.</w:t>
      </w:r>
      <w:r w:rsidRPr="000651C4">
        <w:rPr>
          <w:rStyle w:val="FootnoteReference"/>
          <w:rFonts w:ascii="Arial" w:hAnsi="Arial" w:cs="Arial"/>
        </w:rPr>
        <w:t xml:space="preserve"> </w:t>
      </w:r>
      <w:r>
        <w:rPr>
          <w:rStyle w:val="FootnoteReference"/>
          <w:rFonts w:ascii="Arial" w:hAnsi="Arial" w:cs="Arial"/>
        </w:rPr>
        <w:footnoteReference w:id="8"/>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3EAC957" w14:textId="77777777"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413AEF1D" w14:textId="77777777" w:rsidR="00EF3204" w:rsidRPr="0012640B" w:rsidRDefault="00EF3204" w:rsidP="00EF3204">
      <w:pPr>
        <w:pStyle w:val="ListParagraph"/>
        <w:ind w:left="1440"/>
        <w:rPr>
          <w:rFonts w:ascii="Arial" w:hAnsi="Arial" w:cs="Arial"/>
        </w:rPr>
      </w:pPr>
    </w:p>
    <w:p w14:paraId="0CF4039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9"/>
      </w:r>
    </w:p>
    <w:p w14:paraId="083A08A8" w14:textId="77777777" w:rsidR="008C72B7" w:rsidRPr="0012640B" w:rsidRDefault="008C72B7" w:rsidP="008C72B7">
      <w:pPr>
        <w:pStyle w:val="ListParagraph"/>
        <w:ind w:left="2160"/>
        <w:rPr>
          <w:rFonts w:ascii="Arial" w:hAnsi="Arial" w:cs="Arial"/>
        </w:rPr>
      </w:pPr>
    </w:p>
    <w:p w14:paraId="356AB7E0"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5A1CD19C"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1EA22138"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4CE12920"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74F38AE9"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3E250820"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DB59AA7" w14:textId="77777777" w:rsidR="000A420F" w:rsidRPr="0012640B" w:rsidRDefault="000A420F" w:rsidP="000A420F">
      <w:pPr>
        <w:rPr>
          <w:rFonts w:ascii="Arial" w:hAnsi="Arial" w:cs="Arial"/>
        </w:rPr>
      </w:pPr>
    </w:p>
    <w:p w14:paraId="2AFAC924" w14:textId="77777777" w:rsidR="000A420F" w:rsidRPr="0012640B" w:rsidRDefault="000A420F" w:rsidP="000A420F">
      <w:pPr>
        <w:rPr>
          <w:rFonts w:ascii="Arial" w:hAnsi="Arial" w:cs="Arial"/>
        </w:rPr>
      </w:pPr>
      <w:r w:rsidRPr="0012640B">
        <w:rPr>
          <w:rFonts w:ascii="Arial" w:hAnsi="Arial" w:cs="Arial"/>
        </w:rPr>
        <w:t>Respectfully submitted,</w:t>
      </w:r>
    </w:p>
    <w:p w14:paraId="72034710" w14:textId="77777777" w:rsidR="000A420F" w:rsidRPr="0012640B" w:rsidRDefault="000A420F" w:rsidP="000A420F">
      <w:pPr>
        <w:rPr>
          <w:rFonts w:ascii="Arial" w:hAnsi="Arial" w:cs="Arial"/>
        </w:rPr>
      </w:pPr>
      <w:r w:rsidRPr="0012640B">
        <w:rPr>
          <w:rFonts w:ascii="Arial" w:hAnsi="Arial" w:cs="Arial"/>
        </w:rPr>
        <w:t>Lori S. Schulman, Esq.</w:t>
      </w:r>
    </w:p>
    <w:p w14:paraId="02CA1A9E" w14:textId="77777777" w:rsidR="001746B9" w:rsidRPr="0012640B" w:rsidRDefault="000A420F" w:rsidP="000A420F">
      <w:pPr>
        <w:rPr>
          <w:rFonts w:ascii="Arial" w:hAnsi="Arial" w:cs="Arial"/>
        </w:rPr>
      </w:pPr>
      <w:r w:rsidRPr="0012640B">
        <w:rPr>
          <w:rFonts w:ascii="Arial" w:hAnsi="Arial" w:cs="Arial"/>
        </w:rPr>
        <w:t>Rapporteur</w:t>
      </w:r>
    </w:p>
    <w:p w14:paraId="1E6BBECC" w14:textId="77777777" w:rsidR="001746B9" w:rsidRPr="0012640B" w:rsidRDefault="001746B9">
      <w:pPr>
        <w:rPr>
          <w:rFonts w:ascii="Arial" w:hAnsi="Arial" w:cs="Arial"/>
        </w:rPr>
      </w:pPr>
      <w:r w:rsidRPr="0012640B">
        <w:rPr>
          <w:rFonts w:ascii="Arial" w:hAnsi="Arial" w:cs="Arial"/>
        </w:rPr>
        <w:br w:type="page"/>
      </w:r>
    </w:p>
    <w:p w14:paraId="26834FB6"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1695BB0F" w14:textId="77777777" w:rsidR="00D623E0" w:rsidRPr="0012640B" w:rsidRDefault="00D623E0" w:rsidP="00D623E0">
      <w:pPr>
        <w:jc w:val="center"/>
        <w:rPr>
          <w:rFonts w:ascii="Arial" w:hAnsi="Arial" w:cs="Arial"/>
        </w:rPr>
      </w:pPr>
    </w:p>
    <w:p w14:paraId="0935DBEF"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72431D1D"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13C0D1B5"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6739BD15" w14:textId="77777777" w:rsidR="00933817" w:rsidRPr="0012640B" w:rsidRDefault="00A64135"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2D17AE8A" w14:textId="77777777"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008FAACB"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04BF" w14:textId="77777777" w:rsidR="00A64135" w:rsidRDefault="00A64135" w:rsidP="00D9438E">
      <w:pPr>
        <w:spacing w:after="0" w:line="240" w:lineRule="auto"/>
      </w:pPr>
      <w:r>
        <w:separator/>
      </w:r>
    </w:p>
  </w:endnote>
  <w:endnote w:type="continuationSeparator" w:id="0">
    <w:p w14:paraId="59370273" w14:textId="77777777" w:rsidR="00A64135" w:rsidRDefault="00A64135"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6211"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6D3DAD82" w14:textId="07F9F5FC"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B235B">
          <w:rPr>
            <w:noProof/>
          </w:rPr>
          <w:t>7</w:t>
        </w:r>
        <w:r>
          <w:rPr>
            <w:noProof/>
          </w:rPr>
          <w:fldChar w:fldCharType="end"/>
        </w:r>
        <w:r>
          <w:t xml:space="preserve"> | </w:t>
        </w:r>
        <w:r>
          <w:rPr>
            <w:color w:val="7F7F7F" w:themeColor="background1" w:themeShade="7F"/>
            <w:spacing w:val="60"/>
          </w:rPr>
          <w:t>Page</w:t>
        </w:r>
      </w:p>
    </w:sdtContent>
  </w:sdt>
  <w:p w14:paraId="72363CF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3674"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3B5E2" w14:textId="77777777" w:rsidR="00A64135" w:rsidRDefault="00A64135" w:rsidP="00D9438E">
      <w:pPr>
        <w:spacing w:after="0" w:line="240" w:lineRule="auto"/>
      </w:pPr>
      <w:r>
        <w:separator/>
      </w:r>
    </w:p>
  </w:footnote>
  <w:footnote w:type="continuationSeparator" w:id="0">
    <w:p w14:paraId="4549AE98" w14:textId="77777777" w:rsidR="00A64135" w:rsidRDefault="00A64135" w:rsidP="00D9438E">
      <w:pPr>
        <w:spacing w:after="0" w:line="240" w:lineRule="auto"/>
      </w:pPr>
      <w:r>
        <w:continuationSeparator/>
      </w:r>
    </w:p>
  </w:footnote>
  <w:footnote w:id="1">
    <w:p w14:paraId="6EFBF22B" w14:textId="77777777"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14:paraId="5286427F" w14:textId="77777777" w:rsidR="00343D54" w:rsidRDefault="00343D54" w:rsidP="00343D54">
      <w:pPr>
        <w:pStyle w:val="FootnoteText"/>
        <w:rPr>
          <w:rFonts w:ascii="Arial" w:hAnsi="Arial" w:cs="Arial"/>
        </w:rPr>
      </w:pPr>
      <w:hyperlink r:id="rId1" w:anchor="article6" w:history="1">
        <w:r w:rsidRPr="006662D7">
          <w:rPr>
            <w:rStyle w:val="Hyperlink"/>
            <w:rFonts w:ascii="Arial" w:hAnsi="Arial" w:cs="Arial"/>
          </w:rPr>
          <w:t>https://www.icann.org/resources/pages/governance/bylaws-en/#article6</w:t>
        </w:r>
      </w:hyperlink>
    </w:p>
    <w:p w14:paraId="03B1EB1E" w14:textId="77777777" w:rsidR="00343D54" w:rsidRPr="00EF3204" w:rsidRDefault="00343D54" w:rsidP="00343D54">
      <w:pPr>
        <w:pStyle w:val="FootnoteText"/>
        <w:rPr>
          <w:rFonts w:ascii="Arial" w:hAnsi="Arial" w:cs="Arial"/>
        </w:rPr>
      </w:pPr>
    </w:p>
  </w:footnote>
  <w:footnote w:id="2">
    <w:p w14:paraId="1A917FA0" w14:textId="77777777"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14:paraId="5AD9DBEA" w14:textId="362D05A6" w:rsidR="003E2598" w:rsidRDefault="00343D54">
      <w:pPr>
        <w:pStyle w:val="FootnoteText"/>
        <w:rPr>
          <w:rFonts w:ascii="Arial" w:hAnsi="Arial" w:cs="Arial"/>
        </w:rPr>
      </w:pPr>
      <w:hyperlink r:id="rId2" w:history="1">
        <w:r w:rsidRPr="007233E4">
          <w:rPr>
            <w:rStyle w:val="Hyperlink"/>
            <w:rFonts w:ascii="Arial" w:hAnsi="Arial" w:cs="Arial"/>
          </w:rPr>
          <w:t>https://www.icann.org/resources/pages/governance/bylaws-en/#article7</w:t>
        </w:r>
      </w:hyperlink>
    </w:p>
    <w:p w14:paraId="2F447603" w14:textId="77777777" w:rsidR="00343D54" w:rsidRPr="00EF3204" w:rsidRDefault="00343D54">
      <w:pPr>
        <w:pStyle w:val="FootnoteText"/>
        <w:rPr>
          <w:rFonts w:ascii="Arial" w:hAnsi="Arial" w:cs="Arial"/>
        </w:rPr>
      </w:pPr>
    </w:p>
  </w:footnote>
  <w:footnote w:id="3">
    <w:p w14:paraId="72D68216" w14:textId="7DF85272" w:rsidR="00095D88"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343D54">
        <w:rPr>
          <w:rFonts w:ascii="Arial" w:hAnsi="Arial" w:cs="Arial"/>
        </w:rPr>
        <w:t>See</w:t>
      </w:r>
      <w:r w:rsidRPr="00EF3204">
        <w:rPr>
          <w:rFonts w:ascii="Arial" w:hAnsi="Arial" w:cs="Arial"/>
        </w:rPr>
        <w:t xml:space="preserve"> </w:t>
      </w:r>
      <w:hyperlink r:id="rId3" w:history="1">
        <w:r w:rsidR="00EF3204" w:rsidRPr="006662D7">
          <w:rPr>
            <w:rStyle w:val="Hyperlink"/>
            <w:rFonts w:ascii="Arial" w:hAnsi="Arial" w:cs="Arial"/>
          </w:rPr>
          <w:t>https://www.icann.org/en/system/files/files/ccwg-accountability-supp-proposal-work-stream-1-recs-23feb16-en.pdf</w:t>
        </w:r>
      </w:hyperlink>
    </w:p>
    <w:p w14:paraId="2A497D48" w14:textId="77777777" w:rsidR="00EF3204" w:rsidRPr="00EF3204" w:rsidRDefault="00EF3204">
      <w:pPr>
        <w:pStyle w:val="FootnoteText"/>
        <w:rPr>
          <w:rFonts w:ascii="Arial" w:hAnsi="Arial" w:cs="Arial"/>
        </w:rPr>
      </w:pPr>
    </w:p>
  </w:footnote>
  <w:footnote w:id="4">
    <w:p w14:paraId="5C087DF4" w14:textId="2202FAC4" w:rsidR="001E2E99" w:rsidRPr="00EF3204" w:rsidRDefault="001E2E99" w:rsidP="001E2E99">
      <w:pPr>
        <w:pStyle w:val="FootnoteText"/>
        <w:rPr>
          <w:rFonts w:ascii="Arial" w:hAnsi="Arial" w:cs="Arial"/>
        </w:rPr>
      </w:pPr>
      <w:r>
        <w:rPr>
          <w:rStyle w:val="FootnoteReference"/>
        </w:rPr>
        <w:footnoteRef/>
      </w:r>
      <w:r>
        <w:t xml:space="preserve"> </w:t>
      </w:r>
      <w:r w:rsidRPr="00EF3204">
        <w:rPr>
          <w:rFonts w:ascii="Arial" w:hAnsi="Arial" w:cs="Arial"/>
        </w:rPr>
        <w:t>ICANN Bylaws Article 20, Section 20.2 Indemnification with Respect to Director Removal https://www.icann.org/resources/pages/governance/bylaws-en/#article20</w:t>
      </w:r>
    </w:p>
    <w:p w14:paraId="429C7903" w14:textId="41BD9933" w:rsidR="001E2E99" w:rsidRDefault="001E2E99">
      <w:pPr>
        <w:pStyle w:val="FootnoteText"/>
      </w:pPr>
    </w:p>
  </w:footnote>
  <w:footnote w:id="5">
    <w:p w14:paraId="35D4DE9C" w14:textId="77777777"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6">
    <w:p w14:paraId="426CCF6D" w14:textId="77777777"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14:paraId="635E70BF" w14:textId="77777777" w:rsidR="00EF3204" w:rsidRPr="00EF3204" w:rsidRDefault="00EF3204">
      <w:pPr>
        <w:pStyle w:val="FootnoteText"/>
        <w:rPr>
          <w:rFonts w:ascii="Arial" w:hAnsi="Arial" w:cs="Arial"/>
        </w:rPr>
      </w:pPr>
    </w:p>
  </w:footnote>
  <w:footnote w:id="7">
    <w:p w14:paraId="39183BA9" w14:textId="77777777"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14:paraId="71B587ED" w14:textId="77777777" w:rsidR="00EF3204" w:rsidRPr="00EF3204" w:rsidRDefault="00EF3204">
      <w:pPr>
        <w:pStyle w:val="FootnoteText"/>
        <w:rPr>
          <w:rFonts w:ascii="Arial" w:hAnsi="Arial" w:cs="Arial"/>
        </w:rPr>
      </w:pPr>
    </w:p>
  </w:footnote>
  <w:footnote w:id="8">
    <w:p w14:paraId="5C2C7E84" w14:textId="77777777"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14:paraId="31FE6BB1" w14:textId="77777777" w:rsidR="00EF3204" w:rsidRPr="00EF3204" w:rsidRDefault="00EF3204" w:rsidP="000651C4">
      <w:pPr>
        <w:pStyle w:val="FootnoteText"/>
        <w:rPr>
          <w:rFonts w:ascii="Arial" w:hAnsi="Arial" w:cs="Arial"/>
        </w:rPr>
      </w:pPr>
    </w:p>
  </w:footnote>
  <w:footnote w:id="9">
    <w:p w14:paraId="087621B2" w14:textId="77777777" w:rsidR="00AA34B3" w:rsidRPr="00EF3204" w:rsidRDefault="00AA34B3">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w:t>
      </w:r>
      <w:r w:rsidR="0012640B" w:rsidRPr="00EF3204">
        <w:rPr>
          <w:rFonts w:ascii="Arial" w:hAnsi="Arial" w:cs="Arial"/>
        </w:rPr>
        <w:t xml:space="preserve"> </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30B5"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14:paraId="3BDA2184" w14:textId="77777777" w:rsidR="009E31C3" w:rsidRDefault="00A64135">
        <w:pPr>
          <w:pStyle w:val="Header"/>
        </w:pPr>
        <w:r>
          <w:rPr>
            <w:noProof/>
          </w:rPr>
          <w:pict w14:anchorId="5071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5547"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12640B"/>
    <w:rsid w:val="001365A7"/>
    <w:rsid w:val="001746B9"/>
    <w:rsid w:val="00177FE3"/>
    <w:rsid w:val="00182E95"/>
    <w:rsid w:val="001E2E99"/>
    <w:rsid w:val="00262BA7"/>
    <w:rsid w:val="00324C49"/>
    <w:rsid w:val="00343D54"/>
    <w:rsid w:val="0036461F"/>
    <w:rsid w:val="003E17AD"/>
    <w:rsid w:val="003E2598"/>
    <w:rsid w:val="003E3911"/>
    <w:rsid w:val="00410567"/>
    <w:rsid w:val="00431E1D"/>
    <w:rsid w:val="00454A4E"/>
    <w:rsid w:val="00465423"/>
    <w:rsid w:val="004E2D4A"/>
    <w:rsid w:val="00501F7E"/>
    <w:rsid w:val="005245DA"/>
    <w:rsid w:val="00561641"/>
    <w:rsid w:val="005A55BB"/>
    <w:rsid w:val="005C0FCF"/>
    <w:rsid w:val="005E3D06"/>
    <w:rsid w:val="00606D2F"/>
    <w:rsid w:val="00623F77"/>
    <w:rsid w:val="006D46BB"/>
    <w:rsid w:val="006D62D1"/>
    <w:rsid w:val="006E4A2D"/>
    <w:rsid w:val="00744269"/>
    <w:rsid w:val="007660EF"/>
    <w:rsid w:val="007B235B"/>
    <w:rsid w:val="007C27A1"/>
    <w:rsid w:val="007C5A63"/>
    <w:rsid w:val="00881983"/>
    <w:rsid w:val="008B3E97"/>
    <w:rsid w:val="008C72B7"/>
    <w:rsid w:val="00933817"/>
    <w:rsid w:val="0099073B"/>
    <w:rsid w:val="00992646"/>
    <w:rsid w:val="00996833"/>
    <w:rsid w:val="009A70F0"/>
    <w:rsid w:val="009B5F09"/>
    <w:rsid w:val="009D550D"/>
    <w:rsid w:val="009E31C3"/>
    <w:rsid w:val="009E4A35"/>
    <w:rsid w:val="00A06B48"/>
    <w:rsid w:val="00A1562E"/>
    <w:rsid w:val="00A24C77"/>
    <w:rsid w:val="00A606CB"/>
    <w:rsid w:val="00A64135"/>
    <w:rsid w:val="00AA34B3"/>
    <w:rsid w:val="00AE362F"/>
    <w:rsid w:val="00B04BE8"/>
    <w:rsid w:val="00B22D22"/>
    <w:rsid w:val="00B60E45"/>
    <w:rsid w:val="00B82E7C"/>
    <w:rsid w:val="00C04333"/>
    <w:rsid w:val="00C15259"/>
    <w:rsid w:val="00C33882"/>
    <w:rsid w:val="00C35217"/>
    <w:rsid w:val="00C702F4"/>
    <w:rsid w:val="00CA6613"/>
    <w:rsid w:val="00CC0F7D"/>
    <w:rsid w:val="00CD2072"/>
    <w:rsid w:val="00CF1742"/>
    <w:rsid w:val="00D123DC"/>
    <w:rsid w:val="00D617C1"/>
    <w:rsid w:val="00D623E0"/>
    <w:rsid w:val="00D662E7"/>
    <w:rsid w:val="00D9438E"/>
    <w:rsid w:val="00DA04FE"/>
    <w:rsid w:val="00DE264C"/>
    <w:rsid w:val="00DF0FD4"/>
    <w:rsid w:val="00E10107"/>
    <w:rsid w:val="00E33462"/>
    <w:rsid w:val="00E95ECE"/>
    <w:rsid w:val="00EE6264"/>
    <w:rsid w:val="00EE6BA5"/>
    <w:rsid w:val="00EF3204"/>
    <w:rsid w:val="00F3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E2319"/>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article7"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EC3A-DD5B-4A83-BCF3-1E9B9EC8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2017-01-25T19:29:00Z</dcterms:created>
  <dcterms:modified xsi:type="dcterms:W3CDTF">2017-01-26T02:02:00Z</dcterms:modified>
</cp:coreProperties>
</file>