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563079" w14:textId="77777777" w:rsidR="000F27A0" w:rsidRPr="0012640B" w:rsidRDefault="000F27A0" w:rsidP="000F27A0">
      <w:pPr>
        <w:jc w:val="center"/>
        <w:rPr>
          <w:rFonts w:ascii="Arial" w:hAnsi="Arial" w:cs="Arial"/>
        </w:rPr>
      </w:pPr>
      <w:r w:rsidRPr="0012640B">
        <w:rPr>
          <w:rFonts w:ascii="Arial" w:hAnsi="Arial" w:cs="Arial"/>
        </w:rPr>
        <w:t xml:space="preserve">WS2 Workgroup Outcomes </w:t>
      </w:r>
    </w:p>
    <w:p w14:paraId="538E4C7A" w14:textId="77777777" w:rsidR="004E2D4A" w:rsidRPr="0012640B" w:rsidRDefault="00501F7E" w:rsidP="000F27A0">
      <w:pPr>
        <w:jc w:val="center"/>
        <w:rPr>
          <w:rFonts w:ascii="Arial" w:hAnsi="Arial" w:cs="Arial"/>
          <w:b/>
        </w:rPr>
      </w:pPr>
      <w:r w:rsidRPr="0012640B">
        <w:rPr>
          <w:rFonts w:ascii="Arial" w:hAnsi="Arial" w:cs="Arial"/>
          <w:b/>
        </w:rPr>
        <w:t>Guidelines on Good Faith Conduct in Participating in Board Removal Discussions</w:t>
      </w:r>
    </w:p>
    <w:p w14:paraId="1518B8D8" w14:textId="428519DE" w:rsidR="000A420F" w:rsidRPr="0012640B" w:rsidRDefault="000A420F" w:rsidP="000A420F">
      <w:pPr>
        <w:jc w:val="center"/>
        <w:rPr>
          <w:rFonts w:ascii="Arial" w:hAnsi="Arial" w:cs="Arial"/>
          <w:b/>
        </w:rPr>
      </w:pPr>
      <w:r w:rsidRPr="0012640B">
        <w:rPr>
          <w:rFonts w:ascii="Arial" w:hAnsi="Arial" w:cs="Arial"/>
          <w:b/>
        </w:rPr>
        <w:t>Draft Report Version 1</w:t>
      </w:r>
      <w:r w:rsidR="007B235B">
        <w:rPr>
          <w:rFonts w:ascii="Arial" w:hAnsi="Arial" w:cs="Arial"/>
          <w:b/>
        </w:rPr>
        <w:t>.4</w:t>
      </w:r>
    </w:p>
    <w:p w14:paraId="7077E5BF" w14:textId="77777777" w:rsidR="000A420F" w:rsidRPr="0012640B" w:rsidRDefault="000A420F" w:rsidP="000A420F">
      <w:pPr>
        <w:jc w:val="center"/>
        <w:rPr>
          <w:rFonts w:ascii="Arial" w:hAnsi="Arial" w:cs="Arial"/>
          <w:b/>
        </w:rPr>
      </w:pPr>
      <w:r w:rsidRPr="0012640B">
        <w:rPr>
          <w:rFonts w:ascii="Arial" w:hAnsi="Arial" w:cs="Arial"/>
          <w:b/>
        </w:rPr>
        <w:t xml:space="preserve">January </w:t>
      </w:r>
      <w:r w:rsidR="00465423">
        <w:rPr>
          <w:rFonts w:ascii="Arial" w:hAnsi="Arial" w:cs="Arial"/>
          <w:b/>
        </w:rPr>
        <w:t>2</w:t>
      </w:r>
      <w:r w:rsidR="007C27A1">
        <w:rPr>
          <w:rFonts w:ascii="Arial" w:hAnsi="Arial" w:cs="Arial"/>
          <w:b/>
        </w:rPr>
        <w:t>5</w:t>
      </w:r>
      <w:r w:rsidRPr="0012640B">
        <w:rPr>
          <w:rFonts w:ascii="Arial" w:hAnsi="Arial" w:cs="Arial"/>
          <w:b/>
        </w:rPr>
        <w:t>, 2017</w:t>
      </w:r>
    </w:p>
    <w:p w14:paraId="42B5C1D4" w14:textId="77777777" w:rsidR="000A420F" w:rsidRPr="0012640B" w:rsidRDefault="000A420F" w:rsidP="000A420F">
      <w:pPr>
        <w:jc w:val="center"/>
        <w:rPr>
          <w:rFonts w:ascii="Arial" w:hAnsi="Arial" w:cs="Arial"/>
          <w:b/>
        </w:rPr>
      </w:pPr>
    </w:p>
    <w:p w14:paraId="51D9BC27" w14:textId="77777777" w:rsidR="000A420F" w:rsidRDefault="000A420F" w:rsidP="000A420F">
      <w:pPr>
        <w:jc w:val="center"/>
        <w:rPr>
          <w:rFonts w:ascii="Arial" w:hAnsi="Arial" w:cs="Arial"/>
        </w:rPr>
      </w:pPr>
      <w:r w:rsidRPr="0012640B">
        <w:rPr>
          <w:rFonts w:ascii="Arial" w:hAnsi="Arial" w:cs="Arial"/>
        </w:rPr>
        <w:t>Table of Contents</w:t>
      </w:r>
    </w:p>
    <w:p w14:paraId="291411B7" w14:textId="77777777" w:rsidR="007C5A63" w:rsidRDefault="007C5A63" w:rsidP="000A420F">
      <w:pPr>
        <w:jc w:val="cente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5"/>
        <w:gridCol w:w="715"/>
      </w:tblGrid>
      <w:tr w:rsidR="007C5A63" w14:paraId="7556D560" w14:textId="77777777" w:rsidTr="00B22D22">
        <w:tc>
          <w:tcPr>
            <w:tcW w:w="8635" w:type="dxa"/>
          </w:tcPr>
          <w:p w14:paraId="01F86264" w14:textId="77777777" w:rsidR="007C5A63" w:rsidRDefault="007C5A63" w:rsidP="007C5A63">
            <w:pPr>
              <w:pStyle w:val="ListParagraph"/>
              <w:numPr>
                <w:ilvl w:val="0"/>
                <w:numId w:val="11"/>
              </w:numPr>
              <w:jc w:val="both"/>
              <w:rPr>
                <w:rFonts w:ascii="Arial" w:hAnsi="Arial" w:cs="Arial"/>
              </w:rPr>
            </w:pPr>
            <w:r w:rsidRPr="007C5A63">
              <w:rPr>
                <w:rFonts w:ascii="Arial" w:hAnsi="Arial" w:cs="Arial"/>
              </w:rPr>
              <w:t>Executive Summary</w:t>
            </w:r>
          </w:p>
          <w:p w14:paraId="30E33FB1" w14:textId="77777777" w:rsidR="00EE6BA5" w:rsidRPr="007C5A63" w:rsidRDefault="00EE6BA5" w:rsidP="00EE6BA5">
            <w:pPr>
              <w:pStyle w:val="ListParagraph"/>
              <w:ind w:left="1080"/>
              <w:jc w:val="both"/>
              <w:rPr>
                <w:rFonts w:ascii="Arial" w:hAnsi="Arial" w:cs="Arial"/>
              </w:rPr>
            </w:pPr>
          </w:p>
        </w:tc>
        <w:tc>
          <w:tcPr>
            <w:tcW w:w="715" w:type="dxa"/>
          </w:tcPr>
          <w:p w14:paraId="190F26F9" w14:textId="77777777" w:rsidR="007C5A63" w:rsidRDefault="007C5A63" w:rsidP="007C5A63">
            <w:pPr>
              <w:jc w:val="right"/>
              <w:rPr>
                <w:rFonts w:ascii="Arial" w:hAnsi="Arial" w:cs="Arial"/>
              </w:rPr>
            </w:pPr>
            <w:r>
              <w:rPr>
                <w:rFonts w:ascii="Arial" w:hAnsi="Arial" w:cs="Arial"/>
              </w:rPr>
              <w:t>2</w:t>
            </w:r>
          </w:p>
        </w:tc>
      </w:tr>
      <w:tr w:rsidR="007C5A63" w14:paraId="28F38ECB" w14:textId="77777777" w:rsidTr="00B22D22">
        <w:tc>
          <w:tcPr>
            <w:tcW w:w="8635" w:type="dxa"/>
          </w:tcPr>
          <w:p w14:paraId="1F44C98D" w14:textId="77777777" w:rsidR="007C5A63" w:rsidRDefault="007C5A63" w:rsidP="007C5A63">
            <w:pPr>
              <w:pStyle w:val="ListParagraph"/>
              <w:numPr>
                <w:ilvl w:val="0"/>
                <w:numId w:val="11"/>
              </w:numPr>
              <w:jc w:val="both"/>
              <w:rPr>
                <w:rFonts w:ascii="Arial" w:hAnsi="Arial" w:cs="Arial"/>
              </w:rPr>
            </w:pPr>
            <w:r>
              <w:rPr>
                <w:rFonts w:ascii="Arial" w:hAnsi="Arial" w:cs="Arial"/>
              </w:rPr>
              <w:t>Description of Issue</w:t>
            </w:r>
          </w:p>
          <w:p w14:paraId="2CF4DB80" w14:textId="77777777" w:rsidR="00EE6BA5" w:rsidRPr="007C5A63" w:rsidRDefault="00EE6BA5" w:rsidP="00EE6BA5">
            <w:pPr>
              <w:pStyle w:val="ListParagraph"/>
              <w:ind w:left="1080"/>
              <w:jc w:val="both"/>
              <w:rPr>
                <w:rFonts w:ascii="Arial" w:hAnsi="Arial" w:cs="Arial"/>
              </w:rPr>
            </w:pPr>
          </w:p>
        </w:tc>
        <w:tc>
          <w:tcPr>
            <w:tcW w:w="715" w:type="dxa"/>
          </w:tcPr>
          <w:p w14:paraId="48957698" w14:textId="77777777" w:rsidR="007C5A63" w:rsidRDefault="00B22D22" w:rsidP="007C5A63">
            <w:pPr>
              <w:jc w:val="right"/>
              <w:rPr>
                <w:rFonts w:ascii="Arial" w:hAnsi="Arial" w:cs="Arial"/>
              </w:rPr>
            </w:pPr>
            <w:r>
              <w:rPr>
                <w:rFonts w:ascii="Arial" w:hAnsi="Arial" w:cs="Arial"/>
              </w:rPr>
              <w:t>3</w:t>
            </w:r>
          </w:p>
        </w:tc>
      </w:tr>
      <w:tr w:rsidR="007C5A63" w14:paraId="7872931D" w14:textId="77777777" w:rsidTr="00B22D22">
        <w:tc>
          <w:tcPr>
            <w:tcW w:w="8635" w:type="dxa"/>
          </w:tcPr>
          <w:p w14:paraId="22B9D8F7" w14:textId="77777777" w:rsidR="007C5A63" w:rsidRDefault="007C5A63" w:rsidP="007C5A63">
            <w:pPr>
              <w:pStyle w:val="ListParagraph"/>
              <w:numPr>
                <w:ilvl w:val="0"/>
                <w:numId w:val="11"/>
              </w:numPr>
              <w:rPr>
                <w:rFonts w:ascii="Arial" w:hAnsi="Arial" w:cs="Arial"/>
              </w:rPr>
            </w:pPr>
            <w:r>
              <w:rPr>
                <w:rFonts w:ascii="Arial" w:hAnsi="Arial" w:cs="Arial"/>
              </w:rPr>
              <w:t>Recommendations</w:t>
            </w:r>
          </w:p>
          <w:p w14:paraId="4EC53FB1" w14:textId="77777777" w:rsidR="007C5A63" w:rsidRDefault="007C5A63" w:rsidP="007C5A63">
            <w:pPr>
              <w:pStyle w:val="ListParagraph"/>
              <w:numPr>
                <w:ilvl w:val="0"/>
                <w:numId w:val="12"/>
              </w:numPr>
              <w:rPr>
                <w:rFonts w:ascii="Arial" w:hAnsi="Arial" w:cs="Arial"/>
              </w:rPr>
            </w:pPr>
            <w:r>
              <w:rPr>
                <w:rFonts w:ascii="Arial" w:hAnsi="Arial" w:cs="Arial"/>
              </w:rPr>
              <w:t>Proposed Guidelines</w:t>
            </w:r>
          </w:p>
          <w:p w14:paraId="0029397A" w14:textId="77777777" w:rsidR="009B5F09" w:rsidRDefault="009B5F09" w:rsidP="007C5A63">
            <w:pPr>
              <w:pStyle w:val="ListParagraph"/>
              <w:numPr>
                <w:ilvl w:val="0"/>
                <w:numId w:val="12"/>
              </w:numPr>
              <w:rPr>
                <w:rFonts w:ascii="Arial" w:hAnsi="Arial" w:cs="Arial"/>
              </w:rPr>
            </w:pPr>
            <w:r>
              <w:rPr>
                <w:rFonts w:ascii="Arial" w:hAnsi="Arial" w:cs="Arial"/>
              </w:rPr>
              <w:t>Stand-alone Recommendations</w:t>
            </w:r>
          </w:p>
          <w:p w14:paraId="488EBE6F" w14:textId="77777777" w:rsidR="007C5A63" w:rsidRDefault="007C5A63" w:rsidP="007C5A63">
            <w:pPr>
              <w:pStyle w:val="ListParagraph"/>
              <w:numPr>
                <w:ilvl w:val="0"/>
                <w:numId w:val="12"/>
              </w:numPr>
              <w:rPr>
                <w:rFonts w:ascii="Arial" w:hAnsi="Arial" w:cs="Arial"/>
              </w:rPr>
            </w:pPr>
            <w:r>
              <w:rPr>
                <w:rFonts w:ascii="Arial" w:hAnsi="Arial" w:cs="Arial"/>
              </w:rPr>
              <w:t>Requirements for Recommendations</w:t>
            </w:r>
          </w:p>
          <w:p w14:paraId="272C7C3F" w14:textId="77777777" w:rsidR="007C5A63" w:rsidRDefault="007C5A63" w:rsidP="007C5A63">
            <w:pPr>
              <w:pStyle w:val="ListParagraph"/>
              <w:numPr>
                <w:ilvl w:val="0"/>
                <w:numId w:val="12"/>
              </w:numPr>
              <w:rPr>
                <w:rFonts w:ascii="Arial" w:hAnsi="Arial" w:cs="Arial"/>
              </w:rPr>
            </w:pPr>
            <w:r>
              <w:rPr>
                <w:rFonts w:ascii="Arial" w:hAnsi="Arial" w:cs="Arial"/>
              </w:rPr>
              <w:t>Rationale for Recommendations</w:t>
            </w:r>
          </w:p>
          <w:p w14:paraId="70A74F88" w14:textId="77777777" w:rsidR="00EE6BA5" w:rsidRPr="00C35217" w:rsidRDefault="00C35217" w:rsidP="00C35217">
            <w:pPr>
              <w:pStyle w:val="ListParagraph"/>
              <w:numPr>
                <w:ilvl w:val="0"/>
                <w:numId w:val="12"/>
              </w:numPr>
              <w:rPr>
                <w:rFonts w:ascii="Arial" w:hAnsi="Arial" w:cs="Arial"/>
              </w:rPr>
            </w:pPr>
            <w:r>
              <w:rPr>
                <w:rFonts w:ascii="Arial" w:hAnsi="Arial" w:cs="Arial"/>
              </w:rPr>
              <w:t>Legal Review of Recommendations</w:t>
            </w:r>
          </w:p>
        </w:tc>
        <w:tc>
          <w:tcPr>
            <w:tcW w:w="715" w:type="dxa"/>
          </w:tcPr>
          <w:p w14:paraId="5DA2FBA8" w14:textId="77777777" w:rsidR="00B22D22" w:rsidRDefault="00B22D22" w:rsidP="007C5A63">
            <w:pPr>
              <w:jc w:val="right"/>
              <w:rPr>
                <w:rFonts w:ascii="Arial" w:hAnsi="Arial" w:cs="Arial"/>
              </w:rPr>
            </w:pPr>
          </w:p>
          <w:p w14:paraId="509D418F" w14:textId="77777777" w:rsidR="007C5A63" w:rsidRDefault="00B22D22" w:rsidP="007C5A63">
            <w:pPr>
              <w:jc w:val="right"/>
              <w:rPr>
                <w:rFonts w:ascii="Arial" w:hAnsi="Arial" w:cs="Arial"/>
              </w:rPr>
            </w:pPr>
            <w:r>
              <w:rPr>
                <w:rFonts w:ascii="Arial" w:hAnsi="Arial" w:cs="Arial"/>
              </w:rPr>
              <w:t>3</w:t>
            </w:r>
          </w:p>
          <w:p w14:paraId="3BE8E982" w14:textId="77777777" w:rsidR="00B22D22" w:rsidRDefault="00B22D22" w:rsidP="007C5A63">
            <w:pPr>
              <w:jc w:val="right"/>
              <w:rPr>
                <w:rFonts w:ascii="Arial" w:hAnsi="Arial" w:cs="Arial"/>
              </w:rPr>
            </w:pPr>
            <w:r>
              <w:rPr>
                <w:rFonts w:ascii="Arial" w:hAnsi="Arial" w:cs="Arial"/>
              </w:rPr>
              <w:t>3</w:t>
            </w:r>
          </w:p>
          <w:p w14:paraId="715302E8" w14:textId="77777777" w:rsidR="009B5F09" w:rsidRDefault="009B5F09" w:rsidP="007C5A63">
            <w:pPr>
              <w:jc w:val="right"/>
              <w:rPr>
                <w:rFonts w:ascii="Arial" w:hAnsi="Arial" w:cs="Arial"/>
              </w:rPr>
            </w:pPr>
            <w:r>
              <w:rPr>
                <w:rFonts w:ascii="Arial" w:hAnsi="Arial" w:cs="Arial"/>
              </w:rPr>
              <w:t>4</w:t>
            </w:r>
          </w:p>
          <w:p w14:paraId="18A36097" w14:textId="77777777" w:rsidR="00B22D22" w:rsidRDefault="00B22D22" w:rsidP="007C5A63">
            <w:pPr>
              <w:jc w:val="right"/>
              <w:rPr>
                <w:rFonts w:ascii="Arial" w:hAnsi="Arial" w:cs="Arial"/>
              </w:rPr>
            </w:pPr>
            <w:r>
              <w:rPr>
                <w:rFonts w:ascii="Arial" w:hAnsi="Arial" w:cs="Arial"/>
              </w:rPr>
              <w:t>4</w:t>
            </w:r>
          </w:p>
          <w:p w14:paraId="4EBD4052" w14:textId="77777777" w:rsidR="00C35217" w:rsidRDefault="00C35217" w:rsidP="007C5A63">
            <w:pPr>
              <w:jc w:val="right"/>
              <w:rPr>
                <w:rFonts w:ascii="Arial" w:hAnsi="Arial" w:cs="Arial"/>
              </w:rPr>
            </w:pPr>
            <w:r>
              <w:rPr>
                <w:rFonts w:ascii="Arial" w:hAnsi="Arial" w:cs="Arial"/>
              </w:rPr>
              <w:t>4</w:t>
            </w:r>
          </w:p>
          <w:p w14:paraId="4D595DDC" w14:textId="77777777" w:rsidR="00C35217" w:rsidRDefault="00C35217" w:rsidP="007C5A63">
            <w:pPr>
              <w:jc w:val="right"/>
              <w:rPr>
                <w:rFonts w:ascii="Arial" w:hAnsi="Arial" w:cs="Arial"/>
              </w:rPr>
            </w:pPr>
          </w:p>
        </w:tc>
      </w:tr>
      <w:tr w:rsidR="007C5A63" w14:paraId="64053566" w14:textId="77777777" w:rsidTr="00B22D22">
        <w:tc>
          <w:tcPr>
            <w:tcW w:w="8635" w:type="dxa"/>
          </w:tcPr>
          <w:p w14:paraId="5E82C9B4" w14:textId="77777777" w:rsidR="007C5A63" w:rsidRPr="007C5A63" w:rsidRDefault="007C5A63" w:rsidP="007C5A63">
            <w:pPr>
              <w:pStyle w:val="ListParagraph"/>
              <w:numPr>
                <w:ilvl w:val="0"/>
                <w:numId w:val="11"/>
              </w:numPr>
              <w:rPr>
                <w:rFonts w:ascii="Arial" w:hAnsi="Arial" w:cs="Arial"/>
              </w:rPr>
            </w:pPr>
            <w:r w:rsidRPr="007C5A63">
              <w:rPr>
                <w:rFonts w:ascii="Arial" w:hAnsi="Arial" w:cs="Arial"/>
              </w:rPr>
              <w:t>Assessment of Recommendations</w:t>
            </w:r>
          </w:p>
          <w:p w14:paraId="5A80D621" w14:textId="77777777" w:rsidR="007C5A63" w:rsidRDefault="007C5A63" w:rsidP="007C5A63">
            <w:pPr>
              <w:pStyle w:val="ListParagraph"/>
              <w:numPr>
                <w:ilvl w:val="0"/>
                <w:numId w:val="13"/>
              </w:numPr>
              <w:rPr>
                <w:rFonts w:ascii="Arial" w:hAnsi="Arial" w:cs="Arial"/>
              </w:rPr>
            </w:pPr>
            <w:r>
              <w:rPr>
                <w:rFonts w:ascii="Arial" w:hAnsi="Arial" w:cs="Arial"/>
              </w:rPr>
              <w:t xml:space="preserve">How do Recommendations Meet </w:t>
            </w:r>
            <w:r w:rsidR="00EE6BA5">
              <w:rPr>
                <w:rFonts w:ascii="Arial" w:hAnsi="Arial" w:cs="Arial"/>
              </w:rPr>
              <w:t xml:space="preserve">the </w:t>
            </w:r>
            <w:r>
              <w:rPr>
                <w:rFonts w:ascii="Arial" w:hAnsi="Arial" w:cs="Arial"/>
              </w:rPr>
              <w:t>NTIA</w:t>
            </w:r>
            <w:r w:rsidR="00EE6BA5">
              <w:rPr>
                <w:rFonts w:ascii="Arial" w:hAnsi="Arial" w:cs="Arial"/>
              </w:rPr>
              <w:t xml:space="preserve"> Criteria?</w:t>
            </w:r>
          </w:p>
          <w:p w14:paraId="1BA3A4BB" w14:textId="77777777" w:rsidR="00EE6BA5" w:rsidRDefault="00B22D22" w:rsidP="007C5A63">
            <w:pPr>
              <w:pStyle w:val="ListParagraph"/>
              <w:numPr>
                <w:ilvl w:val="0"/>
                <w:numId w:val="13"/>
              </w:numPr>
              <w:rPr>
                <w:rFonts w:ascii="Arial" w:hAnsi="Arial" w:cs="Arial"/>
              </w:rPr>
            </w:pPr>
            <w:r>
              <w:rPr>
                <w:rFonts w:ascii="Arial" w:hAnsi="Arial" w:cs="Arial"/>
              </w:rPr>
              <w:t>Are the Recommendations</w:t>
            </w:r>
            <w:r w:rsidR="00EE6BA5">
              <w:rPr>
                <w:rFonts w:ascii="Arial" w:hAnsi="Arial" w:cs="Arial"/>
              </w:rPr>
              <w:t xml:space="preserve"> compliant with WS1 Recommendations</w:t>
            </w:r>
            <w:r w:rsidR="00C702F4">
              <w:rPr>
                <w:rFonts w:ascii="Arial" w:hAnsi="Arial" w:cs="Arial"/>
              </w:rPr>
              <w:t>?</w:t>
            </w:r>
          </w:p>
          <w:p w14:paraId="6FF34D42" w14:textId="77777777" w:rsidR="00EE6BA5" w:rsidRPr="007C5A63" w:rsidRDefault="00EE6BA5" w:rsidP="00EE6BA5">
            <w:pPr>
              <w:pStyle w:val="ListParagraph"/>
              <w:ind w:left="1440"/>
              <w:rPr>
                <w:rFonts w:ascii="Arial" w:hAnsi="Arial" w:cs="Arial"/>
              </w:rPr>
            </w:pPr>
          </w:p>
        </w:tc>
        <w:tc>
          <w:tcPr>
            <w:tcW w:w="715" w:type="dxa"/>
          </w:tcPr>
          <w:p w14:paraId="63E7C713" w14:textId="77777777" w:rsidR="00B22D22" w:rsidRDefault="00B22D22" w:rsidP="00B22D22">
            <w:pPr>
              <w:jc w:val="right"/>
              <w:rPr>
                <w:rFonts w:ascii="Arial" w:hAnsi="Arial" w:cs="Arial"/>
              </w:rPr>
            </w:pPr>
          </w:p>
          <w:p w14:paraId="4DCD0589" w14:textId="77777777" w:rsidR="00B22D22" w:rsidRDefault="005C0FCF" w:rsidP="00B22D22">
            <w:pPr>
              <w:jc w:val="right"/>
              <w:rPr>
                <w:rFonts w:ascii="Arial" w:hAnsi="Arial" w:cs="Arial"/>
              </w:rPr>
            </w:pPr>
            <w:r>
              <w:rPr>
                <w:rFonts w:ascii="Arial" w:hAnsi="Arial" w:cs="Arial"/>
              </w:rPr>
              <w:t>5</w:t>
            </w:r>
          </w:p>
          <w:p w14:paraId="4D5A263F" w14:textId="77777777" w:rsidR="007C5A63" w:rsidRDefault="005C0FCF" w:rsidP="00B22D22">
            <w:pPr>
              <w:jc w:val="right"/>
              <w:rPr>
                <w:rFonts w:ascii="Arial" w:hAnsi="Arial" w:cs="Arial"/>
              </w:rPr>
            </w:pPr>
            <w:r>
              <w:rPr>
                <w:rFonts w:ascii="Arial" w:hAnsi="Arial" w:cs="Arial"/>
              </w:rPr>
              <w:t>5</w:t>
            </w:r>
          </w:p>
          <w:p w14:paraId="167A11AF" w14:textId="77777777" w:rsidR="00B22D22" w:rsidRDefault="00B22D22" w:rsidP="00B22D22">
            <w:pPr>
              <w:rPr>
                <w:rFonts w:ascii="Arial" w:hAnsi="Arial" w:cs="Arial"/>
              </w:rPr>
            </w:pPr>
          </w:p>
        </w:tc>
      </w:tr>
      <w:tr w:rsidR="007C5A63" w14:paraId="70DA03E3" w14:textId="77777777" w:rsidTr="00B22D22">
        <w:tc>
          <w:tcPr>
            <w:tcW w:w="8635" w:type="dxa"/>
          </w:tcPr>
          <w:p w14:paraId="36DE6731" w14:textId="77777777" w:rsidR="007C5A63" w:rsidRDefault="007C5A63" w:rsidP="007C5A63">
            <w:pPr>
              <w:rPr>
                <w:rFonts w:ascii="Arial" w:hAnsi="Arial" w:cs="Arial"/>
              </w:rPr>
            </w:pPr>
          </w:p>
          <w:p w14:paraId="0D29942D" w14:textId="77777777" w:rsidR="007C5A63" w:rsidRDefault="007C5A63" w:rsidP="00EE6BA5">
            <w:pPr>
              <w:ind w:left="1050"/>
              <w:rPr>
                <w:rFonts w:ascii="Arial" w:hAnsi="Arial" w:cs="Arial"/>
              </w:rPr>
            </w:pPr>
            <w:r>
              <w:rPr>
                <w:rFonts w:ascii="Arial" w:hAnsi="Arial" w:cs="Arial"/>
              </w:rPr>
              <w:t>Table of References</w:t>
            </w:r>
          </w:p>
        </w:tc>
        <w:tc>
          <w:tcPr>
            <w:tcW w:w="715" w:type="dxa"/>
          </w:tcPr>
          <w:p w14:paraId="0F263FDE" w14:textId="77777777" w:rsidR="007C5A63" w:rsidRDefault="007C5A63" w:rsidP="00B22D22">
            <w:pPr>
              <w:jc w:val="right"/>
              <w:rPr>
                <w:rFonts w:ascii="Arial" w:hAnsi="Arial" w:cs="Arial"/>
              </w:rPr>
            </w:pPr>
          </w:p>
          <w:p w14:paraId="496CDFFF" w14:textId="77777777" w:rsidR="00B22D22" w:rsidRDefault="005C0FCF" w:rsidP="00B22D22">
            <w:pPr>
              <w:jc w:val="right"/>
              <w:rPr>
                <w:rFonts w:ascii="Arial" w:hAnsi="Arial" w:cs="Arial"/>
              </w:rPr>
            </w:pPr>
            <w:r>
              <w:rPr>
                <w:rFonts w:ascii="Arial" w:hAnsi="Arial" w:cs="Arial"/>
              </w:rPr>
              <w:t>7</w:t>
            </w:r>
          </w:p>
        </w:tc>
      </w:tr>
    </w:tbl>
    <w:p w14:paraId="76D41BE4" w14:textId="77777777" w:rsidR="007C5A63" w:rsidRPr="0012640B" w:rsidRDefault="007C5A63" w:rsidP="000A420F">
      <w:pPr>
        <w:jc w:val="center"/>
        <w:rPr>
          <w:rFonts w:ascii="Arial" w:hAnsi="Arial" w:cs="Arial"/>
        </w:rPr>
      </w:pPr>
    </w:p>
    <w:p w14:paraId="423EE08E" w14:textId="77777777" w:rsidR="00A06B48" w:rsidRPr="0012640B" w:rsidRDefault="00A06B48">
      <w:pPr>
        <w:rPr>
          <w:rFonts w:ascii="Arial" w:hAnsi="Arial" w:cs="Arial"/>
        </w:rPr>
      </w:pPr>
    </w:p>
    <w:p w14:paraId="013982A1" w14:textId="77777777" w:rsidR="001365A7" w:rsidRPr="0012640B" w:rsidRDefault="00D9438E" w:rsidP="001365A7">
      <w:pPr>
        <w:jc w:val="center"/>
        <w:rPr>
          <w:rFonts w:ascii="Arial" w:hAnsi="Arial" w:cs="Arial"/>
        </w:rPr>
      </w:pPr>
      <w:r w:rsidRPr="0012640B">
        <w:rPr>
          <w:rFonts w:ascii="Arial" w:hAnsi="Arial" w:cs="Arial"/>
        </w:rPr>
        <w:br w:type="page"/>
      </w:r>
    </w:p>
    <w:p w14:paraId="16550234" w14:textId="77777777" w:rsidR="00B22D22" w:rsidRPr="0012640B" w:rsidRDefault="00B22D22" w:rsidP="00B22D22">
      <w:pPr>
        <w:jc w:val="center"/>
        <w:rPr>
          <w:rFonts w:ascii="Arial" w:hAnsi="Arial" w:cs="Arial"/>
          <w:b/>
        </w:rPr>
      </w:pPr>
      <w:r w:rsidRPr="0012640B">
        <w:rPr>
          <w:rFonts w:ascii="Arial" w:hAnsi="Arial" w:cs="Arial"/>
          <w:b/>
        </w:rPr>
        <w:lastRenderedPageBreak/>
        <w:t>Guidelines on Good Faith Conduct in Participating in Board Removal Discussions</w:t>
      </w:r>
    </w:p>
    <w:p w14:paraId="564242B5" w14:textId="49A304B3" w:rsidR="00B22D22" w:rsidRPr="0012640B" w:rsidRDefault="00B22D22" w:rsidP="00B22D22">
      <w:pPr>
        <w:jc w:val="center"/>
        <w:rPr>
          <w:rFonts w:ascii="Arial" w:hAnsi="Arial" w:cs="Arial"/>
          <w:b/>
        </w:rPr>
      </w:pPr>
      <w:r w:rsidRPr="0012640B">
        <w:rPr>
          <w:rFonts w:ascii="Arial" w:hAnsi="Arial" w:cs="Arial"/>
          <w:b/>
        </w:rPr>
        <w:t>Draft Report Version 1</w:t>
      </w:r>
      <w:r w:rsidR="007B235B">
        <w:rPr>
          <w:rFonts w:ascii="Arial" w:hAnsi="Arial" w:cs="Arial"/>
          <w:b/>
        </w:rPr>
        <w:t>.4</w:t>
      </w:r>
    </w:p>
    <w:p w14:paraId="4705F97A" w14:textId="77777777" w:rsidR="00B22D22" w:rsidRPr="0012640B" w:rsidRDefault="00011E02" w:rsidP="00B22D22">
      <w:pPr>
        <w:jc w:val="center"/>
        <w:rPr>
          <w:rFonts w:ascii="Arial" w:hAnsi="Arial" w:cs="Arial"/>
          <w:b/>
        </w:rPr>
      </w:pPr>
      <w:r>
        <w:rPr>
          <w:rFonts w:ascii="Arial" w:hAnsi="Arial" w:cs="Arial"/>
          <w:b/>
        </w:rPr>
        <w:t>January 20</w:t>
      </w:r>
      <w:r w:rsidR="00B22D22" w:rsidRPr="0012640B">
        <w:rPr>
          <w:rFonts w:ascii="Arial" w:hAnsi="Arial" w:cs="Arial"/>
          <w:b/>
        </w:rPr>
        <w:t>, 2017</w:t>
      </w:r>
    </w:p>
    <w:p w14:paraId="4B4085B3" w14:textId="77777777" w:rsidR="00D9438E" w:rsidRPr="0012640B" w:rsidRDefault="00D9438E">
      <w:pPr>
        <w:rPr>
          <w:rFonts w:ascii="Arial" w:hAnsi="Arial" w:cs="Arial"/>
        </w:rPr>
      </w:pPr>
    </w:p>
    <w:p w14:paraId="05560FB4" w14:textId="77777777" w:rsidR="00D9438E" w:rsidRDefault="00D9438E" w:rsidP="00D9438E">
      <w:pPr>
        <w:pStyle w:val="ListParagraph"/>
        <w:numPr>
          <w:ilvl w:val="0"/>
          <w:numId w:val="5"/>
        </w:numPr>
        <w:rPr>
          <w:rFonts w:ascii="Arial" w:hAnsi="Arial" w:cs="Arial"/>
        </w:rPr>
      </w:pPr>
      <w:r w:rsidRPr="0012640B">
        <w:rPr>
          <w:rFonts w:ascii="Arial" w:hAnsi="Arial" w:cs="Arial"/>
        </w:rPr>
        <w:t>Executive Summary</w:t>
      </w:r>
    </w:p>
    <w:p w14:paraId="51A5208A" w14:textId="2DF29595" w:rsidR="001365A7" w:rsidRPr="001365A7" w:rsidRDefault="001365A7" w:rsidP="001365A7">
      <w:pPr>
        <w:rPr>
          <w:rFonts w:ascii="Arial" w:hAnsi="Arial" w:cs="Arial"/>
        </w:rPr>
      </w:pPr>
      <w:r>
        <w:rPr>
          <w:rFonts w:ascii="Arial" w:hAnsi="Arial" w:cs="Arial"/>
        </w:rPr>
        <w:t xml:space="preserve">The </w:t>
      </w:r>
      <w:r w:rsidR="00DA04FE">
        <w:rPr>
          <w:rFonts w:ascii="Arial" w:hAnsi="Arial" w:cs="Arial"/>
        </w:rPr>
        <w:t>sub team</w:t>
      </w:r>
      <w:r>
        <w:rPr>
          <w:rFonts w:ascii="Arial" w:hAnsi="Arial" w:cs="Arial"/>
        </w:rPr>
        <w:t xml:space="preserve"> for Guidelines on Good Faith Conduct in Participating in Board Removal Discussions w</w:t>
      </w:r>
      <w:r w:rsidR="005E3D06">
        <w:rPr>
          <w:rFonts w:ascii="Arial" w:hAnsi="Arial" w:cs="Arial"/>
        </w:rPr>
        <w:t>as tasked with creating a frame</w:t>
      </w:r>
      <w:r>
        <w:rPr>
          <w:rFonts w:ascii="Arial" w:hAnsi="Arial" w:cs="Arial"/>
        </w:rPr>
        <w:t xml:space="preserve">work for community members to propose removal of Directors </w:t>
      </w:r>
      <w:r w:rsidR="005E3D06">
        <w:rPr>
          <w:rFonts w:ascii="Arial" w:hAnsi="Arial" w:cs="Arial"/>
        </w:rPr>
        <w:t>in</w:t>
      </w:r>
      <w:r w:rsidR="00034FFF">
        <w:rPr>
          <w:rFonts w:ascii="Arial" w:hAnsi="Arial" w:cs="Arial"/>
        </w:rPr>
        <w:t xml:space="preserve"> a</w:t>
      </w:r>
      <w:r w:rsidR="005E3D06">
        <w:rPr>
          <w:rFonts w:ascii="Arial" w:hAnsi="Arial" w:cs="Arial"/>
        </w:rPr>
        <w:t xml:space="preserve"> manner that would allow </w:t>
      </w:r>
      <w:r w:rsidR="00606D2F">
        <w:rPr>
          <w:rFonts w:ascii="Arial" w:hAnsi="Arial" w:cs="Arial"/>
        </w:rPr>
        <w:t xml:space="preserve">individuals acting on behalf of their supporting organization or advisory committee to </w:t>
      </w:r>
      <w:r w:rsidR="00034FFF">
        <w:rPr>
          <w:rFonts w:ascii="Arial" w:hAnsi="Arial" w:cs="Arial"/>
        </w:rPr>
        <w:t>benefit from</w:t>
      </w:r>
      <w:r>
        <w:rPr>
          <w:rFonts w:ascii="Arial" w:hAnsi="Arial" w:cs="Arial"/>
        </w:rPr>
        <w:t xml:space="preserve"> the indemnificati</w:t>
      </w:r>
      <w:r w:rsidR="00606D2F">
        <w:rPr>
          <w:rFonts w:ascii="Arial" w:hAnsi="Arial" w:cs="Arial"/>
        </w:rPr>
        <w:t>on clause enshrined in ICANN’s B</w:t>
      </w:r>
      <w:r>
        <w:rPr>
          <w:rFonts w:ascii="Arial" w:hAnsi="Arial" w:cs="Arial"/>
        </w:rPr>
        <w:t>ylaws as amended on</w:t>
      </w:r>
      <w:r w:rsidR="005E3D06">
        <w:rPr>
          <w:rFonts w:ascii="Arial" w:hAnsi="Arial" w:cs="Arial"/>
        </w:rPr>
        <w:t xml:space="preserve"> October 1, 2016.   The goal was </w:t>
      </w:r>
      <w:r>
        <w:rPr>
          <w:rFonts w:ascii="Arial" w:hAnsi="Arial" w:cs="Arial"/>
        </w:rPr>
        <w:t>to find the right balance between encouraging good</w:t>
      </w:r>
      <w:r w:rsidR="005E3D06">
        <w:rPr>
          <w:rFonts w:ascii="Arial" w:hAnsi="Arial" w:cs="Arial"/>
        </w:rPr>
        <w:t xml:space="preserve"> faith</w:t>
      </w:r>
      <w:r>
        <w:rPr>
          <w:rFonts w:ascii="Arial" w:hAnsi="Arial" w:cs="Arial"/>
        </w:rPr>
        <w:t xml:space="preserve"> behavior from the community without discouraging exercise of the community power </w:t>
      </w:r>
      <w:r w:rsidR="005E3D06">
        <w:rPr>
          <w:rFonts w:ascii="Arial" w:hAnsi="Arial" w:cs="Arial"/>
        </w:rPr>
        <w:t xml:space="preserve">to </w:t>
      </w:r>
      <w:r>
        <w:rPr>
          <w:rFonts w:ascii="Arial" w:hAnsi="Arial" w:cs="Arial"/>
        </w:rPr>
        <w:t>remove Directors.</w:t>
      </w:r>
      <w:r w:rsidR="00410567">
        <w:rPr>
          <w:rFonts w:ascii="Arial" w:hAnsi="Arial" w:cs="Arial"/>
        </w:rPr>
        <w:t xml:space="preserve"> </w:t>
      </w:r>
      <w:r>
        <w:rPr>
          <w:rFonts w:ascii="Arial" w:hAnsi="Arial" w:cs="Arial"/>
        </w:rPr>
        <w:t xml:space="preserve">The </w:t>
      </w:r>
      <w:r w:rsidR="00DA04FE">
        <w:rPr>
          <w:rFonts w:ascii="Arial" w:hAnsi="Arial" w:cs="Arial"/>
        </w:rPr>
        <w:t>sub team</w:t>
      </w:r>
      <w:r>
        <w:rPr>
          <w:rFonts w:ascii="Arial" w:hAnsi="Arial" w:cs="Arial"/>
        </w:rPr>
        <w:t xml:space="preserve"> opted for a minimalist approach that leaves discretion to the SO/AC as to what process to follow provided there is some process that can be documented and explained to other</w:t>
      </w:r>
      <w:r w:rsidR="00606D2F">
        <w:rPr>
          <w:rFonts w:ascii="Arial" w:hAnsi="Arial" w:cs="Arial"/>
        </w:rPr>
        <w:t xml:space="preserve"> SO/ACs who </w:t>
      </w:r>
      <w:proofErr w:type="gramStart"/>
      <w:r w:rsidR="00606D2F">
        <w:rPr>
          <w:rFonts w:ascii="Arial" w:hAnsi="Arial" w:cs="Arial"/>
        </w:rPr>
        <w:t>are</w:t>
      </w:r>
      <w:proofErr w:type="gramEnd"/>
      <w:r w:rsidR="00606D2F">
        <w:rPr>
          <w:rFonts w:ascii="Arial" w:hAnsi="Arial" w:cs="Arial"/>
        </w:rPr>
        <w:t xml:space="preserve"> acting in the capacity of Decisional Participants</w:t>
      </w:r>
      <w:r w:rsidR="00343D54">
        <w:rPr>
          <w:rFonts w:ascii="Arial" w:hAnsi="Arial" w:cs="Arial"/>
        </w:rPr>
        <w:t xml:space="preserve"> within the Empowered Community </w:t>
      </w:r>
      <w:r w:rsidR="00606D2F">
        <w:rPr>
          <w:rFonts w:ascii="Arial" w:hAnsi="Arial" w:cs="Arial"/>
        </w:rPr>
        <w:t>as defined in ICANN’s Bylaws</w:t>
      </w:r>
      <w:r>
        <w:rPr>
          <w:rFonts w:ascii="Arial" w:hAnsi="Arial" w:cs="Arial"/>
        </w:rPr>
        <w:t>.</w:t>
      </w:r>
      <w:r w:rsidR="00343D54" w:rsidRPr="00343D54">
        <w:rPr>
          <w:rStyle w:val="FootnoteReference"/>
          <w:rFonts w:ascii="Arial" w:hAnsi="Arial" w:cs="Arial"/>
          <w:iCs/>
          <w:color w:val="000000" w:themeColor="text1"/>
        </w:rPr>
        <w:t xml:space="preserve"> </w:t>
      </w:r>
      <w:r w:rsidR="00343D54" w:rsidRPr="0012640B">
        <w:rPr>
          <w:rStyle w:val="FootnoteReference"/>
          <w:rFonts w:ascii="Arial" w:hAnsi="Arial" w:cs="Arial"/>
          <w:iCs/>
          <w:color w:val="000000" w:themeColor="text1"/>
        </w:rPr>
        <w:footnoteReference w:id="1"/>
      </w:r>
      <w:r w:rsidR="00343D54" w:rsidRPr="0012640B">
        <w:rPr>
          <w:rFonts w:ascii="Arial" w:hAnsi="Arial" w:cs="Arial"/>
          <w:iCs/>
          <w:color w:val="000000" w:themeColor="text1"/>
        </w:rPr>
        <w:t xml:space="preserve"> </w:t>
      </w:r>
      <w:r>
        <w:rPr>
          <w:rFonts w:ascii="Arial" w:hAnsi="Arial" w:cs="Arial"/>
        </w:rPr>
        <w:t xml:space="preserve">  </w:t>
      </w:r>
      <w:r w:rsidR="003E3911">
        <w:rPr>
          <w:rFonts w:ascii="Arial" w:hAnsi="Arial" w:cs="Arial"/>
        </w:rPr>
        <w:t>Adherence to the guidelines should be sufficient to demonstrate the good faith required to trigger the indemnity</w:t>
      </w:r>
      <w:r w:rsidR="00A24C77">
        <w:rPr>
          <w:rFonts w:ascii="Arial" w:hAnsi="Arial" w:cs="Arial"/>
        </w:rPr>
        <w:t xml:space="preserve">.  The result is that </w:t>
      </w:r>
      <w:r w:rsidR="00606D2F">
        <w:rPr>
          <w:rFonts w:ascii="Arial" w:hAnsi="Arial" w:cs="Arial"/>
        </w:rPr>
        <w:t>individuals</w:t>
      </w:r>
      <w:r w:rsidR="00343D54">
        <w:rPr>
          <w:rFonts w:ascii="Arial" w:hAnsi="Arial" w:cs="Arial"/>
        </w:rPr>
        <w:t xml:space="preserve"> who are representing their communities in </w:t>
      </w:r>
      <w:ins w:id="0" w:author="AlanGreenberg" w:date="2017-01-29T00:27:00Z">
        <w:r w:rsidR="002F111A">
          <w:rPr>
            <w:rFonts w:ascii="Arial" w:hAnsi="Arial" w:cs="Arial"/>
          </w:rPr>
          <w:t xml:space="preserve">a </w:t>
        </w:r>
      </w:ins>
      <w:r w:rsidR="00343D54">
        <w:rPr>
          <w:rFonts w:ascii="Arial" w:hAnsi="Arial" w:cs="Arial"/>
        </w:rPr>
        <w:t xml:space="preserve">Director </w:t>
      </w:r>
      <w:proofErr w:type="gramStart"/>
      <w:r w:rsidR="00343D54">
        <w:rPr>
          <w:rFonts w:ascii="Arial" w:hAnsi="Arial" w:cs="Arial"/>
        </w:rPr>
        <w:t>removal</w:t>
      </w:r>
      <w:proofErr w:type="gramEnd"/>
      <w:r w:rsidR="00343D54">
        <w:rPr>
          <w:rFonts w:ascii="Arial" w:hAnsi="Arial" w:cs="Arial"/>
        </w:rPr>
        <w:t xml:space="preserve"> process</w:t>
      </w:r>
      <w:r w:rsidR="00606D2F">
        <w:rPr>
          <w:rFonts w:ascii="Arial" w:hAnsi="Arial" w:cs="Arial"/>
        </w:rPr>
        <w:t xml:space="preserve"> </w:t>
      </w:r>
      <w:r w:rsidR="00343D54">
        <w:rPr>
          <w:rFonts w:ascii="Arial" w:hAnsi="Arial" w:cs="Arial"/>
        </w:rPr>
        <w:t xml:space="preserve">are shielded </w:t>
      </w:r>
      <w:r w:rsidR="00410567">
        <w:rPr>
          <w:rFonts w:ascii="Arial" w:hAnsi="Arial" w:cs="Arial"/>
        </w:rPr>
        <w:t xml:space="preserve">from the costs of </w:t>
      </w:r>
      <w:r w:rsidR="00D617C1">
        <w:rPr>
          <w:rFonts w:ascii="Arial" w:hAnsi="Arial" w:cs="Arial"/>
        </w:rPr>
        <w:t xml:space="preserve">responding to </w:t>
      </w:r>
      <w:r w:rsidR="00410567">
        <w:rPr>
          <w:rFonts w:ascii="Arial" w:hAnsi="Arial" w:cs="Arial"/>
        </w:rPr>
        <w:t xml:space="preserve">Director </w:t>
      </w:r>
      <w:r w:rsidR="003E3911">
        <w:rPr>
          <w:rFonts w:ascii="Arial" w:hAnsi="Arial" w:cs="Arial"/>
        </w:rPr>
        <w:t xml:space="preserve">initiated actions </w:t>
      </w:r>
      <w:r w:rsidR="00410567">
        <w:rPr>
          <w:rFonts w:ascii="Arial" w:hAnsi="Arial" w:cs="Arial"/>
        </w:rPr>
        <w:t xml:space="preserve">during </w:t>
      </w:r>
      <w:ins w:id="1" w:author="AlanGreenberg" w:date="2017-01-29T00:27:00Z">
        <w:r w:rsidR="002F111A">
          <w:rPr>
            <w:rFonts w:ascii="Arial" w:hAnsi="Arial" w:cs="Arial"/>
          </w:rPr>
          <w:t xml:space="preserve">or after </w:t>
        </w:r>
      </w:ins>
      <w:r w:rsidR="00410567">
        <w:rPr>
          <w:rFonts w:ascii="Arial" w:hAnsi="Arial" w:cs="Arial"/>
        </w:rPr>
        <w:t>the escalation and enforcement process</w:t>
      </w:r>
      <w:r w:rsidR="00034FFF">
        <w:rPr>
          <w:rFonts w:ascii="Arial" w:hAnsi="Arial" w:cs="Arial"/>
        </w:rPr>
        <w:t xml:space="preserve"> for Director removal</w:t>
      </w:r>
      <w:r w:rsidR="00410567">
        <w:rPr>
          <w:rFonts w:ascii="Arial" w:hAnsi="Arial" w:cs="Arial"/>
        </w:rPr>
        <w:t>.</w:t>
      </w:r>
    </w:p>
    <w:p w14:paraId="46DE3828" w14:textId="77777777" w:rsidR="00D9438E" w:rsidRPr="0012640B" w:rsidRDefault="00D9438E" w:rsidP="00D9438E">
      <w:pPr>
        <w:pStyle w:val="ListParagraph"/>
        <w:numPr>
          <w:ilvl w:val="0"/>
          <w:numId w:val="5"/>
        </w:numPr>
        <w:rPr>
          <w:rFonts w:ascii="Arial" w:hAnsi="Arial" w:cs="Arial"/>
        </w:rPr>
      </w:pPr>
      <w:r w:rsidRPr="0012640B">
        <w:rPr>
          <w:rFonts w:ascii="Arial" w:hAnsi="Arial" w:cs="Arial"/>
        </w:rPr>
        <w:t>Description of Issue</w:t>
      </w:r>
      <w:r w:rsidRPr="0012640B">
        <w:rPr>
          <w:rFonts w:ascii="Arial" w:hAnsi="Arial" w:cs="Arial"/>
        </w:rPr>
        <w:tab/>
      </w:r>
    </w:p>
    <w:p w14:paraId="561D3132" w14:textId="297E2569" w:rsidR="00B22D22" w:rsidRDefault="00501F7E" w:rsidP="00E33462">
      <w:pPr>
        <w:rPr>
          <w:rFonts w:ascii="Arial" w:hAnsi="Arial" w:cs="Arial"/>
          <w:iCs/>
          <w:color w:val="000000" w:themeColor="text1"/>
        </w:rPr>
      </w:pPr>
      <w:r w:rsidRPr="0012640B">
        <w:rPr>
          <w:rFonts w:ascii="Arial" w:hAnsi="Arial" w:cs="Arial"/>
          <w:color w:val="000000" w:themeColor="text1"/>
        </w:rPr>
        <w:t xml:space="preserve">Effective October 1, 2016, ICANN’s bylaws grants the </w:t>
      </w:r>
      <w:proofErr w:type="spellStart"/>
      <w:r w:rsidRPr="0012640B">
        <w:rPr>
          <w:rFonts w:ascii="Arial" w:hAnsi="Arial" w:cs="Arial"/>
          <w:color w:val="000000" w:themeColor="text1"/>
        </w:rPr>
        <w:t>multistakeholder</w:t>
      </w:r>
      <w:proofErr w:type="spellEnd"/>
      <w:r w:rsidRPr="0012640B">
        <w:rPr>
          <w:rFonts w:ascii="Arial" w:hAnsi="Arial" w:cs="Arial"/>
          <w:color w:val="000000" w:themeColor="text1"/>
        </w:rPr>
        <w:t xml:space="preserve"> community</w:t>
      </w:r>
      <w:r w:rsidR="003E2598" w:rsidRPr="0012640B">
        <w:rPr>
          <w:rFonts w:ascii="Arial" w:hAnsi="Arial" w:cs="Arial"/>
          <w:color w:val="000000" w:themeColor="text1"/>
        </w:rPr>
        <w:t xml:space="preserve"> power through the Empowered Community (EC) mechanism</w:t>
      </w:r>
      <w:r w:rsidRPr="0012640B">
        <w:rPr>
          <w:rFonts w:ascii="Arial" w:hAnsi="Arial" w:cs="Arial"/>
          <w:color w:val="000000" w:themeColor="text1"/>
        </w:rPr>
        <w:t xml:space="preserve"> to remove Board Members. </w:t>
      </w:r>
      <w:r w:rsidR="003E2598" w:rsidRPr="0012640B">
        <w:rPr>
          <w:rFonts w:ascii="Arial" w:hAnsi="Arial" w:cs="Arial"/>
          <w:color w:val="000000" w:themeColor="text1"/>
        </w:rPr>
        <w:t xml:space="preserve"> Any Director designated by the EC may be removed without cause.</w:t>
      </w:r>
      <w:r w:rsidR="003E2598" w:rsidRPr="0012640B">
        <w:rPr>
          <w:rStyle w:val="FootnoteReference"/>
          <w:rFonts w:ascii="Arial" w:hAnsi="Arial" w:cs="Arial"/>
          <w:color w:val="000000" w:themeColor="text1"/>
        </w:rPr>
        <w:footnoteReference w:id="2"/>
      </w:r>
      <w:r w:rsidRPr="0012640B">
        <w:rPr>
          <w:rFonts w:ascii="Arial" w:hAnsi="Arial" w:cs="Arial"/>
          <w:color w:val="000000" w:themeColor="text1"/>
        </w:rPr>
        <w:t xml:space="preserve"> This new </w:t>
      </w:r>
      <w:r w:rsidR="003E2598" w:rsidRPr="0012640B">
        <w:rPr>
          <w:rFonts w:ascii="Arial" w:hAnsi="Arial" w:cs="Arial"/>
          <w:color w:val="000000" w:themeColor="text1"/>
        </w:rPr>
        <w:t xml:space="preserve">level of Director </w:t>
      </w:r>
      <w:proofErr w:type="gramStart"/>
      <w:r w:rsidR="003E2598" w:rsidRPr="0012640B">
        <w:rPr>
          <w:rFonts w:ascii="Arial" w:hAnsi="Arial" w:cs="Arial"/>
          <w:color w:val="000000" w:themeColor="text1"/>
        </w:rPr>
        <w:t>accountability</w:t>
      </w:r>
      <w:proofErr w:type="gramEnd"/>
      <w:r w:rsidR="003E2598" w:rsidRPr="0012640B">
        <w:rPr>
          <w:rFonts w:ascii="Arial" w:hAnsi="Arial" w:cs="Arial"/>
          <w:color w:val="000000" w:themeColor="text1"/>
        </w:rPr>
        <w:t xml:space="preserve"> and corresponding community responsibility are based on </w:t>
      </w:r>
      <w:r w:rsidRPr="0012640B">
        <w:rPr>
          <w:rFonts w:ascii="Arial" w:hAnsi="Arial" w:cs="Arial"/>
          <w:color w:val="000000" w:themeColor="text1"/>
        </w:rPr>
        <w:t xml:space="preserve">recommendations developed </w:t>
      </w:r>
      <w:r w:rsidR="00095D88" w:rsidRPr="0012640B">
        <w:rPr>
          <w:rFonts w:ascii="Arial" w:hAnsi="Arial" w:cs="Arial"/>
          <w:color w:val="000000" w:themeColor="text1"/>
        </w:rPr>
        <w:t xml:space="preserve">in the CCWG-Accountability Supplemental Final Proposal on Work Stream 1 Recommendations </w:t>
      </w:r>
      <w:r w:rsidRPr="0012640B">
        <w:rPr>
          <w:rFonts w:ascii="Arial" w:hAnsi="Arial" w:cs="Arial"/>
          <w:color w:val="000000" w:themeColor="text1"/>
        </w:rPr>
        <w:t>(WS1)</w:t>
      </w:r>
      <w:r w:rsidR="00095D88" w:rsidRPr="0012640B">
        <w:rPr>
          <w:rStyle w:val="FootnoteReference"/>
          <w:rFonts w:ascii="Arial" w:hAnsi="Arial" w:cs="Arial"/>
          <w:color w:val="000000" w:themeColor="text1"/>
        </w:rPr>
        <w:footnoteReference w:id="3"/>
      </w:r>
      <w:r w:rsidR="00095D88" w:rsidRPr="0012640B">
        <w:rPr>
          <w:rFonts w:ascii="Arial" w:hAnsi="Arial" w:cs="Arial"/>
          <w:color w:val="000000" w:themeColor="text1"/>
        </w:rPr>
        <w:t>.</w:t>
      </w:r>
      <w:r w:rsidR="00E33462" w:rsidRPr="0012640B">
        <w:rPr>
          <w:rFonts w:ascii="Arial" w:hAnsi="Arial" w:cs="Arial"/>
          <w:color w:val="000000" w:themeColor="text1"/>
        </w:rPr>
        <w:t xml:space="preserve">  </w:t>
      </w:r>
    </w:p>
    <w:p w14:paraId="38F51CC3" w14:textId="1C1CEDC0" w:rsidR="00B22D22" w:rsidRDefault="00410567" w:rsidP="00E33462">
      <w:pPr>
        <w:rPr>
          <w:rFonts w:ascii="Arial" w:hAnsi="Arial" w:cs="Arial"/>
          <w:iCs/>
          <w:color w:val="000000" w:themeColor="text1"/>
        </w:rPr>
      </w:pPr>
      <w:r>
        <w:rPr>
          <w:rFonts w:ascii="Arial" w:hAnsi="Arial" w:cs="Arial"/>
          <w:iCs/>
          <w:color w:val="000000" w:themeColor="text1"/>
        </w:rPr>
        <w:t>Decisional P</w:t>
      </w:r>
      <w:r w:rsidR="009A70F0">
        <w:rPr>
          <w:rFonts w:ascii="Arial" w:hAnsi="Arial" w:cs="Arial"/>
          <w:iCs/>
          <w:color w:val="000000" w:themeColor="text1"/>
        </w:rPr>
        <w:t>articipants may be any SO/AC which</w:t>
      </w:r>
      <w:r>
        <w:rPr>
          <w:rFonts w:ascii="Arial" w:hAnsi="Arial" w:cs="Arial"/>
          <w:iCs/>
          <w:color w:val="000000" w:themeColor="text1"/>
        </w:rPr>
        <w:t xml:space="preserve"> </w:t>
      </w:r>
      <w:commentRangeStart w:id="2"/>
      <w:del w:id="3" w:author="AlanGreenberg" w:date="2017-01-29T00:28:00Z">
        <w:r w:rsidDel="002F111A">
          <w:rPr>
            <w:rFonts w:ascii="Arial" w:hAnsi="Arial" w:cs="Arial"/>
            <w:iCs/>
            <w:color w:val="000000" w:themeColor="text1"/>
          </w:rPr>
          <w:delText xml:space="preserve">chooses to join </w:delText>
        </w:r>
      </w:del>
      <w:commentRangeEnd w:id="2"/>
      <w:r w:rsidR="002F111A">
        <w:rPr>
          <w:rStyle w:val="CommentReference"/>
        </w:rPr>
        <w:commentReference w:id="2"/>
      </w:r>
      <w:ins w:id="4" w:author="AlanGreenberg" w:date="2017-01-29T00:28:00Z">
        <w:r w:rsidR="002F111A">
          <w:rPr>
            <w:rFonts w:ascii="Arial" w:hAnsi="Arial" w:cs="Arial"/>
            <w:iCs/>
            <w:color w:val="000000" w:themeColor="text1"/>
          </w:rPr>
          <w:t xml:space="preserve">is a member of </w:t>
        </w:r>
      </w:ins>
      <w:r>
        <w:rPr>
          <w:rFonts w:ascii="Arial" w:hAnsi="Arial" w:cs="Arial"/>
          <w:iCs/>
          <w:color w:val="000000" w:themeColor="text1"/>
        </w:rPr>
        <w:t>the EC.</w:t>
      </w:r>
      <w:r w:rsidR="00095D88" w:rsidRPr="0012640B">
        <w:rPr>
          <w:rFonts w:ascii="Arial" w:hAnsi="Arial" w:cs="Arial"/>
          <w:iCs/>
          <w:color w:val="000000" w:themeColor="text1"/>
        </w:rPr>
        <w:t xml:space="preserve"> </w:t>
      </w:r>
      <w:r w:rsidR="00E33462" w:rsidRPr="0012640B">
        <w:rPr>
          <w:rFonts w:ascii="Arial" w:hAnsi="Arial" w:cs="Arial"/>
          <w:iCs/>
          <w:color w:val="000000" w:themeColor="text1"/>
        </w:rPr>
        <w:t>In the event that a Decisional Participant endeavors to remove an indi</w:t>
      </w:r>
      <w:r w:rsidR="00606D2F">
        <w:rPr>
          <w:rFonts w:ascii="Arial" w:hAnsi="Arial" w:cs="Arial"/>
          <w:iCs/>
          <w:color w:val="000000" w:themeColor="text1"/>
        </w:rPr>
        <w:t xml:space="preserve">vidual board member, the </w:t>
      </w:r>
      <w:r w:rsidR="00E33462" w:rsidRPr="0012640B">
        <w:rPr>
          <w:rFonts w:ascii="Arial" w:hAnsi="Arial" w:cs="Arial"/>
          <w:iCs/>
          <w:color w:val="000000" w:themeColor="text1"/>
        </w:rPr>
        <w:t>actions</w:t>
      </w:r>
      <w:r w:rsidR="00606D2F">
        <w:rPr>
          <w:rFonts w:ascii="Arial" w:hAnsi="Arial" w:cs="Arial"/>
          <w:iCs/>
          <w:color w:val="000000" w:themeColor="text1"/>
        </w:rPr>
        <w:t xml:space="preserve"> of persons who are members of the leadership council (or equivalent body) of </w:t>
      </w:r>
      <w:r w:rsidR="001E2E99">
        <w:rPr>
          <w:rFonts w:ascii="Arial" w:hAnsi="Arial" w:cs="Arial"/>
          <w:iCs/>
          <w:color w:val="000000" w:themeColor="text1"/>
        </w:rPr>
        <w:t xml:space="preserve">the </w:t>
      </w:r>
      <w:r w:rsidR="00606D2F">
        <w:rPr>
          <w:rFonts w:ascii="Arial" w:hAnsi="Arial" w:cs="Arial"/>
          <w:iCs/>
          <w:color w:val="000000" w:themeColor="text1"/>
        </w:rPr>
        <w:t>Decisional Participant or a representative of a Decis</w:t>
      </w:r>
      <w:r w:rsidR="001E2E99">
        <w:rPr>
          <w:rFonts w:ascii="Arial" w:hAnsi="Arial" w:cs="Arial"/>
          <w:iCs/>
          <w:color w:val="000000" w:themeColor="text1"/>
        </w:rPr>
        <w:t>i</w:t>
      </w:r>
      <w:r w:rsidR="00606D2F">
        <w:rPr>
          <w:rFonts w:ascii="Arial" w:hAnsi="Arial" w:cs="Arial"/>
          <w:iCs/>
          <w:color w:val="000000" w:themeColor="text1"/>
        </w:rPr>
        <w:t>onal Participant in the EC Administratio</w:t>
      </w:r>
      <w:r w:rsidR="001E2E99">
        <w:rPr>
          <w:rFonts w:ascii="Arial" w:hAnsi="Arial" w:cs="Arial"/>
          <w:iCs/>
          <w:color w:val="000000" w:themeColor="text1"/>
        </w:rPr>
        <w:t>n</w:t>
      </w:r>
      <w:r w:rsidR="00606D2F">
        <w:rPr>
          <w:rFonts w:ascii="Arial" w:hAnsi="Arial" w:cs="Arial"/>
          <w:iCs/>
          <w:color w:val="000000" w:themeColor="text1"/>
        </w:rPr>
        <w:t xml:space="preserve"> </w:t>
      </w:r>
      <w:r w:rsidR="001E2E99">
        <w:rPr>
          <w:rFonts w:ascii="Arial" w:hAnsi="Arial" w:cs="Arial"/>
          <w:iCs/>
          <w:color w:val="000000" w:themeColor="text1"/>
        </w:rPr>
        <w:t xml:space="preserve">who is a party or threatened to be a party to any proceeding in connection with a Board member’s removal or recall pursuant to the Bylaws are indemnified against costs associated </w:t>
      </w:r>
      <w:r w:rsidR="001E2E99">
        <w:rPr>
          <w:rFonts w:ascii="Arial" w:hAnsi="Arial" w:cs="Arial"/>
          <w:iCs/>
          <w:color w:val="000000" w:themeColor="text1"/>
        </w:rPr>
        <w:lastRenderedPageBreak/>
        <w:t>with the proceeding.</w:t>
      </w:r>
      <w:r w:rsidR="001E2E99">
        <w:rPr>
          <w:rStyle w:val="FootnoteReference"/>
          <w:rFonts w:ascii="Arial" w:hAnsi="Arial" w:cs="Arial"/>
          <w:iCs/>
          <w:color w:val="000000" w:themeColor="text1"/>
        </w:rPr>
        <w:footnoteReference w:id="4"/>
      </w:r>
      <w:r w:rsidR="001E2E99">
        <w:rPr>
          <w:rFonts w:ascii="Arial" w:hAnsi="Arial" w:cs="Arial"/>
          <w:iCs/>
          <w:color w:val="000000" w:themeColor="text1"/>
        </w:rPr>
        <w:t xml:space="preserve">  These persons </w:t>
      </w:r>
      <w:r w:rsidR="00343D54">
        <w:rPr>
          <w:rFonts w:ascii="Arial" w:hAnsi="Arial" w:cs="Arial"/>
          <w:iCs/>
          <w:color w:val="000000" w:themeColor="text1"/>
        </w:rPr>
        <w:t xml:space="preserve">are </w:t>
      </w:r>
      <w:r w:rsidR="001E2E99">
        <w:rPr>
          <w:rFonts w:ascii="Arial" w:hAnsi="Arial" w:cs="Arial"/>
          <w:iCs/>
          <w:color w:val="000000" w:themeColor="text1"/>
        </w:rPr>
        <w:t>referred to as the “Indemnified Party” throughout the remainder of this report.  The indemnification is condition</w:t>
      </w:r>
      <w:r w:rsidR="00A24C77">
        <w:rPr>
          <w:rFonts w:ascii="Arial" w:hAnsi="Arial" w:cs="Arial"/>
          <w:iCs/>
          <w:color w:val="000000" w:themeColor="text1"/>
        </w:rPr>
        <w:t>ed on the fact</w:t>
      </w:r>
      <w:r w:rsidR="001E2E99">
        <w:rPr>
          <w:rFonts w:ascii="Arial" w:hAnsi="Arial" w:cs="Arial"/>
          <w:iCs/>
          <w:color w:val="000000" w:themeColor="text1"/>
        </w:rPr>
        <w:t xml:space="preserve"> that the Indemnified Party </w:t>
      </w:r>
      <w:r w:rsidR="00431E1D">
        <w:rPr>
          <w:rFonts w:ascii="Arial" w:hAnsi="Arial" w:cs="Arial"/>
          <w:iCs/>
          <w:color w:val="000000" w:themeColor="text1"/>
        </w:rPr>
        <w:t>has acted in good faith</w:t>
      </w:r>
      <w:r w:rsidR="00095D88" w:rsidRPr="0012640B">
        <w:rPr>
          <w:rStyle w:val="FootnoteReference"/>
          <w:rFonts w:ascii="Arial" w:hAnsi="Arial" w:cs="Arial"/>
          <w:iCs/>
          <w:color w:val="000000" w:themeColor="text1"/>
        </w:rPr>
        <w:footnoteReference w:id="5"/>
      </w:r>
      <w:r w:rsidR="00E33462" w:rsidRPr="0012640B">
        <w:rPr>
          <w:rFonts w:ascii="Arial" w:hAnsi="Arial" w:cs="Arial"/>
          <w:iCs/>
          <w:color w:val="000000" w:themeColor="text1"/>
        </w:rPr>
        <w:t xml:space="preserve">. </w:t>
      </w:r>
      <w:r w:rsidR="003E2598" w:rsidRPr="0012640B">
        <w:rPr>
          <w:rFonts w:ascii="Arial" w:hAnsi="Arial" w:cs="Arial"/>
          <w:iCs/>
          <w:color w:val="000000" w:themeColor="text1"/>
        </w:rPr>
        <w:t xml:space="preserve"> </w:t>
      </w:r>
      <w:r w:rsidR="00E33462" w:rsidRPr="0012640B">
        <w:rPr>
          <w:rFonts w:ascii="Arial" w:hAnsi="Arial" w:cs="Arial"/>
          <w:iCs/>
          <w:color w:val="000000" w:themeColor="text1"/>
        </w:rPr>
        <w:t xml:space="preserve">The </w:t>
      </w:r>
      <w:r w:rsidR="00324C49" w:rsidRPr="0012640B">
        <w:rPr>
          <w:rFonts w:ascii="Arial" w:hAnsi="Arial" w:cs="Arial"/>
          <w:iCs/>
          <w:color w:val="000000" w:themeColor="text1"/>
        </w:rPr>
        <w:t xml:space="preserve">challenge for the </w:t>
      </w:r>
      <w:r w:rsidR="00DA04FE" w:rsidRPr="0012640B">
        <w:rPr>
          <w:rFonts w:ascii="Arial" w:hAnsi="Arial" w:cs="Arial"/>
          <w:iCs/>
          <w:color w:val="000000" w:themeColor="text1"/>
        </w:rPr>
        <w:t>sub team</w:t>
      </w:r>
      <w:r w:rsidR="00324C49" w:rsidRPr="0012640B">
        <w:rPr>
          <w:rFonts w:ascii="Arial" w:hAnsi="Arial" w:cs="Arial"/>
          <w:iCs/>
          <w:color w:val="000000" w:themeColor="text1"/>
        </w:rPr>
        <w:t xml:space="preserve"> was</w:t>
      </w:r>
      <w:r w:rsidR="00E33462" w:rsidRPr="0012640B">
        <w:rPr>
          <w:rFonts w:ascii="Arial" w:hAnsi="Arial" w:cs="Arial"/>
          <w:iCs/>
          <w:color w:val="000000" w:themeColor="text1"/>
        </w:rPr>
        <w:t xml:space="preserve"> to create guidelines for conduct that would be considered goo</w:t>
      </w:r>
      <w:r>
        <w:rPr>
          <w:rFonts w:ascii="Arial" w:hAnsi="Arial" w:cs="Arial"/>
          <w:iCs/>
          <w:color w:val="000000" w:themeColor="text1"/>
        </w:rPr>
        <w:t xml:space="preserve">d faith actions on the part of </w:t>
      </w:r>
      <w:r w:rsidR="00A24C77">
        <w:rPr>
          <w:rFonts w:ascii="Arial" w:hAnsi="Arial" w:cs="Arial"/>
          <w:iCs/>
          <w:color w:val="000000" w:themeColor="text1"/>
        </w:rPr>
        <w:t xml:space="preserve">the Indemnified Party </w:t>
      </w:r>
      <w:r w:rsidR="00E33462" w:rsidRPr="0012640B">
        <w:rPr>
          <w:rFonts w:ascii="Arial" w:hAnsi="Arial" w:cs="Arial"/>
          <w:iCs/>
          <w:color w:val="000000" w:themeColor="text1"/>
        </w:rPr>
        <w:t xml:space="preserve">in order for </w:t>
      </w:r>
      <w:r>
        <w:rPr>
          <w:rFonts w:ascii="Arial" w:hAnsi="Arial" w:cs="Arial"/>
          <w:iCs/>
          <w:color w:val="000000" w:themeColor="text1"/>
        </w:rPr>
        <w:t xml:space="preserve">the indemnification to apply while leaving the widest area of discretion for </w:t>
      </w:r>
      <w:r w:rsidR="00CA6613">
        <w:rPr>
          <w:rFonts w:ascii="Arial" w:hAnsi="Arial" w:cs="Arial"/>
          <w:iCs/>
          <w:color w:val="000000" w:themeColor="text1"/>
        </w:rPr>
        <w:t xml:space="preserve">the </w:t>
      </w:r>
      <w:r>
        <w:rPr>
          <w:rFonts w:ascii="Arial" w:hAnsi="Arial" w:cs="Arial"/>
          <w:iCs/>
          <w:color w:val="000000" w:themeColor="text1"/>
        </w:rPr>
        <w:t>SO/ACs.</w:t>
      </w:r>
      <w:r w:rsidR="00E33462" w:rsidRPr="0012640B">
        <w:rPr>
          <w:rFonts w:ascii="Arial" w:hAnsi="Arial" w:cs="Arial"/>
          <w:iCs/>
          <w:color w:val="000000" w:themeColor="text1"/>
        </w:rPr>
        <w:t> </w:t>
      </w:r>
      <w:r w:rsidR="00454A4E">
        <w:rPr>
          <w:rFonts w:ascii="Arial" w:hAnsi="Arial" w:cs="Arial"/>
          <w:iCs/>
          <w:color w:val="000000" w:themeColor="text1"/>
        </w:rPr>
        <w:t xml:space="preserve"> The absence of good faith</w:t>
      </w:r>
      <w:r w:rsidR="00431E1D">
        <w:rPr>
          <w:rFonts w:ascii="Arial" w:hAnsi="Arial" w:cs="Arial"/>
          <w:iCs/>
          <w:color w:val="000000" w:themeColor="text1"/>
        </w:rPr>
        <w:t xml:space="preserve"> </w:t>
      </w:r>
      <w:r w:rsidR="00454A4E">
        <w:rPr>
          <w:rFonts w:ascii="Arial" w:hAnsi="Arial" w:cs="Arial"/>
          <w:iCs/>
          <w:color w:val="000000" w:themeColor="text1"/>
        </w:rPr>
        <w:t xml:space="preserve">leaves the </w:t>
      </w:r>
      <w:r w:rsidR="00A24C77">
        <w:rPr>
          <w:rFonts w:ascii="Arial" w:hAnsi="Arial" w:cs="Arial"/>
          <w:iCs/>
          <w:color w:val="000000" w:themeColor="text1"/>
        </w:rPr>
        <w:t xml:space="preserve">Indemnified Party </w:t>
      </w:r>
      <w:r w:rsidR="00454A4E">
        <w:rPr>
          <w:rFonts w:ascii="Arial" w:hAnsi="Arial" w:cs="Arial"/>
          <w:iCs/>
          <w:color w:val="000000" w:themeColor="text1"/>
        </w:rPr>
        <w:t>vulnerable to the costs of any proceeding that a Director may initiate in connection with remo</w:t>
      </w:r>
      <w:r w:rsidR="00A24C77">
        <w:rPr>
          <w:rFonts w:ascii="Arial" w:hAnsi="Arial" w:cs="Arial"/>
          <w:iCs/>
          <w:color w:val="000000" w:themeColor="text1"/>
        </w:rPr>
        <w:t>val or recall according to the B</w:t>
      </w:r>
      <w:r w:rsidR="00454A4E">
        <w:rPr>
          <w:rFonts w:ascii="Arial" w:hAnsi="Arial" w:cs="Arial"/>
          <w:iCs/>
          <w:color w:val="000000" w:themeColor="text1"/>
        </w:rPr>
        <w:t>ylaws.  The indemnification was crafted with the specific act</w:t>
      </w:r>
      <w:r w:rsidR="00B22D22">
        <w:rPr>
          <w:rFonts w:ascii="Arial" w:hAnsi="Arial" w:cs="Arial"/>
          <w:iCs/>
          <w:color w:val="000000" w:themeColor="text1"/>
        </w:rPr>
        <w:t xml:space="preserve">ion of Director </w:t>
      </w:r>
      <w:proofErr w:type="gramStart"/>
      <w:r w:rsidR="00B22D22">
        <w:rPr>
          <w:rFonts w:ascii="Arial" w:hAnsi="Arial" w:cs="Arial"/>
          <w:iCs/>
          <w:color w:val="000000" w:themeColor="text1"/>
        </w:rPr>
        <w:t>removal</w:t>
      </w:r>
      <w:proofErr w:type="gramEnd"/>
      <w:r w:rsidR="00B22D22">
        <w:rPr>
          <w:rFonts w:ascii="Arial" w:hAnsi="Arial" w:cs="Arial"/>
          <w:iCs/>
          <w:color w:val="000000" w:themeColor="text1"/>
        </w:rPr>
        <w:t xml:space="preserve"> in mind</w:t>
      </w:r>
      <w:r w:rsidR="00DE264C">
        <w:rPr>
          <w:rFonts w:ascii="Arial" w:hAnsi="Arial" w:cs="Arial"/>
          <w:iCs/>
          <w:color w:val="000000" w:themeColor="text1"/>
        </w:rPr>
        <w:t xml:space="preserve">. </w:t>
      </w:r>
      <w:r w:rsidR="00B22D22">
        <w:rPr>
          <w:rFonts w:ascii="Arial" w:hAnsi="Arial" w:cs="Arial"/>
          <w:iCs/>
          <w:color w:val="000000" w:themeColor="text1"/>
        </w:rPr>
        <w:t xml:space="preserve"> </w:t>
      </w:r>
      <w:r w:rsidR="00A24C77">
        <w:rPr>
          <w:rFonts w:ascii="Arial" w:hAnsi="Arial" w:cs="Arial"/>
          <w:iCs/>
          <w:color w:val="000000" w:themeColor="text1"/>
        </w:rPr>
        <w:t xml:space="preserve">Indemnified Parties </w:t>
      </w:r>
      <w:r w:rsidR="00DE264C">
        <w:rPr>
          <w:rFonts w:ascii="Arial" w:hAnsi="Arial" w:cs="Arial"/>
          <w:iCs/>
          <w:color w:val="000000" w:themeColor="text1"/>
        </w:rPr>
        <w:t>are protected</w:t>
      </w:r>
      <w:r w:rsidR="00B22D22">
        <w:rPr>
          <w:rFonts w:ascii="Arial" w:hAnsi="Arial" w:cs="Arial"/>
          <w:iCs/>
          <w:color w:val="000000" w:themeColor="text1"/>
        </w:rPr>
        <w:t xml:space="preserve"> from expenses, judgements, fines, settlements and other amounts that may be incurred in any such action.</w:t>
      </w:r>
    </w:p>
    <w:p w14:paraId="2E5D3743" w14:textId="7084B975" w:rsidR="00431E1D" w:rsidRDefault="00C702F4" w:rsidP="00D617C1">
      <w:pPr>
        <w:rPr>
          <w:rFonts w:ascii="Arial" w:hAnsi="Arial" w:cs="Arial"/>
          <w:iCs/>
          <w:color w:val="000000" w:themeColor="text1"/>
        </w:rPr>
      </w:pPr>
      <w:r>
        <w:rPr>
          <w:rFonts w:ascii="Arial" w:hAnsi="Arial" w:cs="Arial"/>
          <w:iCs/>
          <w:color w:val="000000" w:themeColor="text1"/>
        </w:rPr>
        <w:t>As Directors may be removed for any reason, the guideline</w:t>
      </w:r>
      <w:r w:rsidR="00D617C1">
        <w:rPr>
          <w:rFonts w:ascii="Arial" w:hAnsi="Arial" w:cs="Arial"/>
          <w:iCs/>
          <w:color w:val="000000" w:themeColor="text1"/>
        </w:rPr>
        <w:t xml:space="preserve">s </w:t>
      </w:r>
      <w:r w:rsidR="00A24C77">
        <w:rPr>
          <w:rFonts w:ascii="Arial" w:hAnsi="Arial" w:cs="Arial"/>
          <w:iCs/>
          <w:color w:val="000000" w:themeColor="text1"/>
        </w:rPr>
        <w:t xml:space="preserve">were </w:t>
      </w:r>
      <w:r>
        <w:rPr>
          <w:rFonts w:ascii="Arial" w:hAnsi="Arial" w:cs="Arial"/>
          <w:iCs/>
          <w:color w:val="000000" w:themeColor="text1"/>
        </w:rPr>
        <w:t>crafted in a way to avoid manufacturing cause</w:t>
      </w:r>
      <w:r w:rsidR="00431E1D">
        <w:rPr>
          <w:rFonts w:ascii="Arial" w:hAnsi="Arial" w:cs="Arial"/>
          <w:iCs/>
          <w:color w:val="000000" w:themeColor="text1"/>
        </w:rPr>
        <w:t xml:space="preserve"> </w:t>
      </w:r>
      <w:r>
        <w:rPr>
          <w:rFonts w:ascii="Arial" w:hAnsi="Arial" w:cs="Arial"/>
          <w:iCs/>
          <w:color w:val="000000" w:themeColor="text1"/>
        </w:rPr>
        <w:t>through mandating specific conditions or circumstances</w:t>
      </w:r>
      <w:r w:rsidR="00D617C1">
        <w:rPr>
          <w:rFonts w:ascii="Arial" w:hAnsi="Arial" w:cs="Arial"/>
          <w:iCs/>
          <w:color w:val="000000" w:themeColor="text1"/>
        </w:rPr>
        <w:t xml:space="preserve"> that must be met in order for the process to commence.  There is an inherent tension between creating a process that meets a legal threshold of good faith and avoiding </w:t>
      </w:r>
      <w:r w:rsidR="00431E1D">
        <w:rPr>
          <w:rFonts w:ascii="Arial" w:hAnsi="Arial" w:cs="Arial"/>
          <w:iCs/>
          <w:color w:val="000000" w:themeColor="text1"/>
        </w:rPr>
        <w:t xml:space="preserve">the creation of a list of </w:t>
      </w:r>
      <w:r w:rsidR="00D617C1">
        <w:rPr>
          <w:rFonts w:ascii="Arial" w:hAnsi="Arial" w:cs="Arial"/>
          <w:iCs/>
          <w:color w:val="000000" w:themeColor="text1"/>
        </w:rPr>
        <w:t>cause</w:t>
      </w:r>
      <w:r w:rsidR="00431E1D">
        <w:rPr>
          <w:rFonts w:ascii="Arial" w:hAnsi="Arial" w:cs="Arial"/>
          <w:iCs/>
          <w:color w:val="000000" w:themeColor="text1"/>
        </w:rPr>
        <w:t>s</w:t>
      </w:r>
      <w:r w:rsidR="00D617C1">
        <w:rPr>
          <w:rFonts w:ascii="Arial" w:hAnsi="Arial" w:cs="Arial"/>
          <w:iCs/>
          <w:color w:val="000000" w:themeColor="text1"/>
        </w:rPr>
        <w:t>.  For example, the group discussed whether SO/AC appointed directors should be notified of SO/AC expectations within a specified period of time upon taking a seat on the Board.  We concluded that the any sort of requirement of that nature would, in fact, give rise to a list of causes</w:t>
      </w:r>
      <w:r w:rsidR="00431E1D">
        <w:rPr>
          <w:rFonts w:ascii="Arial" w:hAnsi="Arial" w:cs="Arial"/>
          <w:iCs/>
          <w:color w:val="000000" w:themeColor="text1"/>
        </w:rPr>
        <w:t xml:space="preserve"> and would run counter </w:t>
      </w:r>
      <w:r w:rsidR="00D617C1">
        <w:rPr>
          <w:rFonts w:ascii="Arial" w:hAnsi="Arial" w:cs="Arial"/>
          <w:iCs/>
          <w:color w:val="000000" w:themeColor="text1"/>
        </w:rPr>
        <w:t>to the intentions of the WS1 recommendations.</w:t>
      </w:r>
      <w:r w:rsidR="00431E1D">
        <w:rPr>
          <w:rFonts w:ascii="Arial" w:hAnsi="Arial" w:cs="Arial"/>
          <w:iCs/>
          <w:color w:val="000000" w:themeColor="text1"/>
        </w:rPr>
        <w:t xml:space="preserve">  Good faith speaks to the intention of </w:t>
      </w:r>
      <w:r w:rsidR="00A24C77">
        <w:rPr>
          <w:rFonts w:ascii="Arial" w:hAnsi="Arial" w:cs="Arial"/>
          <w:iCs/>
          <w:color w:val="000000" w:themeColor="text1"/>
        </w:rPr>
        <w:t xml:space="preserve">Indemnified Party </w:t>
      </w:r>
      <w:r w:rsidR="00431E1D">
        <w:rPr>
          <w:rFonts w:ascii="Arial" w:hAnsi="Arial" w:cs="Arial"/>
          <w:iCs/>
          <w:color w:val="000000" w:themeColor="text1"/>
        </w:rPr>
        <w:t xml:space="preserve">rather than the action of the Director.  As long as the </w:t>
      </w:r>
      <w:r w:rsidR="00A24C77">
        <w:rPr>
          <w:rFonts w:ascii="Arial" w:hAnsi="Arial" w:cs="Arial"/>
          <w:iCs/>
          <w:color w:val="000000" w:themeColor="text1"/>
        </w:rPr>
        <w:t xml:space="preserve">Indemnified Party </w:t>
      </w:r>
      <w:r w:rsidR="00431E1D">
        <w:rPr>
          <w:rFonts w:ascii="Arial" w:hAnsi="Arial" w:cs="Arial"/>
          <w:iCs/>
          <w:color w:val="000000" w:themeColor="text1"/>
        </w:rPr>
        <w:t>participant is truthful</w:t>
      </w:r>
      <w:r w:rsidR="006D62D1">
        <w:rPr>
          <w:rFonts w:ascii="Arial" w:hAnsi="Arial" w:cs="Arial"/>
          <w:iCs/>
          <w:color w:val="000000" w:themeColor="text1"/>
        </w:rPr>
        <w:t>, acting for the benefit of the community</w:t>
      </w:r>
      <w:r w:rsidR="00431E1D">
        <w:rPr>
          <w:rFonts w:ascii="Arial" w:hAnsi="Arial" w:cs="Arial"/>
          <w:iCs/>
          <w:color w:val="000000" w:themeColor="text1"/>
        </w:rPr>
        <w:t xml:space="preserve"> and following established, transparent procedures</w:t>
      </w:r>
      <w:r w:rsidR="006D62D1">
        <w:rPr>
          <w:rFonts w:ascii="Arial" w:hAnsi="Arial" w:cs="Arial"/>
          <w:iCs/>
          <w:color w:val="000000" w:themeColor="text1"/>
        </w:rPr>
        <w:t xml:space="preserve">, the good faith standard </w:t>
      </w:r>
      <w:r w:rsidR="00431E1D">
        <w:rPr>
          <w:rFonts w:ascii="Arial" w:hAnsi="Arial" w:cs="Arial"/>
          <w:iCs/>
          <w:color w:val="000000" w:themeColor="text1"/>
        </w:rPr>
        <w:t>should be met.</w:t>
      </w:r>
    </w:p>
    <w:p w14:paraId="491DD7B0" w14:textId="77777777" w:rsidR="00D9438E" w:rsidRPr="006D62D1" w:rsidRDefault="00D9438E" w:rsidP="006D62D1">
      <w:pPr>
        <w:pStyle w:val="ListParagraph"/>
        <w:numPr>
          <w:ilvl w:val="0"/>
          <w:numId w:val="5"/>
        </w:numPr>
        <w:rPr>
          <w:rFonts w:ascii="Arial" w:hAnsi="Arial" w:cs="Arial"/>
        </w:rPr>
      </w:pPr>
      <w:r w:rsidRPr="006D62D1">
        <w:rPr>
          <w:rFonts w:ascii="Arial" w:hAnsi="Arial" w:cs="Arial"/>
        </w:rPr>
        <w:t>Recommendations</w:t>
      </w:r>
    </w:p>
    <w:p w14:paraId="18E84651" w14:textId="77777777" w:rsidR="0012640B" w:rsidRPr="0012640B" w:rsidRDefault="0012640B" w:rsidP="0012640B">
      <w:pPr>
        <w:pStyle w:val="ListParagraph"/>
        <w:rPr>
          <w:rFonts w:ascii="Arial" w:hAnsi="Arial" w:cs="Arial"/>
        </w:rPr>
      </w:pPr>
    </w:p>
    <w:p w14:paraId="21DE60ED" w14:textId="77777777" w:rsidR="00D9438E" w:rsidRPr="0012640B" w:rsidRDefault="00D9438E" w:rsidP="00D9438E">
      <w:pPr>
        <w:pStyle w:val="ListParagraph"/>
        <w:numPr>
          <w:ilvl w:val="1"/>
          <w:numId w:val="5"/>
        </w:numPr>
        <w:rPr>
          <w:rFonts w:ascii="Arial" w:hAnsi="Arial" w:cs="Arial"/>
        </w:rPr>
      </w:pPr>
      <w:r w:rsidRPr="0012640B">
        <w:rPr>
          <w:rFonts w:ascii="Arial" w:hAnsi="Arial" w:cs="Arial"/>
        </w:rPr>
        <w:t xml:space="preserve">Proposed Guidelines </w:t>
      </w:r>
    </w:p>
    <w:p w14:paraId="6B393338" w14:textId="77777777" w:rsidR="00034FFF" w:rsidRDefault="0012640B" w:rsidP="00182E95">
      <w:pPr>
        <w:spacing w:after="0" w:line="240" w:lineRule="auto"/>
        <w:rPr>
          <w:rFonts w:ascii="Arial" w:hAnsi="Arial" w:cs="Arial"/>
        </w:rPr>
      </w:pPr>
      <w:r w:rsidRPr="0012640B">
        <w:rPr>
          <w:rFonts w:ascii="Arial" w:hAnsi="Arial" w:cs="Arial"/>
        </w:rPr>
        <w:t>The proposed guidelines are</w:t>
      </w:r>
      <w:r w:rsidR="00454A4E">
        <w:rPr>
          <w:rFonts w:ascii="Arial" w:hAnsi="Arial" w:cs="Arial"/>
        </w:rPr>
        <w:t xml:space="preserve"> as follows:</w:t>
      </w:r>
    </w:p>
    <w:p w14:paraId="0C6EE45B" w14:textId="77777777" w:rsidR="00034FFF" w:rsidRDefault="00034FFF" w:rsidP="00182E95">
      <w:pPr>
        <w:spacing w:after="0" w:line="240" w:lineRule="auto"/>
        <w:rPr>
          <w:rFonts w:ascii="Arial" w:hAnsi="Arial" w:cs="Arial"/>
        </w:rPr>
      </w:pPr>
    </w:p>
    <w:p w14:paraId="153B3806" w14:textId="77777777" w:rsidR="00034FFF" w:rsidRPr="00533BFD" w:rsidRDefault="00034FFF" w:rsidP="00034FFF">
      <w:pPr>
        <w:spacing w:after="0" w:line="240" w:lineRule="auto"/>
        <w:ind w:left="720"/>
        <w:rPr>
          <w:rFonts w:ascii="Times New Roman" w:eastAsia="Times New Roman" w:hAnsi="Times New Roman" w:cs="Times New Roman"/>
          <w:sz w:val="24"/>
          <w:szCs w:val="24"/>
        </w:rPr>
      </w:pPr>
      <w:r>
        <w:rPr>
          <w:rFonts w:ascii="Arial" w:eastAsia="Times New Roman" w:hAnsi="Arial" w:cs="Arial"/>
          <w:b/>
          <w:bCs/>
          <w:color w:val="000000"/>
        </w:rPr>
        <w:t xml:space="preserve">1. </w:t>
      </w:r>
      <w:r w:rsidRPr="00533BFD">
        <w:rPr>
          <w:rFonts w:ascii="Arial" w:eastAsia="Times New Roman" w:hAnsi="Arial" w:cs="Arial"/>
          <w:b/>
          <w:bCs/>
          <w:color w:val="000000"/>
        </w:rPr>
        <w:t>For All Board seats, petitions for removal:</w:t>
      </w:r>
    </w:p>
    <w:p w14:paraId="1BE1042A" w14:textId="77777777" w:rsidR="00034FFF" w:rsidRPr="00533BFD" w:rsidRDefault="00034FFF" w:rsidP="00034FFF">
      <w:pPr>
        <w:spacing w:after="0" w:line="240" w:lineRule="auto"/>
        <w:ind w:left="720"/>
        <w:rPr>
          <w:rFonts w:ascii="Times New Roman" w:eastAsia="Times New Roman" w:hAnsi="Times New Roman" w:cs="Times New Roman"/>
          <w:sz w:val="24"/>
          <w:szCs w:val="24"/>
        </w:rPr>
      </w:pPr>
      <w:r>
        <w:rPr>
          <w:rFonts w:ascii="Arial" w:eastAsia="Times New Roman" w:hAnsi="Arial" w:cs="Arial"/>
          <w:color w:val="000000"/>
        </w:rPr>
        <w:t xml:space="preserve">         </w:t>
      </w:r>
      <w:proofErr w:type="gramStart"/>
      <w:r w:rsidRPr="00533BFD">
        <w:rPr>
          <w:rFonts w:ascii="Arial" w:eastAsia="Times New Roman" w:hAnsi="Arial" w:cs="Arial"/>
          <w:color w:val="000000"/>
        </w:rPr>
        <w:t>a</w:t>
      </w:r>
      <w:proofErr w:type="gramEnd"/>
      <w:r w:rsidRPr="00533BFD">
        <w:rPr>
          <w:rFonts w:ascii="Arial" w:eastAsia="Times New Roman" w:hAnsi="Arial" w:cs="Arial"/>
          <w:color w:val="000000"/>
        </w:rPr>
        <w:t>.</w:t>
      </w:r>
      <w:r w:rsidRPr="00533BFD">
        <w:rPr>
          <w:rFonts w:ascii="Arial" w:eastAsia="Times New Roman" w:hAnsi="Arial" w:cs="Arial"/>
          <w:color w:val="000000"/>
          <w:sz w:val="14"/>
          <w:szCs w:val="14"/>
        </w:rPr>
        <w:t xml:space="preserve">      </w:t>
      </w:r>
      <w:r w:rsidRPr="00533BFD">
        <w:rPr>
          <w:rFonts w:ascii="Arial" w:eastAsia="Times New Roman" w:hAnsi="Arial" w:cs="Arial"/>
          <w:color w:val="000000"/>
        </w:rPr>
        <w:t>may be for any reason; and</w:t>
      </w:r>
    </w:p>
    <w:p w14:paraId="22698BC3" w14:textId="77777777" w:rsidR="00034FFF" w:rsidRDefault="00034FFF" w:rsidP="00034FFF">
      <w:pPr>
        <w:spacing w:after="0" w:line="240" w:lineRule="auto"/>
        <w:ind w:left="720"/>
        <w:rPr>
          <w:rFonts w:ascii="Arial" w:eastAsia="Times New Roman" w:hAnsi="Arial" w:cs="Arial"/>
          <w:color w:val="000000"/>
        </w:rPr>
      </w:pPr>
      <w:r>
        <w:rPr>
          <w:rFonts w:ascii="Arial" w:eastAsia="Times New Roman" w:hAnsi="Arial" w:cs="Arial"/>
          <w:color w:val="000000"/>
        </w:rPr>
        <w:t xml:space="preserve">         </w:t>
      </w:r>
      <w:proofErr w:type="gramStart"/>
      <w:r w:rsidRPr="00533BFD">
        <w:rPr>
          <w:rFonts w:ascii="Arial" w:eastAsia="Times New Roman" w:hAnsi="Arial" w:cs="Arial"/>
          <w:color w:val="000000"/>
        </w:rPr>
        <w:t>b</w:t>
      </w:r>
      <w:proofErr w:type="gramEnd"/>
      <w:r w:rsidRPr="00533BFD">
        <w:rPr>
          <w:rFonts w:ascii="Arial" w:eastAsia="Times New Roman" w:hAnsi="Arial" w:cs="Arial"/>
          <w:color w:val="000000"/>
        </w:rPr>
        <w:t>.</w:t>
      </w:r>
      <w:r w:rsidRPr="00533BFD">
        <w:rPr>
          <w:rFonts w:ascii="Arial" w:eastAsia="Times New Roman" w:hAnsi="Arial" w:cs="Arial"/>
          <w:color w:val="000000"/>
          <w:sz w:val="14"/>
          <w:szCs w:val="14"/>
        </w:rPr>
        <w:t xml:space="preserve">      </w:t>
      </w:r>
      <w:r w:rsidR="00C15259">
        <w:rPr>
          <w:rFonts w:ascii="Arial" w:eastAsia="Times New Roman" w:hAnsi="Arial" w:cs="Arial"/>
          <w:color w:val="000000"/>
        </w:rPr>
        <w:t>must</w:t>
      </w:r>
      <w:r w:rsidRPr="00533BFD">
        <w:rPr>
          <w:rFonts w:ascii="Arial" w:eastAsia="Times New Roman" w:hAnsi="Arial" w:cs="Arial"/>
          <w:color w:val="000000"/>
        </w:rPr>
        <w:t>:</w:t>
      </w:r>
    </w:p>
    <w:p w14:paraId="46237CC6" w14:textId="77777777" w:rsidR="00034FFF" w:rsidRPr="005C5755" w:rsidRDefault="00034FFF" w:rsidP="00034FFF">
      <w:pPr>
        <w:pStyle w:val="ListParagraph"/>
        <w:numPr>
          <w:ilvl w:val="0"/>
          <w:numId w:val="7"/>
        </w:numPr>
        <w:spacing w:after="0" w:line="240" w:lineRule="auto"/>
        <w:ind w:left="720" w:firstLine="0"/>
        <w:rPr>
          <w:rFonts w:ascii="Times New Roman" w:eastAsia="Times New Roman" w:hAnsi="Times New Roman" w:cs="Times New Roman"/>
          <w:sz w:val="24"/>
          <w:szCs w:val="24"/>
        </w:rPr>
      </w:pPr>
      <w:commentRangeStart w:id="5"/>
      <w:r w:rsidRPr="005C5755">
        <w:rPr>
          <w:rFonts w:ascii="Arial" w:eastAsia="Times New Roman" w:hAnsi="Arial" w:cs="Arial"/>
          <w:color w:val="000000"/>
        </w:rPr>
        <w:t xml:space="preserve">be </w:t>
      </w:r>
      <w:r w:rsidR="00C15259">
        <w:rPr>
          <w:rFonts w:ascii="Arial" w:eastAsia="Times New Roman" w:hAnsi="Arial" w:cs="Arial"/>
          <w:color w:val="000000"/>
        </w:rPr>
        <w:t>believed to be true</w:t>
      </w:r>
      <w:commentRangeEnd w:id="5"/>
      <w:r w:rsidR="002F111A">
        <w:rPr>
          <w:rStyle w:val="CommentReference"/>
        </w:rPr>
        <w:commentReference w:id="5"/>
      </w:r>
    </w:p>
    <w:p w14:paraId="5A7695F7" w14:textId="77777777" w:rsidR="00034FFF" w:rsidRPr="005C5755" w:rsidRDefault="00B60E45" w:rsidP="00034FFF">
      <w:pPr>
        <w:pStyle w:val="ListParagraph"/>
        <w:numPr>
          <w:ilvl w:val="0"/>
          <w:numId w:val="7"/>
        </w:numPr>
        <w:spacing w:after="0" w:line="240" w:lineRule="auto"/>
        <w:ind w:left="720" w:firstLine="0"/>
        <w:rPr>
          <w:rFonts w:ascii="Times New Roman" w:eastAsia="Times New Roman" w:hAnsi="Times New Roman" w:cs="Times New Roman"/>
          <w:sz w:val="24"/>
          <w:szCs w:val="24"/>
        </w:rPr>
      </w:pPr>
      <w:r>
        <w:rPr>
          <w:rFonts w:ascii="Arial" w:eastAsia="Times New Roman" w:hAnsi="Arial" w:cs="Arial"/>
          <w:color w:val="000000"/>
        </w:rPr>
        <w:t>be in writing</w:t>
      </w:r>
    </w:p>
    <w:p w14:paraId="1263FD00" w14:textId="77777777" w:rsidR="00034FFF" w:rsidRPr="005C5755" w:rsidRDefault="00034FFF" w:rsidP="00034FFF">
      <w:pPr>
        <w:pStyle w:val="ListParagraph"/>
        <w:numPr>
          <w:ilvl w:val="0"/>
          <w:numId w:val="7"/>
        </w:numPr>
        <w:spacing w:after="0" w:line="240" w:lineRule="auto"/>
        <w:ind w:left="720" w:firstLine="0"/>
        <w:rPr>
          <w:rFonts w:ascii="Times New Roman" w:eastAsia="Times New Roman" w:hAnsi="Times New Roman" w:cs="Times New Roman"/>
          <w:sz w:val="24"/>
          <w:szCs w:val="24"/>
        </w:rPr>
      </w:pPr>
      <w:r w:rsidRPr="005C5755">
        <w:rPr>
          <w:rFonts w:ascii="Arial" w:eastAsia="Times New Roman" w:hAnsi="Arial" w:cs="Arial"/>
          <w:color w:val="000000"/>
        </w:rPr>
        <w:t>contain sufficient detail to verify facts; if verifiable facts are asserted</w:t>
      </w:r>
    </w:p>
    <w:p w14:paraId="20ED9B6E" w14:textId="77777777" w:rsidR="00034FFF" w:rsidRPr="005C5755" w:rsidRDefault="00034FFF" w:rsidP="00034FFF">
      <w:pPr>
        <w:pStyle w:val="ListParagraph"/>
        <w:numPr>
          <w:ilvl w:val="0"/>
          <w:numId w:val="7"/>
        </w:numPr>
        <w:spacing w:after="0" w:line="240" w:lineRule="auto"/>
        <w:ind w:left="720" w:firstLine="0"/>
        <w:rPr>
          <w:rFonts w:ascii="Times New Roman" w:eastAsia="Times New Roman" w:hAnsi="Times New Roman" w:cs="Times New Roman"/>
          <w:sz w:val="24"/>
          <w:szCs w:val="24"/>
        </w:rPr>
      </w:pPr>
      <w:r w:rsidRPr="005C5755">
        <w:rPr>
          <w:rFonts w:ascii="Arial" w:eastAsia="Times New Roman" w:hAnsi="Arial" w:cs="Arial"/>
          <w:color w:val="000000"/>
        </w:rPr>
        <w:t>supply supporting evidence if available</w:t>
      </w:r>
      <w:r w:rsidR="00A606CB">
        <w:rPr>
          <w:rFonts w:ascii="Arial" w:eastAsia="Times New Roman" w:hAnsi="Arial" w:cs="Arial"/>
          <w:color w:val="000000"/>
        </w:rPr>
        <w:t>/applicable</w:t>
      </w:r>
    </w:p>
    <w:p w14:paraId="567087CD" w14:textId="77777777" w:rsidR="00034FFF" w:rsidRPr="005C5755" w:rsidRDefault="00034FFF" w:rsidP="005C0FCF">
      <w:pPr>
        <w:pStyle w:val="ListParagraph"/>
        <w:numPr>
          <w:ilvl w:val="0"/>
          <w:numId w:val="7"/>
        </w:numPr>
        <w:spacing w:after="0" w:line="240" w:lineRule="auto"/>
        <w:ind w:left="1440" w:hanging="720"/>
        <w:rPr>
          <w:rFonts w:ascii="Times New Roman" w:eastAsia="Times New Roman" w:hAnsi="Times New Roman" w:cs="Times New Roman"/>
          <w:sz w:val="24"/>
          <w:szCs w:val="24"/>
        </w:rPr>
      </w:pPr>
      <w:r w:rsidRPr="005C5755">
        <w:rPr>
          <w:rFonts w:ascii="Arial" w:eastAsia="Times New Roman" w:hAnsi="Arial" w:cs="Arial"/>
          <w:color w:val="000000"/>
        </w:rPr>
        <w:t xml:space="preserve">include references to applicable by-laws and/or procedures if the assertion is that </w:t>
      </w:r>
      <w:r w:rsidR="005C0FCF">
        <w:rPr>
          <w:rFonts w:ascii="Arial" w:eastAsia="Times New Roman" w:hAnsi="Arial" w:cs="Arial"/>
          <w:color w:val="000000"/>
        </w:rPr>
        <w:t xml:space="preserve">  </w:t>
      </w:r>
      <w:r w:rsidRPr="005C5755">
        <w:rPr>
          <w:rFonts w:ascii="Arial" w:eastAsia="Times New Roman" w:hAnsi="Arial" w:cs="Arial"/>
          <w:color w:val="000000"/>
        </w:rPr>
        <w:t>a specific by-law or procedure has been breached</w:t>
      </w:r>
    </w:p>
    <w:p w14:paraId="3616B032" w14:textId="77777777" w:rsidR="00034FFF" w:rsidRPr="005C5755" w:rsidRDefault="00034FFF" w:rsidP="00034FFF">
      <w:pPr>
        <w:pStyle w:val="ListParagraph"/>
        <w:numPr>
          <w:ilvl w:val="0"/>
          <w:numId w:val="7"/>
        </w:numPr>
        <w:spacing w:after="0" w:line="240" w:lineRule="auto"/>
        <w:ind w:left="720" w:firstLine="0"/>
        <w:rPr>
          <w:rFonts w:ascii="Times New Roman" w:eastAsia="Times New Roman" w:hAnsi="Times New Roman" w:cs="Times New Roman"/>
          <w:sz w:val="24"/>
          <w:szCs w:val="24"/>
        </w:rPr>
      </w:pPr>
      <w:r w:rsidRPr="005C5755">
        <w:rPr>
          <w:rFonts w:ascii="Arial" w:eastAsia="Times New Roman" w:hAnsi="Arial" w:cs="Arial"/>
          <w:color w:val="000000"/>
        </w:rPr>
        <w:t>be respectful and professional in tone</w:t>
      </w:r>
    </w:p>
    <w:p w14:paraId="1F723726" w14:textId="77777777" w:rsidR="00034FFF" w:rsidRPr="00533BFD" w:rsidRDefault="00034FFF" w:rsidP="00034FFF">
      <w:pPr>
        <w:spacing w:after="0" w:line="240" w:lineRule="auto"/>
        <w:ind w:left="720"/>
        <w:rPr>
          <w:rFonts w:ascii="Times New Roman" w:eastAsia="Times New Roman" w:hAnsi="Times New Roman" w:cs="Times New Roman"/>
          <w:sz w:val="24"/>
          <w:szCs w:val="24"/>
        </w:rPr>
      </w:pPr>
    </w:p>
    <w:p w14:paraId="7BBA5D21" w14:textId="77777777" w:rsidR="00034FFF" w:rsidRDefault="00034FFF" w:rsidP="00034FFF">
      <w:pPr>
        <w:spacing w:after="0" w:line="240" w:lineRule="auto"/>
        <w:ind w:left="720"/>
        <w:rPr>
          <w:rFonts w:ascii="Times New Roman" w:eastAsia="Times New Roman" w:hAnsi="Times New Roman" w:cs="Times New Roman"/>
          <w:sz w:val="24"/>
          <w:szCs w:val="24"/>
        </w:rPr>
      </w:pPr>
      <w:r>
        <w:rPr>
          <w:rFonts w:ascii="Arial" w:eastAsia="Times New Roman" w:hAnsi="Arial" w:cs="Arial"/>
          <w:b/>
          <w:color w:val="000000"/>
        </w:rPr>
        <w:t>2</w:t>
      </w:r>
      <w:r w:rsidRPr="00034FFF">
        <w:rPr>
          <w:rFonts w:ascii="Arial" w:eastAsia="Times New Roman" w:hAnsi="Arial" w:cs="Arial"/>
          <w:b/>
          <w:color w:val="000000"/>
        </w:rPr>
        <w:t>.</w:t>
      </w:r>
      <w:r w:rsidRPr="00533BFD">
        <w:rPr>
          <w:rFonts w:ascii="Arial" w:eastAsia="Times New Roman" w:hAnsi="Arial" w:cs="Arial"/>
          <w:color w:val="000000"/>
        </w:rPr>
        <w:t xml:space="preserve">    </w:t>
      </w:r>
      <w:r w:rsidRPr="00533BFD">
        <w:rPr>
          <w:rFonts w:ascii="Arial" w:eastAsia="Times New Roman" w:hAnsi="Arial" w:cs="Arial"/>
          <w:b/>
          <w:bCs/>
          <w:color w:val="000000"/>
        </w:rPr>
        <w:t xml:space="preserve">SO/AC’s shall </w:t>
      </w:r>
      <w:r w:rsidR="00A606CB">
        <w:rPr>
          <w:rFonts w:ascii="Arial" w:eastAsia="Times New Roman" w:hAnsi="Arial" w:cs="Arial"/>
          <w:b/>
          <w:bCs/>
          <w:color w:val="000000"/>
        </w:rPr>
        <w:t>have</w:t>
      </w:r>
      <w:r w:rsidRPr="00533BFD">
        <w:rPr>
          <w:rFonts w:ascii="Arial" w:eastAsia="Times New Roman" w:hAnsi="Arial" w:cs="Arial"/>
          <w:b/>
          <w:bCs/>
          <w:color w:val="000000"/>
        </w:rPr>
        <w:t xml:space="preserve"> </w:t>
      </w:r>
      <w:r>
        <w:rPr>
          <w:rFonts w:ascii="Arial" w:eastAsia="Times New Roman" w:hAnsi="Arial" w:cs="Arial"/>
          <w:b/>
          <w:bCs/>
          <w:color w:val="000000"/>
        </w:rPr>
        <w:t xml:space="preserve">procedures for consideration of board removal notices to </w:t>
      </w:r>
      <w:r w:rsidRPr="00533BFD">
        <w:rPr>
          <w:rFonts w:ascii="Arial" w:eastAsia="Times New Roman" w:hAnsi="Arial" w:cs="Arial"/>
          <w:b/>
          <w:bCs/>
          <w:color w:val="000000"/>
        </w:rPr>
        <w:t>include:</w:t>
      </w:r>
    </w:p>
    <w:p w14:paraId="3793C143" w14:textId="77777777" w:rsidR="00034FFF" w:rsidRDefault="00034FFF" w:rsidP="00034FFF">
      <w:pPr>
        <w:spacing w:after="0" w:line="240" w:lineRule="auto"/>
        <w:ind w:left="720"/>
        <w:rPr>
          <w:rFonts w:ascii="Times New Roman" w:eastAsia="Times New Roman" w:hAnsi="Times New Roman" w:cs="Times New Roman"/>
          <w:sz w:val="24"/>
          <w:szCs w:val="24"/>
        </w:rPr>
      </w:pPr>
    </w:p>
    <w:p w14:paraId="3A69EDFF" w14:textId="77777777" w:rsidR="00034FFF" w:rsidRPr="005C5755" w:rsidRDefault="00034FFF" w:rsidP="005C0FCF">
      <w:pPr>
        <w:pStyle w:val="ListParagraph"/>
        <w:numPr>
          <w:ilvl w:val="0"/>
          <w:numId w:val="6"/>
        </w:numPr>
        <w:spacing w:after="0" w:line="240" w:lineRule="auto"/>
        <w:ind w:left="1440" w:hanging="720"/>
        <w:rPr>
          <w:rFonts w:ascii="Arial" w:eastAsia="Times New Roman" w:hAnsi="Arial" w:cs="Arial"/>
          <w:sz w:val="24"/>
          <w:szCs w:val="24"/>
        </w:rPr>
      </w:pPr>
      <w:r w:rsidRPr="005C5755">
        <w:rPr>
          <w:rFonts w:ascii="Arial" w:eastAsia="Times New Roman" w:hAnsi="Arial" w:cs="Arial"/>
          <w:color w:val="000000"/>
        </w:rPr>
        <w:lastRenderedPageBreak/>
        <w:t xml:space="preserve">reasonable time frames for investigation if the SO/AC deems that an investigation is required    </w:t>
      </w:r>
    </w:p>
    <w:p w14:paraId="0CDC347E" w14:textId="77777777" w:rsidR="00034FFF" w:rsidRPr="005C5755" w:rsidRDefault="00034FFF" w:rsidP="00034FFF">
      <w:pPr>
        <w:pStyle w:val="ListParagraph"/>
        <w:numPr>
          <w:ilvl w:val="0"/>
          <w:numId w:val="6"/>
        </w:numPr>
        <w:spacing w:after="0" w:line="240" w:lineRule="auto"/>
        <w:ind w:firstLine="0"/>
        <w:rPr>
          <w:rFonts w:ascii="Arial" w:eastAsia="Times New Roman" w:hAnsi="Arial" w:cs="Arial"/>
          <w:sz w:val="24"/>
          <w:szCs w:val="24"/>
        </w:rPr>
      </w:pPr>
      <w:r w:rsidRPr="005C5755">
        <w:rPr>
          <w:rFonts w:ascii="Arial" w:eastAsia="Times New Roman" w:hAnsi="Arial" w:cs="Arial"/>
          <w:color w:val="000000"/>
        </w:rPr>
        <w:t>period of review by the entire members</w:t>
      </w:r>
      <w:r w:rsidR="00C15259">
        <w:rPr>
          <w:rFonts w:ascii="Arial" w:eastAsia="Times New Roman" w:hAnsi="Arial" w:cs="Arial"/>
          <w:color w:val="000000"/>
        </w:rPr>
        <w:t>hip</w:t>
      </w:r>
      <w:r w:rsidRPr="005C5755">
        <w:rPr>
          <w:rFonts w:ascii="Arial" w:eastAsia="Times New Roman" w:hAnsi="Arial" w:cs="Arial"/>
          <w:color w:val="000000"/>
        </w:rPr>
        <w:t xml:space="preserve"> of the SO/AC</w:t>
      </w:r>
    </w:p>
    <w:p w14:paraId="76D68BFA" w14:textId="77777777" w:rsidR="00034FFF" w:rsidRPr="005C5755" w:rsidRDefault="00034FFF" w:rsidP="00034FFF">
      <w:pPr>
        <w:pStyle w:val="ListParagraph"/>
        <w:numPr>
          <w:ilvl w:val="0"/>
          <w:numId w:val="6"/>
        </w:numPr>
        <w:spacing w:after="0" w:line="240" w:lineRule="auto"/>
        <w:ind w:firstLine="0"/>
        <w:rPr>
          <w:rFonts w:ascii="Arial" w:eastAsia="Times New Roman" w:hAnsi="Arial" w:cs="Arial"/>
          <w:color w:val="000000"/>
        </w:rPr>
      </w:pPr>
      <w:r w:rsidRPr="005C5755">
        <w:rPr>
          <w:rFonts w:ascii="Arial" w:eastAsia="Times New Roman" w:hAnsi="Arial" w:cs="Arial"/>
          <w:color w:val="000000"/>
        </w:rPr>
        <w:t xml:space="preserve">consistent </w:t>
      </w:r>
      <w:r>
        <w:rPr>
          <w:rFonts w:ascii="Arial" w:eastAsia="Times New Roman" w:hAnsi="Arial" w:cs="Arial"/>
          <w:color w:val="000000"/>
        </w:rPr>
        <w:t xml:space="preserve">and </w:t>
      </w:r>
      <w:commentRangeStart w:id="6"/>
      <w:r>
        <w:rPr>
          <w:rFonts w:ascii="Arial" w:eastAsia="Times New Roman" w:hAnsi="Arial" w:cs="Arial"/>
          <w:color w:val="000000"/>
        </w:rPr>
        <w:t xml:space="preserve">transparent </w:t>
      </w:r>
      <w:commentRangeEnd w:id="6"/>
      <w:r w:rsidR="00A266DA">
        <w:rPr>
          <w:rStyle w:val="CommentReference"/>
        </w:rPr>
        <w:commentReference w:id="6"/>
      </w:r>
      <w:r w:rsidRPr="005C5755">
        <w:rPr>
          <w:rFonts w:ascii="Arial" w:eastAsia="Times New Roman" w:hAnsi="Arial" w:cs="Arial"/>
          <w:color w:val="000000"/>
        </w:rPr>
        <w:t>voting method for accepting or rejecting a petition</w:t>
      </w:r>
    </w:p>
    <w:p w14:paraId="1FC4FD98" w14:textId="77777777" w:rsidR="00034FFF" w:rsidRPr="00D662E7" w:rsidRDefault="00034FFF" w:rsidP="00034FFF">
      <w:pPr>
        <w:pStyle w:val="ListParagraph"/>
        <w:numPr>
          <w:ilvl w:val="0"/>
          <w:numId w:val="6"/>
        </w:numPr>
        <w:spacing w:after="0" w:line="240" w:lineRule="auto"/>
        <w:ind w:firstLine="0"/>
        <w:rPr>
          <w:rFonts w:ascii="Arial" w:eastAsia="Times New Roman" w:hAnsi="Arial" w:cs="Arial"/>
          <w:sz w:val="24"/>
          <w:szCs w:val="24"/>
        </w:rPr>
      </w:pPr>
      <w:r>
        <w:rPr>
          <w:rFonts w:ascii="Arial" w:eastAsia="Times New Roman" w:hAnsi="Arial" w:cs="Arial"/>
          <w:color w:val="000000"/>
        </w:rPr>
        <w:t>documentation of the community process and how decisions are reached</w:t>
      </w:r>
    </w:p>
    <w:p w14:paraId="634168CA" w14:textId="77777777" w:rsidR="00034FFF" w:rsidRPr="005C5755" w:rsidRDefault="00034FFF" w:rsidP="00034FFF">
      <w:pPr>
        <w:pStyle w:val="ListParagraph"/>
        <w:spacing w:after="0" w:line="240" w:lineRule="auto"/>
        <w:rPr>
          <w:rFonts w:ascii="Arial" w:eastAsia="Times New Roman" w:hAnsi="Arial" w:cs="Arial"/>
          <w:sz w:val="24"/>
          <w:szCs w:val="24"/>
        </w:rPr>
      </w:pPr>
      <w:r w:rsidRPr="005C5755">
        <w:rPr>
          <w:rFonts w:ascii="Arial" w:eastAsia="Times New Roman" w:hAnsi="Arial" w:cs="Arial"/>
          <w:color w:val="000000"/>
        </w:rPr>
        <w:t xml:space="preserve">       </w:t>
      </w:r>
    </w:p>
    <w:p w14:paraId="31485E33" w14:textId="77777777" w:rsidR="00B04BE8" w:rsidRPr="00B04BE8" w:rsidRDefault="00B04BE8" w:rsidP="00B04BE8">
      <w:pPr>
        <w:pStyle w:val="ListParagraph"/>
        <w:numPr>
          <w:ilvl w:val="1"/>
          <w:numId w:val="5"/>
        </w:numPr>
        <w:spacing w:after="0" w:line="240" w:lineRule="auto"/>
        <w:rPr>
          <w:rFonts w:ascii="Arial" w:hAnsi="Arial" w:cs="Arial"/>
        </w:rPr>
      </w:pPr>
      <w:r>
        <w:rPr>
          <w:rFonts w:ascii="Arial" w:hAnsi="Arial" w:cs="Arial"/>
        </w:rPr>
        <w:t xml:space="preserve"> </w:t>
      </w:r>
      <w:r w:rsidR="00E10107">
        <w:rPr>
          <w:rFonts w:ascii="Arial" w:hAnsi="Arial" w:cs="Arial"/>
        </w:rPr>
        <w:t>Stand-a</w:t>
      </w:r>
      <w:r>
        <w:rPr>
          <w:rFonts w:ascii="Arial" w:hAnsi="Arial" w:cs="Arial"/>
        </w:rPr>
        <w:t>lone Recommendations</w:t>
      </w:r>
    </w:p>
    <w:p w14:paraId="40528BDD" w14:textId="77777777" w:rsidR="00B04BE8" w:rsidRDefault="00B04BE8" w:rsidP="00B04BE8">
      <w:pPr>
        <w:spacing w:after="0" w:line="240" w:lineRule="auto"/>
        <w:ind w:firstLine="720"/>
        <w:rPr>
          <w:rFonts w:ascii="Arial" w:hAnsi="Arial" w:cs="Arial"/>
        </w:rPr>
      </w:pPr>
    </w:p>
    <w:p w14:paraId="39CC861C" w14:textId="77777777" w:rsidR="009B5F09" w:rsidRPr="009B5F09" w:rsidRDefault="009B5F09" w:rsidP="009B5F09">
      <w:pPr>
        <w:spacing w:after="0" w:line="240" w:lineRule="auto"/>
        <w:rPr>
          <w:rFonts w:ascii="Arial" w:hAnsi="Arial" w:cs="Arial"/>
        </w:rPr>
      </w:pPr>
      <w:r w:rsidRPr="009B5F09">
        <w:rPr>
          <w:rFonts w:ascii="Arial" w:hAnsi="Arial" w:cs="Arial"/>
        </w:rPr>
        <w:t xml:space="preserve">In addition to the proposed guidelines which are intended to trigger the indemnity under ICANN Bylaws Article 20, Section 20.2, the sub team developed two other recommendations that may be helpful to the community as stand-alone items as follows:   </w:t>
      </w:r>
    </w:p>
    <w:p w14:paraId="7641BE6E" w14:textId="77777777" w:rsidR="009B5F09" w:rsidRDefault="009B5F09" w:rsidP="00B04BE8">
      <w:pPr>
        <w:spacing w:after="0" w:line="240" w:lineRule="auto"/>
        <w:ind w:firstLine="720"/>
        <w:rPr>
          <w:rFonts w:ascii="Arial" w:hAnsi="Arial" w:cs="Arial"/>
        </w:rPr>
      </w:pPr>
    </w:p>
    <w:p w14:paraId="53336F21" w14:textId="65FB0C07" w:rsidR="00431E1D" w:rsidRPr="009B5F09" w:rsidRDefault="000E4353" w:rsidP="009B5F09">
      <w:pPr>
        <w:pStyle w:val="ListParagraph"/>
        <w:numPr>
          <w:ilvl w:val="3"/>
          <w:numId w:val="5"/>
        </w:numPr>
        <w:spacing w:after="0" w:line="240" w:lineRule="auto"/>
        <w:ind w:left="0" w:firstLine="810"/>
        <w:rPr>
          <w:rFonts w:ascii="Arial" w:eastAsia="Times New Roman" w:hAnsi="Arial" w:cs="Arial"/>
          <w:color w:val="000000"/>
        </w:rPr>
      </w:pPr>
      <w:r w:rsidRPr="009B5F09">
        <w:rPr>
          <w:rFonts w:ascii="Arial" w:hAnsi="Arial" w:cs="Arial"/>
        </w:rPr>
        <w:t xml:space="preserve">A </w:t>
      </w:r>
      <w:r w:rsidR="00D662E7" w:rsidRPr="009B5F09">
        <w:rPr>
          <w:rFonts w:ascii="Arial" w:eastAsia="Times New Roman" w:hAnsi="Arial" w:cs="Arial"/>
          <w:color w:val="000000"/>
        </w:rPr>
        <w:t xml:space="preserve">standard </w:t>
      </w:r>
      <w:commentRangeStart w:id="7"/>
      <w:r w:rsidR="00D662E7" w:rsidRPr="009B5F09">
        <w:rPr>
          <w:rFonts w:ascii="Arial" w:eastAsia="Times New Roman" w:hAnsi="Arial" w:cs="Arial"/>
          <w:color w:val="000000"/>
        </w:rPr>
        <w:t>form</w:t>
      </w:r>
      <w:commentRangeEnd w:id="7"/>
      <w:r w:rsidR="00A266DA">
        <w:rPr>
          <w:rStyle w:val="CommentReference"/>
        </w:rPr>
        <w:commentReference w:id="7"/>
      </w:r>
      <w:r w:rsidR="00D662E7" w:rsidRPr="009B5F09">
        <w:rPr>
          <w:rFonts w:ascii="Arial" w:eastAsia="Times New Roman" w:hAnsi="Arial" w:cs="Arial"/>
          <w:color w:val="000000"/>
        </w:rPr>
        <w:t xml:space="preserve"> be </w:t>
      </w:r>
      <w:r w:rsidR="00A606CB" w:rsidRPr="009B5F09">
        <w:rPr>
          <w:rFonts w:ascii="Arial" w:eastAsia="Times New Roman" w:hAnsi="Arial" w:cs="Arial"/>
          <w:color w:val="000000"/>
        </w:rPr>
        <w:t xml:space="preserve">developed and </w:t>
      </w:r>
      <w:r w:rsidR="00182E95" w:rsidRPr="009B5F09">
        <w:rPr>
          <w:rFonts w:ascii="Arial" w:eastAsia="Times New Roman" w:hAnsi="Arial" w:cs="Arial"/>
          <w:color w:val="000000"/>
        </w:rPr>
        <w:t>use</w:t>
      </w:r>
      <w:r w:rsidR="00D662E7" w:rsidRPr="009B5F09">
        <w:rPr>
          <w:rFonts w:ascii="Arial" w:eastAsia="Times New Roman" w:hAnsi="Arial" w:cs="Arial"/>
          <w:color w:val="000000"/>
        </w:rPr>
        <w:t>d</w:t>
      </w:r>
      <w:r w:rsidR="00182E95" w:rsidRPr="009B5F09">
        <w:rPr>
          <w:rFonts w:ascii="Arial" w:eastAsia="Times New Roman" w:hAnsi="Arial" w:cs="Arial"/>
          <w:color w:val="000000"/>
        </w:rPr>
        <w:t xml:space="preserve"> to raise the issue of Board removal to </w:t>
      </w:r>
      <w:bookmarkStart w:id="8" w:name="_GoBack"/>
      <w:r w:rsidR="00182E95" w:rsidRPr="009B5F09">
        <w:rPr>
          <w:rFonts w:ascii="Arial" w:eastAsia="Times New Roman" w:hAnsi="Arial" w:cs="Arial"/>
          <w:color w:val="000000"/>
        </w:rPr>
        <w:t xml:space="preserve">the respective body – either the specific SO/AC who appointed the member or the Decisional </w:t>
      </w:r>
      <w:bookmarkEnd w:id="8"/>
      <w:r w:rsidR="00182E95" w:rsidRPr="009B5F09">
        <w:rPr>
          <w:rFonts w:ascii="Arial" w:eastAsia="Times New Roman" w:hAnsi="Arial" w:cs="Arial"/>
          <w:color w:val="000000"/>
        </w:rPr>
        <w:t>Participant in the case of a Nom Com appointee</w:t>
      </w:r>
      <w:r w:rsidR="00A606CB" w:rsidRPr="009B5F09">
        <w:rPr>
          <w:rFonts w:ascii="Arial" w:eastAsia="Times New Roman" w:hAnsi="Arial" w:cs="Arial"/>
          <w:color w:val="000000"/>
        </w:rPr>
        <w:t>.  The form would be</w:t>
      </w:r>
      <w:r w:rsidRPr="009B5F09">
        <w:rPr>
          <w:rFonts w:ascii="Arial" w:eastAsia="Times New Roman" w:hAnsi="Arial" w:cs="Arial"/>
          <w:color w:val="000000"/>
        </w:rPr>
        <w:t xml:space="preserve"> in the context of developing a broader framework for implementing community powers and entering into the discussions contemplated by WS1. This framework could be developed by a new </w:t>
      </w:r>
      <w:r w:rsidR="00A24C77">
        <w:rPr>
          <w:rFonts w:ascii="Arial" w:eastAsia="Times New Roman" w:hAnsi="Arial" w:cs="Arial"/>
          <w:color w:val="000000"/>
        </w:rPr>
        <w:t xml:space="preserve">group </w:t>
      </w:r>
      <w:r w:rsidRPr="009B5F09">
        <w:rPr>
          <w:rFonts w:ascii="Arial" w:eastAsia="Times New Roman" w:hAnsi="Arial" w:cs="Arial"/>
          <w:color w:val="000000"/>
        </w:rPr>
        <w:t>specifically formed for that purpose.</w:t>
      </w:r>
    </w:p>
    <w:p w14:paraId="773B37DA" w14:textId="77777777" w:rsidR="00B04BE8" w:rsidRPr="00A606CB" w:rsidRDefault="00B04BE8" w:rsidP="00B04BE8">
      <w:pPr>
        <w:pStyle w:val="ListParagraph"/>
        <w:spacing w:after="0" w:line="240" w:lineRule="auto"/>
        <w:ind w:left="1440"/>
        <w:rPr>
          <w:rFonts w:ascii="Arial" w:eastAsia="Times New Roman" w:hAnsi="Arial" w:cs="Arial"/>
          <w:color w:val="000000"/>
        </w:rPr>
      </w:pPr>
    </w:p>
    <w:p w14:paraId="35DA917E" w14:textId="77777777" w:rsidR="00182E95" w:rsidRPr="009B5F09" w:rsidRDefault="009B5F09" w:rsidP="009B5F09">
      <w:pPr>
        <w:spacing w:after="0" w:line="240" w:lineRule="auto"/>
        <w:ind w:firstLine="900"/>
        <w:rPr>
          <w:rFonts w:ascii="Arial" w:hAnsi="Arial" w:cs="Arial"/>
        </w:rPr>
      </w:pPr>
      <w:r>
        <w:rPr>
          <w:rFonts w:ascii="Arial" w:hAnsi="Arial" w:cs="Arial"/>
        </w:rPr>
        <w:t xml:space="preserve">2.     </w:t>
      </w:r>
      <w:r w:rsidR="000E4353" w:rsidRPr="009B5F09">
        <w:rPr>
          <w:rFonts w:ascii="Arial" w:hAnsi="Arial" w:cs="Arial"/>
        </w:rPr>
        <w:t>Implement the guidelines as a community best practice to apply to all discussi</w:t>
      </w:r>
      <w:r w:rsidR="00CD2072" w:rsidRPr="009B5F09">
        <w:rPr>
          <w:rFonts w:ascii="Arial" w:hAnsi="Arial" w:cs="Arial"/>
        </w:rPr>
        <w:t>ons even if not covered by the indemnities contemplated under Article 20</w:t>
      </w:r>
      <w:r w:rsidR="000E4353" w:rsidRPr="009B5F09">
        <w:rPr>
          <w:rFonts w:ascii="Arial" w:hAnsi="Arial" w:cs="Arial"/>
        </w:rPr>
        <w:t>. There may be discussions around rejec</w:t>
      </w:r>
      <w:r w:rsidR="00992646" w:rsidRPr="009B5F09">
        <w:rPr>
          <w:rFonts w:ascii="Arial" w:hAnsi="Arial" w:cs="Arial"/>
        </w:rPr>
        <w:t xml:space="preserve">ting a budget or </w:t>
      </w:r>
      <w:r w:rsidR="00CD2072" w:rsidRPr="009B5F09">
        <w:rPr>
          <w:rFonts w:ascii="Arial" w:hAnsi="Arial" w:cs="Arial"/>
        </w:rPr>
        <w:t xml:space="preserve">rejecting a </w:t>
      </w:r>
      <w:r w:rsidR="00992646" w:rsidRPr="009B5F09">
        <w:rPr>
          <w:rFonts w:ascii="Arial" w:hAnsi="Arial" w:cs="Arial"/>
        </w:rPr>
        <w:t>p</w:t>
      </w:r>
      <w:r w:rsidR="00CD2072" w:rsidRPr="009B5F09">
        <w:rPr>
          <w:rFonts w:ascii="Arial" w:hAnsi="Arial" w:cs="Arial"/>
        </w:rPr>
        <w:t xml:space="preserve">roposed standard by-law that would benefit from a good faith process.  The guidelines for engaging discussions around board removal could be adopted as a universal standard given that they are broad enough to encompass any discussion.  </w:t>
      </w:r>
    </w:p>
    <w:p w14:paraId="1D0C6CD0" w14:textId="77777777" w:rsidR="00B04BE8" w:rsidRPr="00533BFD" w:rsidRDefault="00B04BE8" w:rsidP="00182E95">
      <w:pPr>
        <w:spacing w:after="0" w:line="240" w:lineRule="auto"/>
        <w:rPr>
          <w:rFonts w:ascii="Times New Roman" w:eastAsia="Times New Roman" w:hAnsi="Times New Roman" w:cs="Times New Roman"/>
          <w:sz w:val="24"/>
          <w:szCs w:val="24"/>
        </w:rPr>
      </w:pPr>
    </w:p>
    <w:p w14:paraId="00B71978" w14:textId="77777777" w:rsidR="00D9438E" w:rsidRPr="0012640B" w:rsidRDefault="00410567" w:rsidP="00D9438E">
      <w:pPr>
        <w:pStyle w:val="ListParagraph"/>
        <w:numPr>
          <w:ilvl w:val="1"/>
          <w:numId w:val="5"/>
        </w:numPr>
        <w:rPr>
          <w:rFonts w:ascii="Arial" w:hAnsi="Arial" w:cs="Arial"/>
        </w:rPr>
      </w:pPr>
      <w:r>
        <w:rPr>
          <w:rFonts w:ascii="Arial" w:hAnsi="Arial" w:cs="Arial"/>
        </w:rPr>
        <w:t>Requirements for R</w:t>
      </w:r>
      <w:r w:rsidR="00D9438E" w:rsidRPr="0012640B">
        <w:rPr>
          <w:rFonts w:ascii="Arial" w:hAnsi="Arial" w:cs="Arial"/>
        </w:rPr>
        <w:t>ecommendation</w:t>
      </w:r>
      <w:r>
        <w:rPr>
          <w:rFonts w:ascii="Arial" w:hAnsi="Arial" w:cs="Arial"/>
        </w:rPr>
        <w:t>s</w:t>
      </w:r>
      <w:r w:rsidR="00D9438E" w:rsidRPr="0012640B">
        <w:rPr>
          <w:rFonts w:ascii="Arial" w:hAnsi="Arial" w:cs="Arial"/>
        </w:rPr>
        <w:t xml:space="preserve"> </w:t>
      </w:r>
    </w:p>
    <w:p w14:paraId="0B58C306" w14:textId="47CFA116" w:rsidR="00324C49" w:rsidRDefault="006D46BB" w:rsidP="00324C49">
      <w:pPr>
        <w:rPr>
          <w:rFonts w:ascii="Arial" w:hAnsi="Arial" w:cs="Arial"/>
        </w:rPr>
      </w:pPr>
      <w:r>
        <w:rPr>
          <w:rFonts w:ascii="Arial" w:hAnsi="Arial" w:cs="Arial"/>
        </w:rPr>
        <w:t>In terms of the proposed guidelines, t</w:t>
      </w:r>
      <w:r w:rsidR="00324C49" w:rsidRPr="0012640B">
        <w:rPr>
          <w:rFonts w:ascii="Arial" w:hAnsi="Arial" w:cs="Arial"/>
        </w:rPr>
        <w:t>he</w:t>
      </w:r>
      <w:r w:rsidR="009B5F09">
        <w:rPr>
          <w:rFonts w:ascii="Arial" w:hAnsi="Arial" w:cs="Arial"/>
        </w:rPr>
        <w:t>re are no special</w:t>
      </w:r>
      <w:r w:rsidR="00324C49" w:rsidRPr="0012640B">
        <w:rPr>
          <w:rFonts w:ascii="Arial" w:hAnsi="Arial" w:cs="Arial"/>
        </w:rPr>
        <w:t xml:space="preserve"> requirements</w:t>
      </w:r>
      <w:r w:rsidR="009B5F09">
        <w:rPr>
          <w:rFonts w:ascii="Arial" w:hAnsi="Arial" w:cs="Arial"/>
        </w:rPr>
        <w:t xml:space="preserve"> for the implementation of the recommendations</w:t>
      </w:r>
      <w:r w:rsidR="00933817" w:rsidRPr="0012640B">
        <w:rPr>
          <w:rFonts w:ascii="Arial" w:hAnsi="Arial" w:cs="Arial"/>
        </w:rPr>
        <w:t xml:space="preserve">. </w:t>
      </w:r>
      <w:r w:rsidR="00A24C77">
        <w:rPr>
          <w:rFonts w:ascii="Arial" w:hAnsi="Arial" w:cs="Arial"/>
        </w:rPr>
        <w:t>However, should our first stand-</w:t>
      </w:r>
      <w:r>
        <w:rPr>
          <w:rFonts w:ascii="Arial" w:hAnsi="Arial" w:cs="Arial"/>
        </w:rPr>
        <w:t xml:space="preserve">alone recommendation be accepted, then we would most likely require a new </w:t>
      </w:r>
      <w:r w:rsidR="00A24C77">
        <w:rPr>
          <w:rFonts w:ascii="Arial" w:hAnsi="Arial" w:cs="Arial"/>
        </w:rPr>
        <w:t xml:space="preserve">group </w:t>
      </w:r>
      <w:r>
        <w:rPr>
          <w:rFonts w:ascii="Arial" w:hAnsi="Arial" w:cs="Arial"/>
        </w:rPr>
        <w:t>to consider what a notification form may look like and, to the extent that a broader framework is developed, how it fits in.</w:t>
      </w:r>
    </w:p>
    <w:p w14:paraId="673E7A05" w14:textId="77777777" w:rsidR="00D9438E" w:rsidRDefault="00410567" w:rsidP="00D9438E">
      <w:pPr>
        <w:pStyle w:val="ListParagraph"/>
        <w:numPr>
          <w:ilvl w:val="1"/>
          <w:numId w:val="5"/>
        </w:numPr>
        <w:rPr>
          <w:rFonts w:ascii="Arial" w:hAnsi="Arial" w:cs="Arial"/>
        </w:rPr>
      </w:pPr>
      <w:r>
        <w:rPr>
          <w:rFonts w:ascii="Arial" w:hAnsi="Arial" w:cs="Arial"/>
        </w:rPr>
        <w:t>Rationale for R</w:t>
      </w:r>
      <w:r w:rsidR="00D9438E" w:rsidRPr="0012640B">
        <w:rPr>
          <w:rFonts w:ascii="Arial" w:hAnsi="Arial" w:cs="Arial"/>
        </w:rPr>
        <w:t>ecommendation</w:t>
      </w:r>
      <w:r>
        <w:rPr>
          <w:rFonts w:ascii="Arial" w:hAnsi="Arial" w:cs="Arial"/>
        </w:rPr>
        <w:t>s</w:t>
      </w:r>
    </w:p>
    <w:p w14:paraId="62DC0A09" w14:textId="77777777" w:rsidR="00EE6264" w:rsidRDefault="00182E95" w:rsidP="00EE6264">
      <w:pPr>
        <w:rPr>
          <w:rFonts w:ascii="Arial" w:hAnsi="Arial" w:cs="Arial"/>
        </w:rPr>
      </w:pPr>
      <w:r>
        <w:rPr>
          <w:rFonts w:ascii="Arial" w:hAnsi="Arial" w:cs="Arial"/>
        </w:rPr>
        <w:t xml:space="preserve">The </w:t>
      </w:r>
      <w:r w:rsidR="00DA04FE">
        <w:rPr>
          <w:rFonts w:ascii="Arial" w:hAnsi="Arial" w:cs="Arial"/>
        </w:rPr>
        <w:t>sub team</w:t>
      </w:r>
      <w:r>
        <w:rPr>
          <w:rFonts w:ascii="Arial" w:hAnsi="Arial" w:cs="Arial"/>
        </w:rPr>
        <w:t xml:space="preserve"> </w:t>
      </w:r>
      <w:r w:rsidR="00EE6264" w:rsidRPr="00EE6264">
        <w:rPr>
          <w:rFonts w:ascii="Arial" w:hAnsi="Arial" w:cs="Arial"/>
        </w:rPr>
        <w:t>propose</w:t>
      </w:r>
      <w:r>
        <w:rPr>
          <w:rFonts w:ascii="Arial" w:hAnsi="Arial" w:cs="Arial"/>
        </w:rPr>
        <w:t>s</w:t>
      </w:r>
      <w:r w:rsidR="00EE6264" w:rsidRPr="00EE6264">
        <w:rPr>
          <w:rFonts w:ascii="Arial" w:hAnsi="Arial" w:cs="Arial"/>
        </w:rPr>
        <w:t xml:space="preserve"> a “minimalist” set of guidelines that will put the responsibility of putting specific processes in place by each SO/AC.  </w:t>
      </w:r>
      <w:r>
        <w:rPr>
          <w:rFonts w:ascii="Arial" w:hAnsi="Arial" w:cs="Arial"/>
        </w:rPr>
        <w:t>The will avoid i</w:t>
      </w:r>
      <w:r w:rsidR="00EE6264" w:rsidRPr="00EE6264">
        <w:rPr>
          <w:rFonts w:ascii="Arial" w:hAnsi="Arial" w:cs="Arial"/>
        </w:rPr>
        <w:t>nterfere</w:t>
      </w:r>
      <w:r>
        <w:rPr>
          <w:rFonts w:ascii="Arial" w:hAnsi="Arial" w:cs="Arial"/>
        </w:rPr>
        <w:t>nce</w:t>
      </w:r>
      <w:r w:rsidR="00EE6264" w:rsidRPr="00EE6264">
        <w:rPr>
          <w:rFonts w:ascii="Arial" w:hAnsi="Arial" w:cs="Arial"/>
        </w:rPr>
        <w:t xml:space="preserve"> in the decision making process of any particular SO/AC.  The SO/ACs may have different expectations and standards for </w:t>
      </w:r>
      <w:r>
        <w:rPr>
          <w:rFonts w:ascii="Arial" w:hAnsi="Arial" w:cs="Arial"/>
        </w:rPr>
        <w:t xml:space="preserve">Directors </w:t>
      </w:r>
      <w:r w:rsidR="00EE6264" w:rsidRPr="00EE6264">
        <w:rPr>
          <w:rFonts w:ascii="Arial" w:hAnsi="Arial" w:cs="Arial"/>
        </w:rPr>
        <w:t>who are chosen to repres</w:t>
      </w:r>
      <w:r>
        <w:rPr>
          <w:rFonts w:ascii="Arial" w:hAnsi="Arial" w:cs="Arial"/>
        </w:rPr>
        <w:t xml:space="preserve">ent them.  The guidelines </w:t>
      </w:r>
      <w:r w:rsidR="00EE6264" w:rsidRPr="00EE6264">
        <w:rPr>
          <w:rFonts w:ascii="Arial" w:hAnsi="Arial" w:cs="Arial"/>
        </w:rPr>
        <w:t xml:space="preserve">note each SO/AC </w:t>
      </w:r>
      <w:r>
        <w:rPr>
          <w:rFonts w:ascii="Arial" w:hAnsi="Arial" w:cs="Arial"/>
        </w:rPr>
        <w:t>should have</w:t>
      </w:r>
      <w:r w:rsidR="00EE6264" w:rsidRPr="00EE6264">
        <w:rPr>
          <w:rFonts w:ascii="Arial" w:hAnsi="Arial" w:cs="Arial"/>
        </w:rPr>
        <w:t xml:space="preserve"> a decision making process and the process must include a means to document the decision made, including verification and the steps taken to reach the decision.  Our thought is not to be too prescriptive but establish principles for fair and reasonable conduct for the community even if different internal standards apply for different interests.    Per the guidance from the WS1 discussions, we will not be listing specific causes of action.  Each SO/AC could have a different </w:t>
      </w:r>
      <w:r w:rsidR="00744269">
        <w:rPr>
          <w:rFonts w:ascii="Arial" w:hAnsi="Arial" w:cs="Arial"/>
        </w:rPr>
        <w:t xml:space="preserve">reason </w:t>
      </w:r>
      <w:r w:rsidR="00EE6264" w:rsidRPr="00EE6264">
        <w:rPr>
          <w:rFonts w:ascii="Arial" w:hAnsi="Arial" w:cs="Arial"/>
        </w:rPr>
        <w:t>for board removal but all SO/ACs must follow the same guidelines in order to elevate their concerns to an action for removal in good faith.  The proposed action may be subjective but should be able to be explained and accepted by others.</w:t>
      </w:r>
    </w:p>
    <w:p w14:paraId="2E79F94D" w14:textId="77777777" w:rsidR="00C35217" w:rsidRDefault="00C35217" w:rsidP="00C35217">
      <w:pPr>
        <w:pStyle w:val="ListParagraph"/>
        <w:numPr>
          <w:ilvl w:val="1"/>
          <w:numId w:val="5"/>
        </w:numPr>
        <w:rPr>
          <w:rFonts w:ascii="Arial" w:hAnsi="Arial" w:cs="Arial"/>
        </w:rPr>
      </w:pPr>
      <w:r>
        <w:rPr>
          <w:rFonts w:ascii="Arial" w:hAnsi="Arial" w:cs="Arial"/>
        </w:rPr>
        <w:t>Legal Review of Recommendations</w:t>
      </w:r>
    </w:p>
    <w:p w14:paraId="185DC662" w14:textId="59A0EF78" w:rsidR="00C35217" w:rsidRDefault="00C35217" w:rsidP="00C35217">
      <w:pPr>
        <w:rPr>
          <w:rFonts w:ascii="Arial" w:hAnsi="Arial" w:cs="Arial"/>
        </w:rPr>
      </w:pPr>
      <w:r>
        <w:rPr>
          <w:rFonts w:ascii="Arial" w:hAnsi="Arial" w:cs="Arial"/>
        </w:rPr>
        <w:lastRenderedPageBreak/>
        <w:t>The sub team submitted the recommendations to ICANN Legal for review.  We asked two questions: 1) Whether there is any conflict of interest were ICANN’s internal legal team to review the recommendations rather than independent counsel and 2) Whether the proposed recommendations would meet the thre</w:t>
      </w:r>
      <w:r w:rsidR="00A24C77">
        <w:rPr>
          <w:rFonts w:ascii="Arial" w:hAnsi="Arial" w:cs="Arial"/>
        </w:rPr>
        <w:t>shold of “good faith” that may be r</w:t>
      </w:r>
      <w:r>
        <w:rPr>
          <w:rFonts w:ascii="Arial" w:hAnsi="Arial" w:cs="Arial"/>
        </w:rPr>
        <w:t>equired under California law? Samantha Eisner, Deputy General Counsel for ICANN responded to question 1 on November 15, 2016 as follows:</w:t>
      </w:r>
    </w:p>
    <w:p w14:paraId="6090550C" w14:textId="77777777" w:rsidR="00C35217" w:rsidRPr="00C35217" w:rsidRDefault="00C35217" w:rsidP="00C35217">
      <w:pPr>
        <w:shd w:val="clear" w:color="auto" w:fill="FFFFFF"/>
        <w:rPr>
          <w:i/>
          <w:color w:val="000000"/>
          <w:sz w:val="24"/>
          <w:szCs w:val="24"/>
        </w:rPr>
      </w:pPr>
      <w:r w:rsidRPr="00C35217">
        <w:rPr>
          <w:i/>
          <w:color w:val="000000"/>
        </w:rPr>
        <w:t>There has not been any conflict assessment of this issue, and indeed no conflict arises.</w:t>
      </w:r>
    </w:p>
    <w:p w14:paraId="1C1B9716" w14:textId="77777777" w:rsidR="00C35217" w:rsidRPr="00C35217" w:rsidRDefault="00C35217" w:rsidP="00C35217">
      <w:pPr>
        <w:shd w:val="clear" w:color="auto" w:fill="FFFFFF"/>
        <w:rPr>
          <w:i/>
          <w:color w:val="000000"/>
        </w:rPr>
      </w:pPr>
      <w:r w:rsidRPr="00C35217">
        <w:rPr>
          <w:i/>
          <w:color w:val="000000"/>
        </w:rPr>
        <w:t>The ICANN legal team does not report to the Board.  The ICANN legal team's obligation is to the organization and to uphold the Bylaws.  The ICANN Bylaws now include a right of the community to directly remove Board members, and also allow for, at Section 20.2, the indemnification of community members who participate in good faith in those removal proceedings.  It is ICANN's obligation to uphold that Bylaw.</w:t>
      </w:r>
    </w:p>
    <w:p w14:paraId="697FE5C8" w14:textId="77777777" w:rsidR="00C35217" w:rsidRPr="00C35217" w:rsidRDefault="00C35217" w:rsidP="00C35217">
      <w:pPr>
        <w:shd w:val="clear" w:color="auto" w:fill="FFFFFF"/>
        <w:rPr>
          <w:i/>
          <w:color w:val="000000"/>
        </w:rPr>
      </w:pPr>
      <w:r w:rsidRPr="00C35217">
        <w:rPr>
          <w:i/>
          <w:color w:val="000000"/>
        </w:rPr>
        <w:t>Providing guidelines to the community on what "good faith" could mean in these circumstances was recommended by ICANN.  It is of benefit to all - the ICANN community, board and organization, to understand and agree upon what conduct is appropriate in these circumstances.  This is a collective - and not an adverse - effort.  The guidelines developed by the community are not expected to be overly burdensome or restrictive, but to provide some path of "if you do </w:t>
      </w:r>
      <w:r w:rsidRPr="00C35217">
        <w:rPr>
          <w:rStyle w:val="Emphasis"/>
          <w:i w:val="0"/>
          <w:color w:val="000000"/>
        </w:rPr>
        <w:t>x</w:t>
      </w:r>
      <w:proofErr w:type="gramStart"/>
      <w:r w:rsidRPr="00C35217">
        <w:rPr>
          <w:i/>
          <w:color w:val="000000"/>
        </w:rPr>
        <w:t>​ while</w:t>
      </w:r>
      <w:proofErr w:type="gramEnd"/>
      <w:r w:rsidRPr="00C35217">
        <w:rPr>
          <w:i/>
          <w:color w:val="000000"/>
        </w:rPr>
        <w:t xml:space="preserve"> participating in the conversation, that tends to demonstrate good faith".  </w:t>
      </w:r>
    </w:p>
    <w:p w14:paraId="6A9F0BBC" w14:textId="77777777" w:rsidR="00C35217" w:rsidRPr="00C35217" w:rsidRDefault="00C35217" w:rsidP="00C35217">
      <w:pPr>
        <w:shd w:val="clear" w:color="auto" w:fill="FFFFFF"/>
        <w:rPr>
          <w:i/>
          <w:color w:val="000000"/>
        </w:rPr>
      </w:pPr>
      <w:r w:rsidRPr="00C35217">
        <w:rPr>
          <w:i/>
          <w:color w:val="000000"/>
        </w:rPr>
        <w:t>There could be concerns, of course, depending on how the guidelines are drafted, as to whether they meet the requirements of law.  For example, a guideline that suggests that "good faith" participation allows willful avoidance of facts (which, of course, is not part of the group's deliberations to date) should not be acceptable to any attorney reviewing the document, whether they are with ICANN's legal department or external.  It will also be very important to understand if the ICANN legal department identifies any potential legal issues with the text as drafted, as that could impact whether the Board is in a position to accept the recommendation based on issues of legality.</w:t>
      </w:r>
    </w:p>
    <w:p w14:paraId="72922294" w14:textId="77777777" w:rsidR="00C35217" w:rsidRPr="003E17AD" w:rsidRDefault="00C35217" w:rsidP="00C35217">
      <w:pPr>
        <w:shd w:val="clear" w:color="auto" w:fill="FFFFFF"/>
        <w:rPr>
          <w:color w:val="000000"/>
          <w:sz w:val="24"/>
          <w:szCs w:val="24"/>
        </w:rPr>
      </w:pPr>
      <w:r w:rsidRPr="00C35217">
        <w:rPr>
          <w:i/>
          <w:color w:val="000000"/>
        </w:rPr>
        <w:t>We recommend, as a starting point, that the guidelines be presented to the ICANN legal department for review. If it were to occur that the ICANN legal department raises a challenge to any of the guidelines, and it is believed by those participating in the discussion that there would be a benefit to obtain additional advice or a different viewpoint, that might be an appropriate point for reference to external counsel.</w:t>
      </w:r>
      <w:r w:rsidR="003E17AD">
        <w:rPr>
          <w:i/>
          <w:color w:val="000000"/>
        </w:rPr>
        <w:t xml:space="preserve"> </w:t>
      </w:r>
      <w:r w:rsidR="003E17AD">
        <w:rPr>
          <w:rStyle w:val="FootnoteReference"/>
          <w:i/>
          <w:color w:val="000000"/>
        </w:rPr>
        <w:footnoteReference w:id="6"/>
      </w:r>
    </w:p>
    <w:p w14:paraId="6B458E8F" w14:textId="0A735C61" w:rsidR="00C35217" w:rsidRDefault="00C35217" w:rsidP="00C35217">
      <w:pPr>
        <w:rPr>
          <w:rFonts w:ascii="Arial" w:hAnsi="Arial" w:cs="Arial"/>
        </w:rPr>
      </w:pPr>
      <w:r>
        <w:rPr>
          <w:rFonts w:ascii="Arial" w:hAnsi="Arial" w:cs="Arial"/>
        </w:rPr>
        <w:t>With regard to question 2, ICA</w:t>
      </w:r>
      <w:r w:rsidR="00A24C77">
        <w:rPr>
          <w:rFonts w:ascii="Arial" w:hAnsi="Arial" w:cs="Arial"/>
        </w:rPr>
        <w:t xml:space="preserve">NN Legal has advised that they </w:t>
      </w:r>
      <w:r w:rsidR="003E17AD" w:rsidRPr="00A24C77">
        <w:rPr>
          <w:rFonts w:ascii="Arial" w:hAnsi="Arial" w:cs="Arial"/>
          <w:i/>
        </w:rPr>
        <w:t xml:space="preserve">don’t see any concerns or conflicts between the recommendations of the report and understand practices of </w:t>
      </w:r>
      <w:r w:rsidR="00A24C77">
        <w:rPr>
          <w:rFonts w:ascii="Arial" w:hAnsi="Arial" w:cs="Arial"/>
          <w:i/>
        </w:rPr>
        <w:t>“</w:t>
      </w:r>
      <w:r w:rsidR="003E17AD" w:rsidRPr="00A24C77">
        <w:rPr>
          <w:rFonts w:ascii="Arial" w:hAnsi="Arial" w:cs="Arial"/>
          <w:i/>
        </w:rPr>
        <w:t>good faith</w:t>
      </w:r>
      <w:r w:rsidR="00A24C77">
        <w:rPr>
          <w:rFonts w:ascii="Arial" w:hAnsi="Arial" w:cs="Arial"/>
          <w:i/>
        </w:rPr>
        <w:t>”</w:t>
      </w:r>
      <w:r w:rsidR="00A24C77" w:rsidRPr="00A24C77">
        <w:rPr>
          <w:rFonts w:ascii="Arial" w:hAnsi="Arial" w:cs="Arial"/>
          <w:i/>
        </w:rPr>
        <w:t xml:space="preserve"> conduct</w:t>
      </w:r>
      <w:r w:rsidR="00A24C77">
        <w:rPr>
          <w:rFonts w:ascii="Arial" w:hAnsi="Arial" w:cs="Arial"/>
        </w:rPr>
        <w:t>.</w:t>
      </w:r>
      <w:r w:rsidR="00EF3204">
        <w:rPr>
          <w:rStyle w:val="FootnoteReference"/>
          <w:rFonts w:ascii="Arial" w:hAnsi="Arial" w:cs="Arial"/>
        </w:rPr>
        <w:footnoteReference w:id="7"/>
      </w:r>
    </w:p>
    <w:p w14:paraId="667AFB75" w14:textId="77777777" w:rsidR="00D9438E" w:rsidRDefault="00D9438E" w:rsidP="00D9438E">
      <w:pPr>
        <w:pStyle w:val="ListParagraph"/>
        <w:numPr>
          <w:ilvl w:val="0"/>
          <w:numId w:val="5"/>
        </w:numPr>
        <w:rPr>
          <w:rFonts w:ascii="Arial" w:hAnsi="Arial" w:cs="Arial"/>
        </w:rPr>
      </w:pPr>
      <w:r w:rsidRPr="0012640B">
        <w:rPr>
          <w:rFonts w:ascii="Arial" w:hAnsi="Arial" w:cs="Arial"/>
        </w:rPr>
        <w:t>Assessment of Recommendations</w:t>
      </w:r>
    </w:p>
    <w:p w14:paraId="170DACEB" w14:textId="77777777" w:rsidR="00623F77" w:rsidRPr="0012640B" w:rsidRDefault="00623F77" w:rsidP="00623F77">
      <w:pPr>
        <w:pStyle w:val="ListParagraph"/>
        <w:rPr>
          <w:rFonts w:ascii="Arial" w:hAnsi="Arial" w:cs="Arial"/>
        </w:rPr>
      </w:pPr>
    </w:p>
    <w:p w14:paraId="02AF7F0E" w14:textId="77777777" w:rsidR="00D9438E" w:rsidRDefault="00D9438E" w:rsidP="00D9438E">
      <w:pPr>
        <w:pStyle w:val="ListParagraph"/>
        <w:numPr>
          <w:ilvl w:val="1"/>
          <w:numId w:val="5"/>
        </w:numPr>
        <w:rPr>
          <w:rFonts w:ascii="Arial" w:hAnsi="Arial" w:cs="Arial"/>
        </w:rPr>
      </w:pPr>
      <w:r w:rsidRPr="0012640B">
        <w:rPr>
          <w:rFonts w:ascii="Arial" w:hAnsi="Arial" w:cs="Arial"/>
        </w:rPr>
        <w:lastRenderedPageBreak/>
        <w:t>How do the recommendations meet the NTIA criteria?</w:t>
      </w:r>
    </w:p>
    <w:p w14:paraId="06180E57" w14:textId="58AE7278" w:rsidR="00623F77" w:rsidRPr="0012640B" w:rsidRDefault="000651C4" w:rsidP="000651C4">
      <w:pPr>
        <w:rPr>
          <w:rFonts w:ascii="Arial" w:hAnsi="Arial" w:cs="Arial"/>
        </w:rPr>
      </w:pPr>
      <w:r>
        <w:rPr>
          <w:rFonts w:ascii="Arial" w:hAnsi="Arial" w:cs="Arial"/>
        </w:rPr>
        <w:t>The guidelines assist the community with the implementation of Recommendation #</w:t>
      </w:r>
      <w:proofErr w:type="gramStart"/>
      <w:r>
        <w:rPr>
          <w:rFonts w:ascii="Arial" w:hAnsi="Arial" w:cs="Arial"/>
        </w:rPr>
        <w:t>2,</w:t>
      </w:r>
      <w:proofErr w:type="gramEnd"/>
      <w:r>
        <w:rPr>
          <w:rFonts w:ascii="Arial" w:hAnsi="Arial" w:cs="Arial"/>
        </w:rPr>
        <w:t xml:space="preserve"> they are consistent with rationale in support of NTIA requirements as more specifically described in Annex 02.</w:t>
      </w:r>
      <w:r w:rsidRPr="000651C4">
        <w:rPr>
          <w:rStyle w:val="FootnoteReference"/>
          <w:rFonts w:ascii="Arial" w:hAnsi="Arial" w:cs="Arial"/>
        </w:rPr>
        <w:t xml:space="preserve"> </w:t>
      </w:r>
      <w:r>
        <w:rPr>
          <w:rStyle w:val="FootnoteReference"/>
          <w:rFonts w:ascii="Arial" w:hAnsi="Arial" w:cs="Arial"/>
        </w:rPr>
        <w:footnoteReference w:id="8"/>
      </w:r>
      <w:r>
        <w:rPr>
          <w:rFonts w:ascii="Arial" w:hAnsi="Arial" w:cs="Arial"/>
        </w:rPr>
        <w:t xml:space="preserve">  With regard to</w:t>
      </w:r>
      <w:r w:rsidR="006E4A2D">
        <w:rPr>
          <w:rFonts w:ascii="Arial" w:hAnsi="Arial" w:cs="Arial"/>
        </w:rPr>
        <w:t xml:space="preserve"> the fifth articulated criterion</w:t>
      </w:r>
      <w:r>
        <w:rPr>
          <w:rFonts w:ascii="Arial" w:hAnsi="Arial" w:cs="Arial"/>
        </w:rPr>
        <w:t xml:space="preserve">, the NTIA did not play a role in Director </w:t>
      </w:r>
      <w:proofErr w:type="gramStart"/>
      <w:r>
        <w:rPr>
          <w:rFonts w:ascii="Arial" w:hAnsi="Arial" w:cs="Arial"/>
        </w:rPr>
        <w:t>removal</w:t>
      </w:r>
      <w:proofErr w:type="gramEnd"/>
      <w:r>
        <w:rPr>
          <w:rFonts w:ascii="Arial" w:hAnsi="Arial" w:cs="Arial"/>
        </w:rPr>
        <w:t>.  There is no specific role to replace.</w:t>
      </w:r>
    </w:p>
    <w:p w14:paraId="63EAC957" w14:textId="77777777" w:rsidR="00D9438E" w:rsidRDefault="00D9438E" w:rsidP="00D9438E">
      <w:pPr>
        <w:pStyle w:val="ListParagraph"/>
        <w:numPr>
          <w:ilvl w:val="1"/>
          <w:numId w:val="5"/>
        </w:numPr>
        <w:rPr>
          <w:rFonts w:ascii="Arial" w:hAnsi="Arial" w:cs="Arial"/>
        </w:rPr>
      </w:pPr>
      <w:r w:rsidRPr="0012640B">
        <w:rPr>
          <w:rFonts w:ascii="Arial" w:hAnsi="Arial" w:cs="Arial"/>
        </w:rPr>
        <w:t>Are the recommendations compliant with WS1 recommendations?</w:t>
      </w:r>
    </w:p>
    <w:p w14:paraId="413AEF1D" w14:textId="77777777" w:rsidR="00EF3204" w:rsidRPr="0012640B" w:rsidRDefault="00EF3204" w:rsidP="00EF3204">
      <w:pPr>
        <w:pStyle w:val="ListParagraph"/>
        <w:ind w:left="1440"/>
        <w:rPr>
          <w:rFonts w:ascii="Arial" w:hAnsi="Arial" w:cs="Arial"/>
        </w:rPr>
      </w:pPr>
    </w:p>
    <w:p w14:paraId="0CF40394" w14:textId="77777777" w:rsidR="00AA34B3" w:rsidRDefault="00AA34B3" w:rsidP="00AA34B3">
      <w:pPr>
        <w:pStyle w:val="ListParagraph"/>
        <w:numPr>
          <w:ilvl w:val="2"/>
          <w:numId w:val="5"/>
        </w:numPr>
        <w:rPr>
          <w:rFonts w:ascii="Arial" w:hAnsi="Arial" w:cs="Arial"/>
        </w:rPr>
      </w:pPr>
      <w:r w:rsidRPr="0012640B">
        <w:rPr>
          <w:rFonts w:ascii="Arial" w:hAnsi="Arial" w:cs="Arial"/>
        </w:rPr>
        <w:t>Annex 02 – Recommendation #2: Empowering the Community through Consensus: Engagement, Escalation, Enforcement</w:t>
      </w:r>
      <w:r w:rsidRPr="0012640B">
        <w:rPr>
          <w:rStyle w:val="FootnoteReference"/>
          <w:rFonts w:ascii="Arial" w:hAnsi="Arial" w:cs="Arial"/>
        </w:rPr>
        <w:footnoteReference w:id="9"/>
      </w:r>
    </w:p>
    <w:p w14:paraId="083A08A8" w14:textId="77777777" w:rsidR="008C72B7" w:rsidRPr="0012640B" w:rsidRDefault="008C72B7" w:rsidP="008C72B7">
      <w:pPr>
        <w:pStyle w:val="ListParagraph"/>
        <w:ind w:left="2160"/>
        <w:rPr>
          <w:rFonts w:ascii="Arial" w:hAnsi="Arial" w:cs="Arial"/>
        </w:rPr>
      </w:pPr>
    </w:p>
    <w:p w14:paraId="356AB7E0" w14:textId="77777777" w:rsidR="008C72B7" w:rsidRDefault="008C72B7" w:rsidP="00AA34B3">
      <w:pPr>
        <w:pStyle w:val="ListParagraph"/>
        <w:numPr>
          <w:ilvl w:val="3"/>
          <w:numId w:val="5"/>
        </w:numPr>
        <w:rPr>
          <w:rFonts w:ascii="Arial" w:hAnsi="Arial" w:cs="Arial"/>
        </w:rPr>
      </w:pPr>
      <w:r>
        <w:rPr>
          <w:rFonts w:ascii="Arial" w:hAnsi="Arial" w:cs="Arial"/>
        </w:rPr>
        <w:t>Engagement</w:t>
      </w:r>
    </w:p>
    <w:p w14:paraId="5A1CD19C" w14:textId="77777777" w:rsidR="008C72B7" w:rsidRDefault="008C72B7" w:rsidP="008C72B7">
      <w:pPr>
        <w:rPr>
          <w:rFonts w:ascii="Arial" w:hAnsi="Arial" w:cs="Arial"/>
        </w:rPr>
      </w:pPr>
      <w:r>
        <w:rPr>
          <w:rFonts w:ascii="Arial" w:hAnsi="Arial" w:cs="Arial"/>
        </w:rPr>
        <w:t>The recommendations are focused on the escalation phase when engagement has failed to produce a desired outcome for the community.</w:t>
      </w:r>
    </w:p>
    <w:p w14:paraId="1EA22138" w14:textId="77777777" w:rsidR="008C72B7" w:rsidRPr="008C72B7" w:rsidRDefault="00AA34B3" w:rsidP="008C72B7">
      <w:pPr>
        <w:pStyle w:val="ListParagraph"/>
        <w:numPr>
          <w:ilvl w:val="3"/>
          <w:numId w:val="5"/>
        </w:numPr>
        <w:rPr>
          <w:rFonts w:ascii="Arial" w:hAnsi="Arial" w:cs="Arial"/>
        </w:rPr>
      </w:pPr>
      <w:r w:rsidRPr="008C72B7">
        <w:rPr>
          <w:rFonts w:ascii="Arial" w:hAnsi="Arial" w:cs="Arial"/>
        </w:rPr>
        <w:t>Escalation</w:t>
      </w:r>
    </w:p>
    <w:p w14:paraId="4CE12920" w14:textId="77777777" w:rsidR="00AA34B3" w:rsidRPr="008C72B7" w:rsidRDefault="008C72B7" w:rsidP="008C72B7">
      <w:pPr>
        <w:rPr>
          <w:rFonts w:ascii="Arial" w:hAnsi="Arial" w:cs="Arial"/>
        </w:rPr>
      </w:pPr>
      <w:r>
        <w:rPr>
          <w:rFonts w:ascii="Arial" w:hAnsi="Arial" w:cs="Arial"/>
        </w:rPr>
        <w:t>T</w:t>
      </w:r>
      <w:r w:rsidRPr="008C72B7">
        <w:rPr>
          <w:rFonts w:ascii="Arial" w:hAnsi="Arial" w:cs="Arial"/>
        </w:rPr>
        <w:t xml:space="preserve">he recommendations focus on the escalation portion of the report.  They </w:t>
      </w:r>
      <w:r>
        <w:rPr>
          <w:rFonts w:ascii="Arial" w:hAnsi="Arial" w:cs="Arial"/>
        </w:rPr>
        <w:t>provide a frame work for for</w:t>
      </w:r>
      <w:r w:rsidRPr="008C72B7">
        <w:rPr>
          <w:rFonts w:ascii="Arial" w:hAnsi="Arial" w:cs="Arial"/>
        </w:rPr>
        <w:t>mulating a rational approach to raising the discussion of Board removal while providing the SO/AC’s latitude for their own internal decision</w:t>
      </w:r>
      <w:r>
        <w:rPr>
          <w:rFonts w:ascii="Arial" w:hAnsi="Arial" w:cs="Arial"/>
        </w:rPr>
        <w:t xml:space="preserve"> mak</w:t>
      </w:r>
      <w:r w:rsidRPr="008C72B7">
        <w:rPr>
          <w:rFonts w:ascii="Arial" w:hAnsi="Arial" w:cs="Arial"/>
        </w:rPr>
        <w:t>ing.</w:t>
      </w:r>
      <w:r w:rsidR="00D123DC">
        <w:rPr>
          <w:rFonts w:ascii="Arial" w:hAnsi="Arial" w:cs="Arial"/>
        </w:rPr>
        <w:t xml:space="preserve">  It will be up to each Decisional Participant to convince other DP’s t</w:t>
      </w:r>
      <w:r w:rsidR="00623F77">
        <w:rPr>
          <w:rFonts w:ascii="Arial" w:hAnsi="Arial" w:cs="Arial"/>
        </w:rPr>
        <w:t xml:space="preserve">hat </w:t>
      </w:r>
      <w:r w:rsidR="00D123DC">
        <w:rPr>
          <w:rFonts w:ascii="Arial" w:hAnsi="Arial" w:cs="Arial"/>
        </w:rPr>
        <w:t>escalation and, ultimately enforcement, are necessary.   In the case of an individual SO/AC, the guidelines will assist the voting process that requires a majority in order for the escalation to move to the Community Forum phase.</w:t>
      </w:r>
    </w:p>
    <w:p w14:paraId="74F38AE9" w14:textId="77777777" w:rsidR="008C72B7" w:rsidRDefault="008C72B7" w:rsidP="00AA34B3">
      <w:pPr>
        <w:pStyle w:val="ListParagraph"/>
        <w:numPr>
          <w:ilvl w:val="3"/>
          <w:numId w:val="5"/>
        </w:numPr>
        <w:rPr>
          <w:rFonts w:ascii="Arial" w:hAnsi="Arial" w:cs="Arial"/>
        </w:rPr>
      </w:pPr>
      <w:r>
        <w:rPr>
          <w:rFonts w:ascii="Arial" w:hAnsi="Arial" w:cs="Arial"/>
        </w:rPr>
        <w:t xml:space="preserve">Enforcement </w:t>
      </w:r>
    </w:p>
    <w:p w14:paraId="3E250820" w14:textId="77777777" w:rsidR="00D9438E" w:rsidRPr="0012640B" w:rsidRDefault="008C72B7" w:rsidP="00D9438E">
      <w:pPr>
        <w:rPr>
          <w:rFonts w:ascii="Arial" w:hAnsi="Arial" w:cs="Arial"/>
        </w:rPr>
      </w:pPr>
      <w:r>
        <w:rPr>
          <w:rFonts w:ascii="Arial" w:hAnsi="Arial" w:cs="Arial"/>
        </w:rPr>
        <w:t>As per the WS1 report, escalation is a prerequisite for enforcement.  If the guidelines are followed, then the Decisional Participants will hav</w:t>
      </w:r>
      <w:r w:rsidR="00D123DC">
        <w:rPr>
          <w:rFonts w:ascii="Arial" w:hAnsi="Arial" w:cs="Arial"/>
        </w:rPr>
        <w:t>e the tools to enforce provided</w:t>
      </w:r>
      <w:r>
        <w:rPr>
          <w:rFonts w:ascii="Arial" w:hAnsi="Arial" w:cs="Arial"/>
        </w:rPr>
        <w:t xml:space="preserve"> </w:t>
      </w:r>
      <w:r w:rsidR="00D123DC">
        <w:rPr>
          <w:rFonts w:ascii="Arial" w:hAnsi="Arial" w:cs="Arial"/>
        </w:rPr>
        <w:t xml:space="preserve">that </w:t>
      </w:r>
      <w:r>
        <w:rPr>
          <w:rFonts w:ascii="Arial" w:hAnsi="Arial" w:cs="Arial"/>
        </w:rPr>
        <w:t>the</w:t>
      </w:r>
      <w:r w:rsidR="00623F77">
        <w:rPr>
          <w:rFonts w:ascii="Arial" w:hAnsi="Arial" w:cs="Arial"/>
        </w:rPr>
        <w:t xml:space="preserve"> escalation has not resulted in a satisfactory resolution</w:t>
      </w:r>
      <w:r>
        <w:rPr>
          <w:rFonts w:ascii="Arial" w:hAnsi="Arial" w:cs="Arial"/>
        </w:rPr>
        <w:t xml:space="preserve">.  </w:t>
      </w:r>
      <w:r w:rsidR="00623F77">
        <w:rPr>
          <w:rFonts w:ascii="Arial" w:hAnsi="Arial" w:cs="Arial"/>
        </w:rPr>
        <w:t>In that case,</w:t>
      </w:r>
      <w:r>
        <w:rPr>
          <w:rFonts w:ascii="Arial" w:hAnsi="Arial" w:cs="Arial"/>
        </w:rPr>
        <w:t xml:space="preserve"> the preparation will have been done in “good faith” and </w:t>
      </w:r>
      <w:r w:rsidR="00D123DC">
        <w:rPr>
          <w:rFonts w:ascii="Arial" w:hAnsi="Arial" w:cs="Arial"/>
        </w:rPr>
        <w:t>the indemnification will apply.</w:t>
      </w:r>
    </w:p>
    <w:p w14:paraId="2DB59AA7" w14:textId="77777777" w:rsidR="000A420F" w:rsidRPr="0012640B" w:rsidRDefault="000A420F" w:rsidP="000A420F">
      <w:pPr>
        <w:rPr>
          <w:rFonts w:ascii="Arial" w:hAnsi="Arial" w:cs="Arial"/>
        </w:rPr>
      </w:pPr>
    </w:p>
    <w:p w14:paraId="2AFAC924" w14:textId="77777777" w:rsidR="000A420F" w:rsidRPr="0012640B" w:rsidRDefault="000A420F" w:rsidP="000A420F">
      <w:pPr>
        <w:rPr>
          <w:rFonts w:ascii="Arial" w:hAnsi="Arial" w:cs="Arial"/>
        </w:rPr>
      </w:pPr>
      <w:r w:rsidRPr="0012640B">
        <w:rPr>
          <w:rFonts w:ascii="Arial" w:hAnsi="Arial" w:cs="Arial"/>
        </w:rPr>
        <w:t>Respectfully submitted,</w:t>
      </w:r>
    </w:p>
    <w:p w14:paraId="72034710" w14:textId="77777777" w:rsidR="000A420F" w:rsidRPr="0012640B" w:rsidRDefault="000A420F" w:rsidP="000A420F">
      <w:pPr>
        <w:rPr>
          <w:rFonts w:ascii="Arial" w:hAnsi="Arial" w:cs="Arial"/>
        </w:rPr>
      </w:pPr>
      <w:r w:rsidRPr="0012640B">
        <w:rPr>
          <w:rFonts w:ascii="Arial" w:hAnsi="Arial" w:cs="Arial"/>
        </w:rPr>
        <w:t>Lori S. Schulman, Esq.</w:t>
      </w:r>
    </w:p>
    <w:p w14:paraId="02CA1A9E" w14:textId="77777777" w:rsidR="001746B9" w:rsidRPr="0012640B" w:rsidRDefault="000A420F" w:rsidP="000A420F">
      <w:pPr>
        <w:rPr>
          <w:rFonts w:ascii="Arial" w:hAnsi="Arial" w:cs="Arial"/>
        </w:rPr>
      </w:pPr>
      <w:r w:rsidRPr="0012640B">
        <w:rPr>
          <w:rFonts w:ascii="Arial" w:hAnsi="Arial" w:cs="Arial"/>
        </w:rPr>
        <w:t>Rapporteur</w:t>
      </w:r>
    </w:p>
    <w:p w14:paraId="1E6BBECC" w14:textId="77777777" w:rsidR="001746B9" w:rsidRPr="0012640B" w:rsidRDefault="001746B9">
      <w:pPr>
        <w:rPr>
          <w:rFonts w:ascii="Arial" w:hAnsi="Arial" w:cs="Arial"/>
        </w:rPr>
      </w:pPr>
      <w:r w:rsidRPr="0012640B">
        <w:rPr>
          <w:rFonts w:ascii="Arial" w:hAnsi="Arial" w:cs="Arial"/>
        </w:rPr>
        <w:br w:type="page"/>
      </w:r>
    </w:p>
    <w:p w14:paraId="26834FB6" w14:textId="77777777" w:rsidR="000A420F" w:rsidRPr="0012640B" w:rsidRDefault="006E4A2D" w:rsidP="00324C49">
      <w:pPr>
        <w:jc w:val="center"/>
        <w:rPr>
          <w:rFonts w:ascii="Arial" w:hAnsi="Arial" w:cs="Arial"/>
        </w:rPr>
      </w:pPr>
      <w:r>
        <w:rPr>
          <w:rFonts w:ascii="Arial" w:hAnsi="Arial" w:cs="Arial"/>
        </w:rPr>
        <w:lastRenderedPageBreak/>
        <w:t xml:space="preserve">Table </w:t>
      </w:r>
      <w:r w:rsidR="00324C49" w:rsidRPr="0012640B">
        <w:rPr>
          <w:rFonts w:ascii="Arial" w:hAnsi="Arial" w:cs="Arial"/>
        </w:rPr>
        <w:t xml:space="preserve">of </w:t>
      </w:r>
      <w:r w:rsidR="0012640B" w:rsidRPr="0012640B">
        <w:rPr>
          <w:rFonts w:ascii="Arial" w:hAnsi="Arial" w:cs="Arial"/>
        </w:rPr>
        <w:t>References</w:t>
      </w:r>
    </w:p>
    <w:p w14:paraId="1695BB0F" w14:textId="77777777" w:rsidR="00D623E0" w:rsidRPr="0012640B" w:rsidRDefault="00D623E0" w:rsidP="00D623E0">
      <w:pPr>
        <w:jc w:val="center"/>
        <w:rPr>
          <w:rFonts w:ascii="Arial" w:hAnsi="Arial" w:cs="Arial"/>
        </w:rPr>
      </w:pPr>
    </w:p>
    <w:p w14:paraId="0935DBEF" w14:textId="77777777" w:rsidR="000A420F" w:rsidRPr="0012640B" w:rsidRDefault="00933817" w:rsidP="000A420F">
      <w:pPr>
        <w:rPr>
          <w:rFonts w:ascii="Arial" w:hAnsi="Arial" w:cs="Arial"/>
        </w:rPr>
      </w:pPr>
      <w:r w:rsidRPr="0012640B">
        <w:rPr>
          <w:rFonts w:ascii="Arial" w:hAnsi="Arial" w:cs="Arial"/>
        </w:rPr>
        <w:t xml:space="preserve">1. </w:t>
      </w:r>
      <w:r w:rsidR="00324C49" w:rsidRPr="0012640B">
        <w:rPr>
          <w:rFonts w:ascii="Arial" w:hAnsi="Arial" w:cs="Arial"/>
        </w:rPr>
        <w:t>Guidelines Issue Paper prepared by ICANN staff</w:t>
      </w:r>
    </w:p>
    <w:p w14:paraId="72431D1D" w14:textId="77777777" w:rsidR="00324C49" w:rsidRPr="0012640B" w:rsidRDefault="00324C49" w:rsidP="000A420F">
      <w:pPr>
        <w:rPr>
          <w:rFonts w:ascii="Arial" w:hAnsi="Arial" w:cs="Arial"/>
        </w:rPr>
      </w:pPr>
      <w:r w:rsidRPr="0012640B">
        <w:rPr>
          <w:rFonts w:ascii="Arial" w:hAnsi="Arial" w:cs="Arial"/>
        </w:rPr>
        <w:t>https://community.icann.org/display/WEIA/Guidelines+for+Good+Faith+Conduct?preview=/59643294/59649262/GuidelinesIssuePaper.pdf</w:t>
      </w:r>
    </w:p>
    <w:p w14:paraId="13C0D1B5" w14:textId="77777777" w:rsidR="00E33462" w:rsidRPr="0012640B" w:rsidRDefault="00933817" w:rsidP="000A420F">
      <w:pPr>
        <w:rPr>
          <w:rFonts w:ascii="Arial" w:hAnsi="Arial" w:cs="Arial"/>
        </w:rPr>
      </w:pPr>
      <w:r w:rsidRPr="0012640B">
        <w:rPr>
          <w:rFonts w:ascii="Arial" w:hAnsi="Arial" w:cs="Arial"/>
        </w:rPr>
        <w:t>2.  ICANN Bylaws as Amended October 1, 2016</w:t>
      </w:r>
    </w:p>
    <w:p w14:paraId="6739BD15" w14:textId="77777777" w:rsidR="00933817" w:rsidRPr="0012640B" w:rsidRDefault="00FB028A" w:rsidP="000A420F">
      <w:pPr>
        <w:rPr>
          <w:rFonts w:ascii="Arial" w:hAnsi="Arial" w:cs="Arial"/>
        </w:rPr>
      </w:pPr>
      <w:hyperlink r:id="rId10" w:history="1">
        <w:r w:rsidR="00933817" w:rsidRPr="0012640B">
          <w:rPr>
            <w:rStyle w:val="Hyperlink"/>
            <w:rFonts w:ascii="Arial" w:hAnsi="Arial" w:cs="Arial"/>
          </w:rPr>
          <w:t>https://www.icann.org/resources/pages/governance/bylaws-en</w:t>
        </w:r>
      </w:hyperlink>
    </w:p>
    <w:p w14:paraId="2D17AE8A" w14:textId="77777777" w:rsidR="00933817" w:rsidRPr="0012640B" w:rsidRDefault="0012640B" w:rsidP="000A420F">
      <w:pPr>
        <w:rPr>
          <w:rFonts w:ascii="Arial" w:hAnsi="Arial" w:cs="Arial"/>
        </w:rPr>
      </w:pPr>
      <w:r w:rsidRPr="0012640B">
        <w:rPr>
          <w:rFonts w:ascii="Arial" w:hAnsi="Arial" w:cs="Arial"/>
        </w:rPr>
        <w:t xml:space="preserve">3. CCWG-Accountability </w:t>
      </w:r>
      <w:r w:rsidR="00DA04FE" w:rsidRPr="0012640B">
        <w:rPr>
          <w:rFonts w:ascii="Arial" w:hAnsi="Arial" w:cs="Arial"/>
        </w:rPr>
        <w:t>Supplemental</w:t>
      </w:r>
      <w:r w:rsidRPr="0012640B">
        <w:rPr>
          <w:rFonts w:ascii="Arial" w:hAnsi="Arial" w:cs="Arial"/>
        </w:rPr>
        <w:t xml:space="preserve"> Final Proposal on Work Stream 1 Recommendations</w:t>
      </w:r>
    </w:p>
    <w:p w14:paraId="008FAACB" w14:textId="77777777" w:rsidR="0012640B" w:rsidRPr="0012640B" w:rsidRDefault="0012640B" w:rsidP="000A420F">
      <w:pPr>
        <w:rPr>
          <w:rFonts w:ascii="Arial" w:hAnsi="Arial" w:cs="Arial"/>
        </w:rPr>
      </w:pPr>
      <w:r w:rsidRPr="0012640B">
        <w:rPr>
          <w:rFonts w:ascii="Arial" w:hAnsi="Arial" w:cs="Arial"/>
        </w:rPr>
        <w:t>https://www.icann.org/en/system/files/files/ccwg-accountability-supp-proposal-work-stream-1-recs-23feb16-en.pdf</w:t>
      </w:r>
    </w:p>
    <w:sectPr w:rsidR="0012640B" w:rsidRPr="0012640B" w:rsidSect="00D9438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AlanGreenberg" w:date="2017-01-29T00:30:00Z" w:initials="AG">
    <w:p w14:paraId="63AB9725" w14:textId="3A22E053" w:rsidR="002F111A" w:rsidRDefault="002F111A">
      <w:pPr>
        <w:pStyle w:val="CommentText"/>
      </w:pPr>
      <w:r>
        <w:rPr>
          <w:rStyle w:val="CommentReference"/>
        </w:rPr>
        <w:annotationRef/>
      </w:r>
      <w:r>
        <w:t>Perhaps I am being picky, but the power comes with being part of the EC, not the choosing, as there may be a time-lag between the two.</w:t>
      </w:r>
    </w:p>
  </w:comment>
  <w:comment w:id="5" w:author="AlanGreenberg" w:date="2017-01-29T00:34:00Z" w:initials="AG">
    <w:p w14:paraId="67049323" w14:textId="2DF35BF3" w:rsidR="002F111A" w:rsidRDefault="002F111A">
      <w:pPr>
        <w:pStyle w:val="CommentText"/>
      </w:pPr>
      <w:r>
        <w:t>I think we need to be clear on who is doing the believing. “</w:t>
      </w:r>
      <w:proofErr w:type="gramStart"/>
      <w:r>
        <w:t>be</w:t>
      </w:r>
      <w:proofErr w:type="gramEnd"/>
      <w:r>
        <w:rPr>
          <w:rStyle w:val="CommentReference"/>
        </w:rPr>
        <w:annotationRef/>
      </w:r>
      <w:r>
        <w:t xml:space="preserve"> believed by the </w:t>
      </w:r>
      <w:r w:rsidRPr="002F111A">
        <w:t>Indemnified Party</w:t>
      </w:r>
      <w:r>
        <w:t xml:space="preserve"> to be true” addresses this I think. </w:t>
      </w:r>
    </w:p>
  </w:comment>
  <w:comment w:id="6" w:author="AlanGreenberg" w:date="2017-01-29T00:37:00Z" w:initials="AG">
    <w:p w14:paraId="13CC9DA1" w14:textId="2EFD9F23" w:rsidR="00A266DA" w:rsidRDefault="00A266DA">
      <w:pPr>
        <w:pStyle w:val="CommentText"/>
      </w:pPr>
      <w:r>
        <w:rPr>
          <w:rStyle w:val="CommentReference"/>
        </w:rPr>
        <w:annotationRef/>
      </w:r>
      <w:r>
        <w:t>I thought we were going to include a footnote saying that this does not preclude the use of a secret ballot.</w:t>
      </w:r>
    </w:p>
  </w:comment>
  <w:comment w:id="7" w:author="AlanGreenberg" w:date="2017-01-29T00:40:00Z" w:initials="AG">
    <w:p w14:paraId="52CEBF9B" w14:textId="0A83C3AB" w:rsidR="00A266DA" w:rsidRDefault="00A266DA">
      <w:pPr>
        <w:pStyle w:val="CommentText"/>
      </w:pPr>
      <w:r>
        <w:rPr>
          <w:rStyle w:val="CommentReference"/>
        </w:rPr>
        <w:annotationRef/>
      </w:r>
      <w:r>
        <w:t xml:space="preserve">I </w:t>
      </w:r>
      <w:proofErr w:type="spellStart"/>
      <w:r>
        <w:t>wasgoing</w:t>
      </w:r>
      <w:proofErr w:type="spellEnd"/>
      <w:r>
        <w:t xml:space="preserve"> to suggest that we replace “form” with “form/process”, but I see that at the end of the paragraph you use the word “framework”, and I think that is better than either alternative. I replacing “form” with “framework” in the first two sentences.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E66652" w14:textId="77777777" w:rsidR="00FB028A" w:rsidRDefault="00FB028A" w:rsidP="00D9438E">
      <w:pPr>
        <w:spacing w:after="0" w:line="240" w:lineRule="auto"/>
      </w:pPr>
      <w:r>
        <w:separator/>
      </w:r>
    </w:p>
  </w:endnote>
  <w:endnote w:type="continuationSeparator" w:id="0">
    <w:p w14:paraId="77112F1F" w14:textId="77777777" w:rsidR="00FB028A" w:rsidRDefault="00FB028A" w:rsidP="00D94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E36211" w14:textId="77777777" w:rsidR="009E31C3" w:rsidRDefault="009E31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8277551"/>
      <w:docPartObj>
        <w:docPartGallery w:val="Page Numbers (Bottom of Page)"/>
        <w:docPartUnique/>
      </w:docPartObj>
    </w:sdtPr>
    <w:sdtEndPr>
      <w:rPr>
        <w:color w:val="7F7F7F" w:themeColor="background1" w:themeShade="7F"/>
        <w:spacing w:val="60"/>
      </w:rPr>
    </w:sdtEndPr>
    <w:sdtContent>
      <w:p w14:paraId="6D3DAD82" w14:textId="07F9F5FC" w:rsidR="00D9438E" w:rsidRDefault="00D9438E">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66DA">
          <w:rPr>
            <w:noProof/>
          </w:rPr>
          <w:t>6</w:t>
        </w:r>
        <w:r>
          <w:rPr>
            <w:noProof/>
          </w:rPr>
          <w:fldChar w:fldCharType="end"/>
        </w:r>
        <w:r>
          <w:t xml:space="preserve"> | </w:t>
        </w:r>
        <w:r>
          <w:rPr>
            <w:color w:val="7F7F7F" w:themeColor="background1" w:themeShade="7F"/>
            <w:spacing w:val="60"/>
          </w:rPr>
          <w:t>Page</w:t>
        </w:r>
      </w:p>
    </w:sdtContent>
  </w:sdt>
  <w:p w14:paraId="72363CF9" w14:textId="77777777" w:rsidR="00D9438E" w:rsidRDefault="00D9438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9F3674" w14:textId="77777777" w:rsidR="009E31C3" w:rsidRDefault="009E31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D6659" w14:textId="77777777" w:rsidR="00FB028A" w:rsidRDefault="00FB028A" w:rsidP="00D9438E">
      <w:pPr>
        <w:spacing w:after="0" w:line="240" w:lineRule="auto"/>
      </w:pPr>
      <w:r>
        <w:separator/>
      </w:r>
    </w:p>
  </w:footnote>
  <w:footnote w:type="continuationSeparator" w:id="0">
    <w:p w14:paraId="46F80ABE" w14:textId="77777777" w:rsidR="00FB028A" w:rsidRDefault="00FB028A" w:rsidP="00D9438E">
      <w:pPr>
        <w:spacing w:after="0" w:line="240" w:lineRule="auto"/>
      </w:pPr>
      <w:r>
        <w:continuationSeparator/>
      </w:r>
    </w:p>
  </w:footnote>
  <w:footnote w:id="1">
    <w:p w14:paraId="6EFBF22B" w14:textId="77777777" w:rsidR="00343D54" w:rsidRPr="00EF3204" w:rsidRDefault="00343D54" w:rsidP="00343D54">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ICANN Bylaws Article 6, Section 6.1 Composition and Organization of the Empowered Community</w:t>
      </w:r>
    </w:p>
    <w:p w14:paraId="5286427F" w14:textId="77777777" w:rsidR="00343D54" w:rsidRDefault="00FB028A" w:rsidP="00343D54">
      <w:pPr>
        <w:pStyle w:val="FootnoteText"/>
        <w:rPr>
          <w:rFonts w:ascii="Arial" w:hAnsi="Arial" w:cs="Arial"/>
        </w:rPr>
      </w:pPr>
      <w:hyperlink r:id="rId1" w:anchor="article6" w:history="1">
        <w:r w:rsidR="00343D54" w:rsidRPr="006662D7">
          <w:rPr>
            <w:rStyle w:val="Hyperlink"/>
            <w:rFonts w:ascii="Arial" w:hAnsi="Arial" w:cs="Arial"/>
          </w:rPr>
          <w:t>https://www.icann.org/resources/pages/governance/bylaws-en/#article6</w:t>
        </w:r>
      </w:hyperlink>
    </w:p>
    <w:p w14:paraId="03B1EB1E" w14:textId="77777777" w:rsidR="00343D54" w:rsidRPr="00EF3204" w:rsidRDefault="00343D54" w:rsidP="00343D54">
      <w:pPr>
        <w:pStyle w:val="FootnoteText"/>
        <w:rPr>
          <w:rFonts w:ascii="Arial" w:hAnsi="Arial" w:cs="Arial"/>
        </w:rPr>
      </w:pPr>
    </w:p>
  </w:footnote>
  <w:footnote w:id="2">
    <w:p w14:paraId="1A917FA0" w14:textId="77777777" w:rsidR="00095D88" w:rsidRPr="00EF3204" w:rsidRDefault="003E2598">
      <w:pPr>
        <w:pStyle w:val="FootnoteText"/>
        <w:rPr>
          <w:rFonts w:ascii="Arial" w:hAnsi="Arial" w:cs="Arial"/>
        </w:rPr>
      </w:pPr>
      <w:r w:rsidRPr="00EF3204">
        <w:rPr>
          <w:rStyle w:val="FootnoteReference"/>
          <w:rFonts w:ascii="Arial" w:hAnsi="Arial" w:cs="Arial"/>
        </w:rPr>
        <w:footnoteRef/>
      </w:r>
      <w:r w:rsidR="00095D88" w:rsidRPr="00EF3204">
        <w:rPr>
          <w:rFonts w:ascii="Arial" w:hAnsi="Arial" w:cs="Arial"/>
        </w:rPr>
        <w:t xml:space="preserve"> ICANN Bylaws</w:t>
      </w:r>
      <w:r w:rsidRPr="00EF3204">
        <w:rPr>
          <w:rFonts w:ascii="Arial" w:hAnsi="Arial" w:cs="Arial"/>
        </w:rPr>
        <w:t xml:space="preserve"> Article 7, Section 7.11 </w:t>
      </w:r>
      <w:r w:rsidR="00095D88" w:rsidRPr="00EF3204">
        <w:rPr>
          <w:rFonts w:ascii="Arial" w:hAnsi="Arial" w:cs="Arial"/>
        </w:rPr>
        <w:t>Removal of a Director or Non-Voting Liaison</w:t>
      </w:r>
    </w:p>
    <w:p w14:paraId="5AD9DBEA" w14:textId="362D05A6" w:rsidR="003E2598" w:rsidRDefault="00FB028A">
      <w:pPr>
        <w:pStyle w:val="FootnoteText"/>
        <w:rPr>
          <w:rFonts w:ascii="Arial" w:hAnsi="Arial" w:cs="Arial"/>
        </w:rPr>
      </w:pPr>
      <w:hyperlink r:id="rId2" w:anchor="article7" w:history="1">
        <w:r w:rsidR="00343D54" w:rsidRPr="007233E4">
          <w:rPr>
            <w:rStyle w:val="Hyperlink"/>
            <w:rFonts w:ascii="Arial" w:hAnsi="Arial" w:cs="Arial"/>
          </w:rPr>
          <w:t>https://www.icann.org/resources/pages/governance/bylaws-en/#article7</w:t>
        </w:r>
      </w:hyperlink>
    </w:p>
    <w:p w14:paraId="2F447603" w14:textId="77777777" w:rsidR="00343D54" w:rsidRPr="00EF3204" w:rsidRDefault="00343D54">
      <w:pPr>
        <w:pStyle w:val="FootnoteText"/>
        <w:rPr>
          <w:rFonts w:ascii="Arial" w:hAnsi="Arial" w:cs="Arial"/>
        </w:rPr>
      </w:pPr>
    </w:p>
  </w:footnote>
  <w:footnote w:id="3">
    <w:p w14:paraId="72D68216" w14:textId="7DF85272" w:rsidR="00095D88" w:rsidRDefault="00095D88">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w:t>
      </w:r>
      <w:r w:rsidR="00343D54">
        <w:rPr>
          <w:rFonts w:ascii="Arial" w:hAnsi="Arial" w:cs="Arial"/>
        </w:rPr>
        <w:t>See</w:t>
      </w:r>
      <w:r w:rsidRPr="00EF3204">
        <w:rPr>
          <w:rFonts w:ascii="Arial" w:hAnsi="Arial" w:cs="Arial"/>
        </w:rPr>
        <w:t xml:space="preserve"> </w:t>
      </w:r>
      <w:hyperlink r:id="rId3" w:history="1">
        <w:r w:rsidR="00EF3204" w:rsidRPr="006662D7">
          <w:rPr>
            <w:rStyle w:val="Hyperlink"/>
            <w:rFonts w:ascii="Arial" w:hAnsi="Arial" w:cs="Arial"/>
          </w:rPr>
          <w:t>https://www.icann.org/en/system/files/files/ccwg-accountability-supp-proposal-work-stream-1-recs-23feb16-en.pdf</w:t>
        </w:r>
      </w:hyperlink>
    </w:p>
    <w:p w14:paraId="2A497D48" w14:textId="77777777" w:rsidR="00EF3204" w:rsidRPr="00EF3204" w:rsidRDefault="00EF3204">
      <w:pPr>
        <w:pStyle w:val="FootnoteText"/>
        <w:rPr>
          <w:rFonts w:ascii="Arial" w:hAnsi="Arial" w:cs="Arial"/>
        </w:rPr>
      </w:pPr>
    </w:p>
  </w:footnote>
  <w:footnote w:id="4">
    <w:p w14:paraId="5C087DF4" w14:textId="2202FAC4" w:rsidR="001E2E99" w:rsidRPr="00EF3204" w:rsidRDefault="001E2E99" w:rsidP="001E2E99">
      <w:pPr>
        <w:pStyle w:val="FootnoteText"/>
        <w:rPr>
          <w:rFonts w:ascii="Arial" w:hAnsi="Arial" w:cs="Arial"/>
        </w:rPr>
      </w:pPr>
      <w:r>
        <w:rPr>
          <w:rStyle w:val="FootnoteReference"/>
        </w:rPr>
        <w:footnoteRef/>
      </w:r>
      <w:r>
        <w:t xml:space="preserve"> </w:t>
      </w:r>
      <w:r w:rsidRPr="00EF3204">
        <w:rPr>
          <w:rFonts w:ascii="Arial" w:hAnsi="Arial" w:cs="Arial"/>
        </w:rPr>
        <w:t>ICANN Bylaws Article 20, Section 20.2 Indemnification with Respect to Director Removal https://www.icann.org/resources/pages/governance/bylaws-en/#article20</w:t>
      </w:r>
    </w:p>
    <w:p w14:paraId="429C7903" w14:textId="41BD9933" w:rsidR="001E2E99" w:rsidRDefault="001E2E99">
      <w:pPr>
        <w:pStyle w:val="FootnoteText"/>
      </w:pPr>
    </w:p>
  </w:footnote>
  <w:footnote w:id="5">
    <w:p w14:paraId="35D4DE9C" w14:textId="77777777" w:rsidR="00095D88" w:rsidRPr="00EF3204" w:rsidRDefault="00095D88">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ICANN Bylaws Article 20, Section 20.2 Indemnification with Respect to Director Removal https://www.icann.org/resources/pages/governance/bylaws-en/#article20</w:t>
      </w:r>
    </w:p>
  </w:footnote>
  <w:footnote w:id="6">
    <w:p w14:paraId="426CCF6D" w14:textId="77777777" w:rsidR="00EF3204" w:rsidRDefault="003E17AD">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Email response from ICANN Deputy Counsel, Samantha Eisner to Karen Mulberry and CCWG WS2 Legal Committee forwarded to Lori Schulman on November 15, 2016.</w:t>
      </w:r>
    </w:p>
    <w:p w14:paraId="635E70BF" w14:textId="77777777" w:rsidR="00EF3204" w:rsidRPr="00EF3204" w:rsidRDefault="00EF3204">
      <w:pPr>
        <w:pStyle w:val="FootnoteText"/>
        <w:rPr>
          <w:rFonts w:ascii="Arial" w:hAnsi="Arial" w:cs="Arial"/>
        </w:rPr>
      </w:pPr>
    </w:p>
  </w:footnote>
  <w:footnote w:id="7">
    <w:p w14:paraId="39183BA9" w14:textId="77777777" w:rsidR="00EF3204" w:rsidRDefault="00EF3204">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Email response from </w:t>
      </w:r>
      <w:r>
        <w:rPr>
          <w:rFonts w:ascii="Arial" w:hAnsi="Arial" w:cs="Arial"/>
        </w:rPr>
        <w:t xml:space="preserve">ICANN Deputy Counsel, Samantha </w:t>
      </w:r>
      <w:r w:rsidRPr="00EF3204">
        <w:rPr>
          <w:rFonts w:ascii="Arial" w:hAnsi="Arial" w:cs="Arial"/>
        </w:rPr>
        <w:t>Eisner to Lori Schulman with a copy to CCWG WS2 Legal Committee, ACCT-Staff and Karen Mulberry on January 23, 2017.</w:t>
      </w:r>
    </w:p>
    <w:p w14:paraId="71B587ED" w14:textId="77777777" w:rsidR="00EF3204" w:rsidRPr="00EF3204" w:rsidRDefault="00EF3204">
      <w:pPr>
        <w:pStyle w:val="FootnoteText"/>
        <w:rPr>
          <w:rFonts w:ascii="Arial" w:hAnsi="Arial" w:cs="Arial"/>
        </w:rPr>
      </w:pPr>
    </w:p>
  </w:footnote>
  <w:footnote w:id="8">
    <w:p w14:paraId="5C2C7E84" w14:textId="77777777" w:rsidR="000651C4" w:rsidRDefault="000651C4" w:rsidP="000651C4">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WS1 Annex 02 – Recommendation #2: Empowering the Community through Consensus: Engagement, Escalation, Enforcement, page 24   </w:t>
      </w:r>
      <w:hyperlink r:id="rId4" w:history="1">
        <w:r w:rsidR="00EF3204" w:rsidRPr="006662D7">
          <w:rPr>
            <w:rStyle w:val="Hyperlink"/>
            <w:rFonts w:ascii="Arial" w:hAnsi="Arial" w:cs="Arial"/>
          </w:rPr>
          <w:t>https://www.icann.org/en/system/files/files/ccwg-accountability-supp-proposal-work-stream-1-recs-23feb16-en.pdf</w:t>
        </w:r>
      </w:hyperlink>
    </w:p>
    <w:p w14:paraId="31FE6BB1" w14:textId="77777777" w:rsidR="00EF3204" w:rsidRPr="00EF3204" w:rsidRDefault="00EF3204" w:rsidP="000651C4">
      <w:pPr>
        <w:pStyle w:val="FootnoteText"/>
        <w:rPr>
          <w:rFonts w:ascii="Arial" w:hAnsi="Arial" w:cs="Arial"/>
        </w:rPr>
      </w:pPr>
    </w:p>
  </w:footnote>
  <w:footnote w:id="9">
    <w:p w14:paraId="087621B2" w14:textId="77777777" w:rsidR="00AA34B3" w:rsidRPr="00EF3204" w:rsidRDefault="00AA34B3">
      <w:pPr>
        <w:pStyle w:val="FootnoteText"/>
        <w:rPr>
          <w:rFonts w:ascii="Arial" w:hAnsi="Arial" w:cs="Arial"/>
        </w:rPr>
      </w:pPr>
      <w:r w:rsidRPr="00EF3204">
        <w:rPr>
          <w:rStyle w:val="FootnoteReference"/>
          <w:rFonts w:ascii="Arial" w:hAnsi="Arial" w:cs="Arial"/>
        </w:rPr>
        <w:footnoteRef/>
      </w:r>
      <w:r w:rsidRPr="00EF3204">
        <w:rPr>
          <w:rFonts w:ascii="Arial" w:hAnsi="Arial" w:cs="Arial"/>
        </w:rPr>
        <w:t xml:space="preserve"> </w:t>
      </w:r>
      <w:r w:rsidR="0012640B" w:rsidRPr="00EF3204">
        <w:rPr>
          <w:rFonts w:ascii="Arial" w:hAnsi="Arial" w:cs="Arial"/>
        </w:rPr>
        <w:t>WS1 A</w:t>
      </w:r>
      <w:r w:rsidRPr="00EF3204">
        <w:rPr>
          <w:rFonts w:ascii="Arial" w:hAnsi="Arial" w:cs="Arial"/>
        </w:rPr>
        <w:t>nnex 02 – Recommendation #2: Empowering the Community through Consensus: Engagement, Escalation, Enforcement</w:t>
      </w:r>
      <w:r w:rsidR="00623F77" w:rsidRPr="00EF3204">
        <w:rPr>
          <w:rFonts w:ascii="Arial" w:hAnsi="Arial" w:cs="Arial"/>
        </w:rPr>
        <w:t>, page 11</w:t>
      </w:r>
      <w:r w:rsidRPr="00EF3204">
        <w:rPr>
          <w:rFonts w:ascii="Arial" w:hAnsi="Arial" w:cs="Arial"/>
        </w:rPr>
        <w:t xml:space="preserve"> </w:t>
      </w:r>
      <w:r w:rsidR="0012640B" w:rsidRPr="00EF3204">
        <w:rPr>
          <w:rFonts w:ascii="Arial" w:hAnsi="Arial" w:cs="Arial"/>
        </w:rPr>
        <w:t xml:space="preserve"> </w:t>
      </w:r>
      <w:r w:rsidRPr="00EF3204">
        <w:rPr>
          <w:rFonts w:ascii="Arial" w:hAnsi="Arial" w:cs="Arial"/>
        </w:rPr>
        <w:t xml:space="preserve"> https://www.icann.org/en/system/files/files/ccwg-accountability-supp-proposal-work-stream-1-recs-23feb16-en.pdf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530B5" w14:textId="77777777" w:rsidR="009E31C3" w:rsidRDefault="009E31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9422962"/>
      <w:docPartObj>
        <w:docPartGallery w:val="Watermarks"/>
        <w:docPartUnique/>
      </w:docPartObj>
    </w:sdtPr>
    <w:sdtEndPr/>
    <w:sdtContent>
      <w:p w14:paraId="3BDA2184" w14:textId="77777777" w:rsidR="009E31C3" w:rsidRDefault="00FB028A">
        <w:pPr>
          <w:pStyle w:val="Header"/>
        </w:pPr>
        <w:r>
          <w:rPr>
            <w:noProof/>
          </w:rPr>
          <w:pict w14:anchorId="507103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25547" w14:textId="77777777" w:rsidR="009E31C3" w:rsidRDefault="009E31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02ECE"/>
    <w:multiLevelType w:val="hybridMultilevel"/>
    <w:tmpl w:val="430A3DD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9E4322"/>
    <w:multiLevelType w:val="hybridMultilevel"/>
    <w:tmpl w:val="56F6A60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41E4161E">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772705"/>
    <w:multiLevelType w:val="hybridMultilevel"/>
    <w:tmpl w:val="DD98B39C"/>
    <w:lvl w:ilvl="0" w:tplc="93D4D6B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11C5926"/>
    <w:multiLevelType w:val="hybridMultilevel"/>
    <w:tmpl w:val="A060F41C"/>
    <w:lvl w:ilvl="0" w:tplc="6C6A76D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1B437F0"/>
    <w:multiLevelType w:val="hybridMultilevel"/>
    <w:tmpl w:val="82403E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844C0"/>
    <w:multiLevelType w:val="hybridMultilevel"/>
    <w:tmpl w:val="33C09350"/>
    <w:lvl w:ilvl="0" w:tplc="A8E6347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DF370B"/>
    <w:multiLevelType w:val="hybridMultilevel"/>
    <w:tmpl w:val="A796C8F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D76FD1"/>
    <w:multiLevelType w:val="hybridMultilevel"/>
    <w:tmpl w:val="0AACB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A06CA1"/>
    <w:multiLevelType w:val="hybridMultilevel"/>
    <w:tmpl w:val="4F944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A63A5C"/>
    <w:multiLevelType w:val="hybridMultilevel"/>
    <w:tmpl w:val="58D6797A"/>
    <w:lvl w:ilvl="0" w:tplc="C6ECC3C0">
      <w:start w:val="1"/>
      <w:numFmt w:val="decimal"/>
      <w:lvlText w:val="%1)"/>
      <w:lvlJc w:val="left"/>
      <w:pPr>
        <w:ind w:left="1800" w:hanging="360"/>
      </w:pPr>
      <w:rPr>
        <w:rFonts w:eastAsiaTheme="minorHAnsi"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56EE3356"/>
    <w:multiLevelType w:val="hybridMultilevel"/>
    <w:tmpl w:val="559E0BD2"/>
    <w:lvl w:ilvl="0" w:tplc="D6A2BD46">
      <w:start w:val="1"/>
      <w:numFmt w:val="decimal"/>
      <w:lvlText w:val="%1."/>
      <w:lvlJc w:val="left"/>
      <w:pPr>
        <w:ind w:left="2160" w:hanging="360"/>
      </w:pPr>
      <w:rPr>
        <w:rFonts w:ascii="Arial" w:hAnsi="Arial" w:cs="Arial" w:hint="default"/>
        <w:sz w:val="22"/>
        <w:szCs w:val="22"/>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62022B5A"/>
    <w:multiLevelType w:val="hybridMultilevel"/>
    <w:tmpl w:val="B41E5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BF72A5"/>
    <w:multiLevelType w:val="hybridMultilevel"/>
    <w:tmpl w:val="3B56C5D2"/>
    <w:lvl w:ilvl="0" w:tplc="55B211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CF6868"/>
    <w:multiLevelType w:val="hybridMultilevel"/>
    <w:tmpl w:val="6E9E41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7"/>
  </w:num>
  <w:num w:numId="4">
    <w:abstractNumId w:val="6"/>
  </w:num>
  <w:num w:numId="5">
    <w:abstractNumId w:val="1"/>
  </w:num>
  <w:num w:numId="6">
    <w:abstractNumId w:val="0"/>
  </w:num>
  <w:num w:numId="7">
    <w:abstractNumId w:val="10"/>
  </w:num>
  <w:num w:numId="8">
    <w:abstractNumId w:val="13"/>
  </w:num>
  <w:num w:numId="9">
    <w:abstractNumId w:val="4"/>
  </w:num>
  <w:num w:numId="10">
    <w:abstractNumId w:val="5"/>
  </w:num>
  <w:num w:numId="11">
    <w:abstractNumId w:val="12"/>
  </w:num>
  <w:num w:numId="12">
    <w:abstractNumId w:val="3"/>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B48"/>
    <w:rsid w:val="00011E02"/>
    <w:rsid w:val="00034FFF"/>
    <w:rsid w:val="000651C4"/>
    <w:rsid w:val="00095D88"/>
    <w:rsid w:val="000A420F"/>
    <w:rsid w:val="000E4353"/>
    <w:rsid w:val="000F27A0"/>
    <w:rsid w:val="0012640B"/>
    <w:rsid w:val="001365A7"/>
    <w:rsid w:val="001746B9"/>
    <w:rsid w:val="00177FE3"/>
    <w:rsid w:val="00182E95"/>
    <w:rsid w:val="001E2E99"/>
    <w:rsid w:val="00262BA7"/>
    <w:rsid w:val="002F111A"/>
    <w:rsid w:val="00324C49"/>
    <w:rsid w:val="00343D54"/>
    <w:rsid w:val="0036461F"/>
    <w:rsid w:val="003E17AD"/>
    <w:rsid w:val="003E2598"/>
    <w:rsid w:val="003E3911"/>
    <w:rsid w:val="00410567"/>
    <w:rsid w:val="00431E1D"/>
    <w:rsid w:val="00454A4E"/>
    <w:rsid w:val="00465423"/>
    <w:rsid w:val="004E2D4A"/>
    <w:rsid w:val="00501F7E"/>
    <w:rsid w:val="005245DA"/>
    <w:rsid w:val="00561641"/>
    <w:rsid w:val="005A55BB"/>
    <w:rsid w:val="005C0FCF"/>
    <w:rsid w:val="005E3D06"/>
    <w:rsid w:val="00606D2F"/>
    <w:rsid w:val="00623F77"/>
    <w:rsid w:val="006D46BB"/>
    <w:rsid w:val="006D62D1"/>
    <w:rsid w:val="006E4A2D"/>
    <w:rsid w:val="00744269"/>
    <w:rsid w:val="007660EF"/>
    <w:rsid w:val="007B235B"/>
    <w:rsid w:val="007C27A1"/>
    <w:rsid w:val="007C5A63"/>
    <w:rsid w:val="00881983"/>
    <w:rsid w:val="008B3E97"/>
    <w:rsid w:val="008C72B7"/>
    <w:rsid w:val="00933817"/>
    <w:rsid w:val="0099073B"/>
    <w:rsid w:val="00992646"/>
    <w:rsid w:val="00996833"/>
    <w:rsid w:val="009A70F0"/>
    <w:rsid w:val="009B5F09"/>
    <w:rsid w:val="009D550D"/>
    <w:rsid w:val="009E31C3"/>
    <w:rsid w:val="009E4A35"/>
    <w:rsid w:val="00A06B48"/>
    <w:rsid w:val="00A1562E"/>
    <w:rsid w:val="00A24C77"/>
    <w:rsid w:val="00A266DA"/>
    <w:rsid w:val="00A606CB"/>
    <w:rsid w:val="00A64135"/>
    <w:rsid w:val="00AA34B3"/>
    <w:rsid w:val="00AE362F"/>
    <w:rsid w:val="00B007E4"/>
    <w:rsid w:val="00B04BE8"/>
    <w:rsid w:val="00B22D22"/>
    <w:rsid w:val="00B60E45"/>
    <w:rsid w:val="00B82E7C"/>
    <w:rsid w:val="00C04333"/>
    <w:rsid w:val="00C15259"/>
    <w:rsid w:val="00C33882"/>
    <w:rsid w:val="00C35217"/>
    <w:rsid w:val="00C702F4"/>
    <w:rsid w:val="00CA6613"/>
    <w:rsid w:val="00CC0F7D"/>
    <w:rsid w:val="00CD2072"/>
    <w:rsid w:val="00CF1742"/>
    <w:rsid w:val="00D123DC"/>
    <w:rsid w:val="00D617C1"/>
    <w:rsid w:val="00D623E0"/>
    <w:rsid w:val="00D662E7"/>
    <w:rsid w:val="00D9438E"/>
    <w:rsid w:val="00DA04FE"/>
    <w:rsid w:val="00DE264C"/>
    <w:rsid w:val="00DF0FD4"/>
    <w:rsid w:val="00E10107"/>
    <w:rsid w:val="00E33462"/>
    <w:rsid w:val="00E95ECE"/>
    <w:rsid w:val="00EE6264"/>
    <w:rsid w:val="00EE6BA5"/>
    <w:rsid w:val="00EF3204"/>
    <w:rsid w:val="00F319D0"/>
    <w:rsid w:val="00FB0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2AE2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43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334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334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B48"/>
    <w:pPr>
      <w:ind w:left="720"/>
      <w:contextualSpacing/>
    </w:pPr>
  </w:style>
  <w:style w:type="paragraph" w:styleId="Header">
    <w:name w:val="header"/>
    <w:basedOn w:val="Normal"/>
    <w:link w:val="HeaderChar"/>
    <w:uiPriority w:val="99"/>
    <w:unhideWhenUsed/>
    <w:rsid w:val="00D943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38E"/>
  </w:style>
  <w:style w:type="paragraph" w:styleId="Footer">
    <w:name w:val="footer"/>
    <w:basedOn w:val="Normal"/>
    <w:link w:val="FooterChar"/>
    <w:uiPriority w:val="99"/>
    <w:unhideWhenUsed/>
    <w:rsid w:val="00D943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38E"/>
  </w:style>
  <w:style w:type="character" w:customStyle="1" w:styleId="Heading1Char">
    <w:name w:val="Heading 1 Char"/>
    <w:basedOn w:val="DefaultParagraphFont"/>
    <w:link w:val="Heading1"/>
    <w:uiPriority w:val="9"/>
    <w:rsid w:val="00D9438E"/>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D9438E"/>
    <w:pPr>
      <w:outlineLvl w:val="9"/>
    </w:pPr>
  </w:style>
  <w:style w:type="paragraph" w:styleId="TOC2">
    <w:name w:val="toc 2"/>
    <w:basedOn w:val="Normal"/>
    <w:next w:val="Normal"/>
    <w:autoRedefine/>
    <w:uiPriority w:val="39"/>
    <w:unhideWhenUsed/>
    <w:rsid w:val="00D9438E"/>
    <w:pPr>
      <w:spacing w:after="100"/>
      <w:ind w:left="220"/>
    </w:pPr>
    <w:rPr>
      <w:rFonts w:eastAsiaTheme="minorEastAsia" w:cs="Times New Roman"/>
    </w:rPr>
  </w:style>
  <w:style w:type="paragraph" w:styleId="TOC1">
    <w:name w:val="toc 1"/>
    <w:basedOn w:val="Normal"/>
    <w:next w:val="Normal"/>
    <w:autoRedefine/>
    <w:uiPriority w:val="39"/>
    <w:unhideWhenUsed/>
    <w:rsid w:val="00D9438E"/>
    <w:pPr>
      <w:spacing w:after="100"/>
    </w:pPr>
    <w:rPr>
      <w:rFonts w:eastAsiaTheme="minorEastAsia" w:cs="Times New Roman"/>
    </w:rPr>
  </w:style>
  <w:style w:type="paragraph" w:styleId="TOC3">
    <w:name w:val="toc 3"/>
    <w:basedOn w:val="Normal"/>
    <w:next w:val="Normal"/>
    <w:autoRedefine/>
    <w:uiPriority w:val="39"/>
    <w:unhideWhenUsed/>
    <w:rsid w:val="00D9438E"/>
    <w:pPr>
      <w:spacing w:after="100"/>
      <w:ind w:left="440"/>
    </w:pPr>
    <w:rPr>
      <w:rFonts w:eastAsiaTheme="minorEastAsia" w:cs="Times New Roman"/>
    </w:rPr>
  </w:style>
  <w:style w:type="character" w:customStyle="1" w:styleId="Heading3Char">
    <w:name w:val="Heading 3 Char"/>
    <w:basedOn w:val="DefaultParagraphFont"/>
    <w:link w:val="Heading3"/>
    <w:uiPriority w:val="9"/>
    <w:semiHidden/>
    <w:rsid w:val="00E33462"/>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E33462"/>
    <w:rPr>
      <w:rFonts w:asciiTheme="majorHAnsi" w:eastAsiaTheme="majorEastAsia" w:hAnsiTheme="majorHAnsi" w:cstheme="majorBidi"/>
      <w:i/>
      <w:iCs/>
      <w:color w:val="2E74B5" w:themeColor="accent1" w:themeShade="BF"/>
    </w:rPr>
  </w:style>
  <w:style w:type="paragraph" w:styleId="NormalWeb">
    <w:name w:val="Normal (Web)"/>
    <w:basedOn w:val="Normal"/>
    <w:uiPriority w:val="99"/>
    <w:semiHidden/>
    <w:unhideWhenUsed/>
    <w:rsid w:val="00E334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33462"/>
    <w:rPr>
      <w:b/>
      <w:bCs/>
    </w:rPr>
  </w:style>
  <w:style w:type="paragraph" w:styleId="FootnoteText">
    <w:name w:val="footnote text"/>
    <w:basedOn w:val="Normal"/>
    <w:link w:val="FootnoteTextChar"/>
    <w:uiPriority w:val="99"/>
    <w:semiHidden/>
    <w:unhideWhenUsed/>
    <w:rsid w:val="003E25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2598"/>
    <w:rPr>
      <w:sz w:val="20"/>
      <w:szCs w:val="20"/>
    </w:rPr>
  </w:style>
  <w:style w:type="character" w:styleId="FootnoteReference">
    <w:name w:val="footnote reference"/>
    <w:basedOn w:val="DefaultParagraphFont"/>
    <w:uiPriority w:val="99"/>
    <w:semiHidden/>
    <w:unhideWhenUsed/>
    <w:rsid w:val="003E2598"/>
    <w:rPr>
      <w:vertAlign w:val="superscript"/>
    </w:rPr>
  </w:style>
  <w:style w:type="character" w:styleId="Hyperlink">
    <w:name w:val="Hyperlink"/>
    <w:basedOn w:val="DefaultParagraphFont"/>
    <w:uiPriority w:val="99"/>
    <w:unhideWhenUsed/>
    <w:rsid w:val="00933817"/>
    <w:rPr>
      <w:color w:val="0563C1" w:themeColor="hyperlink"/>
      <w:u w:val="single"/>
    </w:rPr>
  </w:style>
  <w:style w:type="character" w:styleId="CommentReference">
    <w:name w:val="annotation reference"/>
    <w:basedOn w:val="DefaultParagraphFont"/>
    <w:uiPriority w:val="99"/>
    <w:semiHidden/>
    <w:unhideWhenUsed/>
    <w:rsid w:val="008C72B7"/>
    <w:rPr>
      <w:sz w:val="16"/>
      <w:szCs w:val="16"/>
    </w:rPr>
  </w:style>
  <w:style w:type="paragraph" w:styleId="CommentText">
    <w:name w:val="annotation text"/>
    <w:basedOn w:val="Normal"/>
    <w:link w:val="CommentTextChar"/>
    <w:uiPriority w:val="99"/>
    <w:semiHidden/>
    <w:unhideWhenUsed/>
    <w:rsid w:val="008C72B7"/>
    <w:pPr>
      <w:spacing w:line="240" w:lineRule="auto"/>
    </w:pPr>
    <w:rPr>
      <w:sz w:val="20"/>
      <w:szCs w:val="20"/>
    </w:rPr>
  </w:style>
  <w:style w:type="character" w:customStyle="1" w:styleId="CommentTextChar">
    <w:name w:val="Comment Text Char"/>
    <w:basedOn w:val="DefaultParagraphFont"/>
    <w:link w:val="CommentText"/>
    <w:uiPriority w:val="99"/>
    <w:semiHidden/>
    <w:rsid w:val="008C72B7"/>
    <w:rPr>
      <w:sz w:val="20"/>
      <w:szCs w:val="20"/>
    </w:rPr>
  </w:style>
  <w:style w:type="paragraph" w:styleId="CommentSubject">
    <w:name w:val="annotation subject"/>
    <w:basedOn w:val="CommentText"/>
    <w:next w:val="CommentText"/>
    <w:link w:val="CommentSubjectChar"/>
    <w:uiPriority w:val="99"/>
    <w:semiHidden/>
    <w:unhideWhenUsed/>
    <w:rsid w:val="008C72B7"/>
    <w:rPr>
      <w:b/>
      <w:bCs/>
    </w:rPr>
  </w:style>
  <w:style w:type="character" w:customStyle="1" w:styleId="CommentSubjectChar">
    <w:name w:val="Comment Subject Char"/>
    <w:basedOn w:val="CommentTextChar"/>
    <w:link w:val="CommentSubject"/>
    <w:uiPriority w:val="99"/>
    <w:semiHidden/>
    <w:rsid w:val="008C72B7"/>
    <w:rPr>
      <w:b/>
      <w:bCs/>
      <w:sz w:val="20"/>
      <w:szCs w:val="20"/>
    </w:rPr>
  </w:style>
  <w:style w:type="paragraph" w:styleId="BalloonText">
    <w:name w:val="Balloon Text"/>
    <w:basedOn w:val="Normal"/>
    <w:link w:val="BalloonTextChar"/>
    <w:uiPriority w:val="99"/>
    <w:semiHidden/>
    <w:unhideWhenUsed/>
    <w:rsid w:val="008C72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2B7"/>
    <w:rPr>
      <w:rFonts w:ascii="Segoe UI" w:hAnsi="Segoe UI" w:cs="Segoe UI"/>
      <w:sz w:val="18"/>
      <w:szCs w:val="18"/>
    </w:rPr>
  </w:style>
  <w:style w:type="table" w:styleId="TableGrid">
    <w:name w:val="Table Grid"/>
    <w:basedOn w:val="TableNormal"/>
    <w:uiPriority w:val="39"/>
    <w:rsid w:val="007C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3521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43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334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334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B48"/>
    <w:pPr>
      <w:ind w:left="720"/>
      <w:contextualSpacing/>
    </w:pPr>
  </w:style>
  <w:style w:type="paragraph" w:styleId="Header">
    <w:name w:val="header"/>
    <w:basedOn w:val="Normal"/>
    <w:link w:val="HeaderChar"/>
    <w:uiPriority w:val="99"/>
    <w:unhideWhenUsed/>
    <w:rsid w:val="00D943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38E"/>
  </w:style>
  <w:style w:type="paragraph" w:styleId="Footer">
    <w:name w:val="footer"/>
    <w:basedOn w:val="Normal"/>
    <w:link w:val="FooterChar"/>
    <w:uiPriority w:val="99"/>
    <w:unhideWhenUsed/>
    <w:rsid w:val="00D943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38E"/>
  </w:style>
  <w:style w:type="character" w:customStyle="1" w:styleId="Heading1Char">
    <w:name w:val="Heading 1 Char"/>
    <w:basedOn w:val="DefaultParagraphFont"/>
    <w:link w:val="Heading1"/>
    <w:uiPriority w:val="9"/>
    <w:rsid w:val="00D9438E"/>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D9438E"/>
    <w:pPr>
      <w:outlineLvl w:val="9"/>
    </w:pPr>
  </w:style>
  <w:style w:type="paragraph" w:styleId="TOC2">
    <w:name w:val="toc 2"/>
    <w:basedOn w:val="Normal"/>
    <w:next w:val="Normal"/>
    <w:autoRedefine/>
    <w:uiPriority w:val="39"/>
    <w:unhideWhenUsed/>
    <w:rsid w:val="00D9438E"/>
    <w:pPr>
      <w:spacing w:after="100"/>
      <w:ind w:left="220"/>
    </w:pPr>
    <w:rPr>
      <w:rFonts w:eastAsiaTheme="minorEastAsia" w:cs="Times New Roman"/>
    </w:rPr>
  </w:style>
  <w:style w:type="paragraph" w:styleId="TOC1">
    <w:name w:val="toc 1"/>
    <w:basedOn w:val="Normal"/>
    <w:next w:val="Normal"/>
    <w:autoRedefine/>
    <w:uiPriority w:val="39"/>
    <w:unhideWhenUsed/>
    <w:rsid w:val="00D9438E"/>
    <w:pPr>
      <w:spacing w:after="100"/>
    </w:pPr>
    <w:rPr>
      <w:rFonts w:eastAsiaTheme="minorEastAsia" w:cs="Times New Roman"/>
    </w:rPr>
  </w:style>
  <w:style w:type="paragraph" w:styleId="TOC3">
    <w:name w:val="toc 3"/>
    <w:basedOn w:val="Normal"/>
    <w:next w:val="Normal"/>
    <w:autoRedefine/>
    <w:uiPriority w:val="39"/>
    <w:unhideWhenUsed/>
    <w:rsid w:val="00D9438E"/>
    <w:pPr>
      <w:spacing w:after="100"/>
      <w:ind w:left="440"/>
    </w:pPr>
    <w:rPr>
      <w:rFonts w:eastAsiaTheme="minorEastAsia" w:cs="Times New Roman"/>
    </w:rPr>
  </w:style>
  <w:style w:type="character" w:customStyle="1" w:styleId="Heading3Char">
    <w:name w:val="Heading 3 Char"/>
    <w:basedOn w:val="DefaultParagraphFont"/>
    <w:link w:val="Heading3"/>
    <w:uiPriority w:val="9"/>
    <w:semiHidden/>
    <w:rsid w:val="00E33462"/>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E33462"/>
    <w:rPr>
      <w:rFonts w:asciiTheme="majorHAnsi" w:eastAsiaTheme="majorEastAsia" w:hAnsiTheme="majorHAnsi" w:cstheme="majorBidi"/>
      <w:i/>
      <w:iCs/>
      <w:color w:val="2E74B5" w:themeColor="accent1" w:themeShade="BF"/>
    </w:rPr>
  </w:style>
  <w:style w:type="paragraph" w:styleId="NormalWeb">
    <w:name w:val="Normal (Web)"/>
    <w:basedOn w:val="Normal"/>
    <w:uiPriority w:val="99"/>
    <w:semiHidden/>
    <w:unhideWhenUsed/>
    <w:rsid w:val="00E334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33462"/>
    <w:rPr>
      <w:b/>
      <w:bCs/>
    </w:rPr>
  </w:style>
  <w:style w:type="paragraph" w:styleId="FootnoteText">
    <w:name w:val="footnote text"/>
    <w:basedOn w:val="Normal"/>
    <w:link w:val="FootnoteTextChar"/>
    <w:uiPriority w:val="99"/>
    <w:semiHidden/>
    <w:unhideWhenUsed/>
    <w:rsid w:val="003E25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2598"/>
    <w:rPr>
      <w:sz w:val="20"/>
      <w:szCs w:val="20"/>
    </w:rPr>
  </w:style>
  <w:style w:type="character" w:styleId="FootnoteReference">
    <w:name w:val="footnote reference"/>
    <w:basedOn w:val="DefaultParagraphFont"/>
    <w:uiPriority w:val="99"/>
    <w:semiHidden/>
    <w:unhideWhenUsed/>
    <w:rsid w:val="003E2598"/>
    <w:rPr>
      <w:vertAlign w:val="superscript"/>
    </w:rPr>
  </w:style>
  <w:style w:type="character" w:styleId="Hyperlink">
    <w:name w:val="Hyperlink"/>
    <w:basedOn w:val="DefaultParagraphFont"/>
    <w:uiPriority w:val="99"/>
    <w:unhideWhenUsed/>
    <w:rsid w:val="00933817"/>
    <w:rPr>
      <w:color w:val="0563C1" w:themeColor="hyperlink"/>
      <w:u w:val="single"/>
    </w:rPr>
  </w:style>
  <w:style w:type="character" w:styleId="CommentReference">
    <w:name w:val="annotation reference"/>
    <w:basedOn w:val="DefaultParagraphFont"/>
    <w:uiPriority w:val="99"/>
    <w:semiHidden/>
    <w:unhideWhenUsed/>
    <w:rsid w:val="008C72B7"/>
    <w:rPr>
      <w:sz w:val="16"/>
      <w:szCs w:val="16"/>
    </w:rPr>
  </w:style>
  <w:style w:type="paragraph" w:styleId="CommentText">
    <w:name w:val="annotation text"/>
    <w:basedOn w:val="Normal"/>
    <w:link w:val="CommentTextChar"/>
    <w:uiPriority w:val="99"/>
    <w:semiHidden/>
    <w:unhideWhenUsed/>
    <w:rsid w:val="008C72B7"/>
    <w:pPr>
      <w:spacing w:line="240" w:lineRule="auto"/>
    </w:pPr>
    <w:rPr>
      <w:sz w:val="20"/>
      <w:szCs w:val="20"/>
    </w:rPr>
  </w:style>
  <w:style w:type="character" w:customStyle="1" w:styleId="CommentTextChar">
    <w:name w:val="Comment Text Char"/>
    <w:basedOn w:val="DefaultParagraphFont"/>
    <w:link w:val="CommentText"/>
    <w:uiPriority w:val="99"/>
    <w:semiHidden/>
    <w:rsid w:val="008C72B7"/>
    <w:rPr>
      <w:sz w:val="20"/>
      <w:szCs w:val="20"/>
    </w:rPr>
  </w:style>
  <w:style w:type="paragraph" w:styleId="CommentSubject">
    <w:name w:val="annotation subject"/>
    <w:basedOn w:val="CommentText"/>
    <w:next w:val="CommentText"/>
    <w:link w:val="CommentSubjectChar"/>
    <w:uiPriority w:val="99"/>
    <w:semiHidden/>
    <w:unhideWhenUsed/>
    <w:rsid w:val="008C72B7"/>
    <w:rPr>
      <w:b/>
      <w:bCs/>
    </w:rPr>
  </w:style>
  <w:style w:type="character" w:customStyle="1" w:styleId="CommentSubjectChar">
    <w:name w:val="Comment Subject Char"/>
    <w:basedOn w:val="CommentTextChar"/>
    <w:link w:val="CommentSubject"/>
    <w:uiPriority w:val="99"/>
    <w:semiHidden/>
    <w:rsid w:val="008C72B7"/>
    <w:rPr>
      <w:b/>
      <w:bCs/>
      <w:sz w:val="20"/>
      <w:szCs w:val="20"/>
    </w:rPr>
  </w:style>
  <w:style w:type="paragraph" w:styleId="BalloonText">
    <w:name w:val="Balloon Text"/>
    <w:basedOn w:val="Normal"/>
    <w:link w:val="BalloonTextChar"/>
    <w:uiPriority w:val="99"/>
    <w:semiHidden/>
    <w:unhideWhenUsed/>
    <w:rsid w:val="008C72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2B7"/>
    <w:rPr>
      <w:rFonts w:ascii="Segoe UI" w:hAnsi="Segoe UI" w:cs="Segoe UI"/>
      <w:sz w:val="18"/>
      <w:szCs w:val="18"/>
    </w:rPr>
  </w:style>
  <w:style w:type="table" w:styleId="TableGrid">
    <w:name w:val="Table Grid"/>
    <w:basedOn w:val="TableNormal"/>
    <w:uiPriority w:val="39"/>
    <w:rsid w:val="007C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352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1667248">
      <w:bodyDiv w:val="1"/>
      <w:marLeft w:val="0"/>
      <w:marRight w:val="0"/>
      <w:marTop w:val="0"/>
      <w:marBottom w:val="0"/>
      <w:divBdr>
        <w:top w:val="none" w:sz="0" w:space="0" w:color="auto"/>
        <w:left w:val="none" w:sz="0" w:space="0" w:color="auto"/>
        <w:bottom w:val="none" w:sz="0" w:space="0" w:color="auto"/>
        <w:right w:val="none" w:sz="0" w:space="0" w:color="auto"/>
      </w:divBdr>
      <w:divsChild>
        <w:div w:id="1626110095">
          <w:blockQuote w:val="1"/>
          <w:marLeft w:val="720"/>
          <w:marRight w:val="720"/>
          <w:marTop w:val="100"/>
          <w:marBottom w:val="100"/>
          <w:divBdr>
            <w:top w:val="none" w:sz="0" w:space="0" w:color="auto"/>
            <w:left w:val="none" w:sz="0" w:space="0" w:color="auto"/>
            <w:bottom w:val="none" w:sz="0" w:space="0" w:color="auto"/>
            <w:right w:val="none" w:sz="0" w:space="0" w:color="auto"/>
          </w:divBdr>
        </w:div>
        <w:div w:id="959920089">
          <w:blockQuote w:val="1"/>
          <w:marLeft w:val="720"/>
          <w:marRight w:val="720"/>
          <w:marTop w:val="100"/>
          <w:marBottom w:val="100"/>
          <w:divBdr>
            <w:top w:val="none" w:sz="0" w:space="0" w:color="auto"/>
            <w:left w:val="none" w:sz="0" w:space="0" w:color="auto"/>
            <w:bottom w:val="none" w:sz="0" w:space="0" w:color="auto"/>
            <w:right w:val="none" w:sz="0" w:space="0" w:color="auto"/>
          </w:divBdr>
        </w:div>
        <w:div w:id="39447199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73300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095327">
          <w:blockQuote w:val="1"/>
          <w:marLeft w:val="720"/>
          <w:marRight w:val="720"/>
          <w:marTop w:val="100"/>
          <w:marBottom w:val="100"/>
          <w:divBdr>
            <w:top w:val="none" w:sz="0" w:space="0" w:color="auto"/>
            <w:left w:val="none" w:sz="0" w:space="0" w:color="auto"/>
            <w:bottom w:val="none" w:sz="0" w:space="0" w:color="auto"/>
            <w:right w:val="none" w:sz="0" w:space="0" w:color="auto"/>
          </w:divBdr>
        </w:div>
        <w:div w:id="54668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178223">
          <w:blockQuote w:val="1"/>
          <w:marLeft w:val="720"/>
          <w:marRight w:val="720"/>
          <w:marTop w:val="100"/>
          <w:marBottom w:val="100"/>
          <w:divBdr>
            <w:top w:val="none" w:sz="0" w:space="0" w:color="auto"/>
            <w:left w:val="none" w:sz="0" w:space="0" w:color="auto"/>
            <w:bottom w:val="none" w:sz="0" w:space="0" w:color="auto"/>
            <w:right w:val="none" w:sz="0" w:space="0" w:color="auto"/>
          </w:divBdr>
        </w:div>
        <w:div w:id="9432682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491860">
          <w:blockQuote w:val="1"/>
          <w:marLeft w:val="720"/>
          <w:marRight w:val="720"/>
          <w:marTop w:val="100"/>
          <w:marBottom w:val="100"/>
          <w:divBdr>
            <w:top w:val="none" w:sz="0" w:space="0" w:color="auto"/>
            <w:left w:val="none" w:sz="0" w:space="0" w:color="auto"/>
            <w:bottom w:val="none" w:sz="0" w:space="0" w:color="auto"/>
            <w:right w:val="none" w:sz="0" w:space="0" w:color="auto"/>
          </w:divBdr>
        </w:div>
        <w:div w:id="768894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567863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950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5631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5506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919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000933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664847">
          <w:blockQuote w:val="1"/>
          <w:marLeft w:val="720"/>
          <w:marRight w:val="720"/>
          <w:marTop w:val="100"/>
          <w:marBottom w:val="100"/>
          <w:divBdr>
            <w:top w:val="none" w:sz="0" w:space="0" w:color="auto"/>
            <w:left w:val="none" w:sz="0" w:space="0" w:color="auto"/>
            <w:bottom w:val="none" w:sz="0" w:space="0" w:color="auto"/>
            <w:right w:val="none" w:sz="0" w:space="0" w:color="auto"/>
          </w:divBdr>
        </w:div>
        <w:div w:id="214022050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108051">
          <w:blockQuote w:val="1"/>
          <w:marLeft w:val="720"/>
          <w:marRight w:val="720"/>
          <w:marTop w:val="100"/>
          <w:marBottom w:val="100"/>
          <w:divBdr>
            <w:top w:val="none" w:sz="0" w:space="0" w:color="auto"/>
            <w:left w:val="none" w:sz="0" w:space="0" w:color="auto"/>
            <w:bottom w:val="none" w:sz="0" w:space="0" w:color="auto"/>
            <w:right w:val="none" w:sz="0" w:space="0" w:color="auto"/>
          </w:divBdr>
        </w:div>
        <w:div w:id="143616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456872934">
          <w:blockQuote w:val="1"/>
          <w:marLeft w:val="720"/>
          <w:marRight w:val="720"/>
          <w:marTop w:val="100"/>
          <w:marBottom w:val="100"/>
          <w:divBdr>
            <w:top w:val="none" w:sz="0" w:space="0" w:color="auto"/>
            <w:left w:val="none" w:sz="0" w:space="0" w:color="auto"/>
            <w:bottom w:val="none" w:sz="0" w:space="0" w:color="auto"/>
            <w:right w:val="none" w:sz="0" w:space="0" w:color="auto"/>
          </w:divBdr>
        </w:div>
        <w:div w:id="881943754">
          <w:blockQuote w:val="1"/>
          <w:marLeft w:val="720"/>
          <w:marRight w:val="720"/>
          <w:marTop w:val="100"/>
          <w:marBottom w:val="100"/>
          <w:divBdr>
            <w:top w:val="none" w:sz="0" w:space="0" w:color="auto"/>
            <w:left w:val="none" w:sz="0" w:space="0" w:color="auto"/>
            <w:bottom w:val="none" w:sz="0" w:space="0" w:color="auto"/>
            <w:right w:val="none" w:sz="0" w:space="0" w:color="auto"/>
          </w:divBdr>
        </w:div>
        <w:div w:id="853569721">
          <w:blockQuote w:val="1"/>
          <w:marLeft w:val="720"/>
          <w:marRight w:val="720"/>
          <w:marTop w:val="100"/>
          <w:marBottom w:val="100"/>
          <w:divBdr>
            <w:top w:val="none" w:sz="0" w:space="0" w:color="auto"/>
            <w:left w:val="none" w:sz="0" w:space="0" w:color="auto"/>
            <w:bottom w:val="none" w:sz="0" w:space="0" w:color="auto"/>
            <w:right w:val="none" w:sz="0" w:space="0" w:color="auto"/>
          </w:divBdr>
        </w:div>
        <w:div w:id="4587615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0322653">
      <w:bodyDiv w:val="1"/>
      <w:marLeft w:val="0"/>
      <w:marRight w:val="0"/>
      <w:marTop w:val="0"/>
      <w:marBottom w:val="0"/>
      <w:divBdr>
        <w:top w:val="none" w:sz="0" w:space="0" w:color="auto"/>
        <w:left w:val="none" w:sz="0" w:space="0" w:color="auto"/>
        <w:bottom w:val="none" w:sz="0" w:space="0" w:color="auto"/>
        <w:right w:val="none" w:sz="0" w:space="0" w:color="auto"/>
      </w:divBdr>
    </w:div>
    <w:div w:id="1888684867">
      <w:bodyDiv w:val="1"/>
      <w:marLeft w:val="0"/>
      <w:marRight w:val="0"/>
      <w:marTop w:val="0"/>
      <w:marBottom w:val="0"/>
      <w:divBdr>
        <w:top w:val="none" w:sz="0" w:space="0" w:color="auto"/>
        <w:left w:val="none" w:sz="0" w:space="0" w:color="auto"/>
        <w:bottom w:val="none" w:sz="0" w:space="0" w:color="auto"/>
        <w:right w:val="none" w:sz="0" w:space="0" w:color="auto"/>
      </w:divBdr>
    </w:div>
    <w:div w:id="193273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s://www.icann.org/resources/pages/governance/bylaws-en"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www.icann.org/en/system/files/files/ccwg-accountability-supp-proposal-work-stream-1-recs-23feb16-en.pdf" TargetMode="External"/><Relationship Id="rId2" Type="http://schemas.openxmlformats.org/officeDocument/2006/relationships/hyperlink" Target="https://www.icann.org/resources/pages/governance/bylaws-en/" TargetMode="External"/><Relationship Id="rId1" Type="http://schemas.openxmlformats.org/officeDocument/2006/relationships/hyperlink" Target="https://www.icann.org/resources/pages/governance/bylaws-en/" TargetMode="External"/><Relationship Id="rId4" Type="http://schemas.openxmlformats.org/officeDocument/2006/relationships/hyperlink" Target="https://www.icann.org/en/system/files/files/ccwg-accountability-supp-proposal-work-stream-1-recs-23feb16-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60004-01C3-4620-A80A-50DCDCD60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2038</Words>
  <Characters>11619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AlanGreenberg</cp:lastModifiedBy>
  <cp:revision>3</cp:revision>
  <dcterms:created xsi:type="dcterms:W3CDTF">2017-01-29T05:25:00Z</dcterms:created>
  <dcterms:modified xsi:type="dcterms:W3CDTF">2017-01-29T05:41:00Z</dcterms:modified>
</cp:coreProperties>
</file>