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Prelude: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 the working document of CCWG WS2 Design Team for ICANN Human Rights Bylaw Frame of Interpretation</w:t>
      </w:r>
      <w:r w:rsidDel="00000000" w:rsidR="00000000" w:rsidRPr="00000000">
        <w:rPr>
          <w:b w:val="1"/>
          <w:rtl w:val="0"/>
        </w:rPr>
        <w:t xml:space="preserve">. Please use ‘suggest’ mode at all times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Relevant documents:</w:t>
      </w:r>
    </w:p>
    <w:p w:rsidR="00000000" w:rsidDel="00000000" w:rsidP="00000000" w:rsidRDefault="00000000" w:rsidRPr="00000000">
      <w:pPr>
        <w:contextualSpacing w:val="0"/>
      </w:pPr>
      <w:r w:rsidDel="00000000" w:rsidR="00000000" w:rsidRPr="00000000">
        <w:rPr>
          <w:rtl w:val="0"/>
        </w:rPr>
        <w:tab/>
      </w:r>
      <w:hyperlink r:id="rId6">
        <w:r w:rsidDel="00000000" w:rsidR="00000000" w:rsidRPr="00000000">
          <w:rPr>
            <w:color w:val="1155cc"/>
            <w:u w:val="single"/>
            <w:rtl w:val="0"/>
          </w:rPr>
          <w:t xml:space="preserve">Design Team Wiki</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7">
        <w:r w:rsidDel="00000000" w:rsidR="00000000" w:rsidRPr="00000000">
          <w:rPr>
            <w:color w:val="1155cc"/>
            <w:u w:val="single"/>
            <w:rtl w:val="0"/>
          </w:rPr>
          <w:t xml:space="preserve">Background paper</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8">
        <w:r w:rsidDel="00000000" w:rsidR="00000000" w:rsidRPr="00000000">
          <w:rPr>
            <w:color w:val="1155cc"/>
            <w:u w:val="single"/>
            <w:rtl w:val="0"/>
          </w:rPr>
          <w:t xml:space="preserve">Concerns about potential negative or unintended impacts of HR bylaw</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9">
        <w:r w:rsidDel="00000000" w:rsidR="00000000" w:rsidRPr="00000000">
          <w:rPr>
            <w:color w:val="1155cc"/>
            <w:u w:val="single"/>
            <w:rtl w:val="0"/>
          </w:rPr>
          <w:t xml:space="preserve">Analysis of Ruggie Principles for ICANN</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0">
        <w:r w:rsidDel="00000000" w:rsidR="00000000" w:rsidRPr="00000000">
          <w:rPr>
            <w:color w:val="1155cc"/>
            <w:u w:val="single"/>
            <w:rtl w:val="0"/>
          </w:rPr>
          <w:t xml:space="preserve">Summary of what was agreed &amp; discussed during WS1 on Human Rights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1">
        <w:r w:rsidDel="00000000" w:rsidR="00000000" w:rsidRPr="00000000">
          <w:rPr>
            <w:color w:val="1155cc"/>
            <w:u w:val="single"/>
            <w:rtl w:val="0"/>
          </w:rPr>
          <w:t xml:space="preserve">Previous Draft FoI, based on Ruggie Principles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2">
        <w:r w:rsidDel="00000000" w:rsidR="00000000" w:rsidRPr="00000000">
          <w:rPr>
            <w:color w:val="1155cc"/>
            <w:u w:val="single"/>
            <w:rtl w:val="0"/>
          </w:rPr>
          <w:t xml:space="preserve">Draft Human Rights Policies and Processes Document</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3">
        <w:r w:rsidDel="00000000" w:rsidR="00000000" w:rsidRPr="00000000">
          <w:rPr>
            <w:color w:val="1155cc"/>
            <w:u w:val="single"/>
            <w:rtl w:val="0"/>
          </w:rPr>
          <w:t xml:space="preserve">CCWG report</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4">
        <w:r w:rsidDel="00000000" w:rsidR="00000000" w:rsidRPr="00000000">
          <w:rPr>
            <w:color w:val="1155cc"/>
            <w:u w:val="single"/>
            <w:rtl w:val="0"/>
          </w:rPr>
          <w:t xml:space="preserve">Annex 6</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5">
        <w:r w:rsidDel="00000000" w:rsidR="00000000" w:rsidRPr="00000000">
          <w:rPr>
            <w:color w:val="1155cc"/>
            <w:u w:val="single"/>
            <w:rtl w:val="0"/>
          </w:rPr>
          <w:t xml:space="preserve">Annex 12</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Text of the new Bylaws Core Value as adopted in </w:t>
      </w:r>
      <w:r w:rsidDel="00000000" w:rsidR="00000000" w:rsidRPr="00000000">
        <w:rPr>
          <w:b w:val="1"/>
          <w:rtl w:val="0"/>
        </w:rPr>
        <w:t xml:space="preserve">May</w:t>
      </w:r>
      <w:r w:rsidDel="00000000" w:rsidR="00000000" w:rsidRPr="00000000">
        <w:rPr>
          <w:b w:val="1"/>
          <w:rtl w:val="0"/>
        </w:rPr>
        <w:t xml:space="preserve">:</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(viii) Subject to the limitations set forth in Section 27.2,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Text of Section 27.2. as adopted:</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27.2. HUMAN RIGHTS (a) The Core Value set forth in Section 1.2(b)(viii) shall have no force or effect unless and until a framework of interpretation for human rights (“FOI-HR”) is (i) approved for submission to the Board by the CCWG-Accountability as a consensus recommendation in Work Stream 2, with the CCWG Chartering Organizations having the role described in the CCWG-Accountability Charter, and (ii) approved by the Board, in each case, using the same process and criteria as for Work Stream 1 Recommendations. (b) No person or entity shall be entitled to invoke the reconsideration process provided in Section 4.2, or the independent review process provided in</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4.3, based solely on the inclusion of the Core Value set forth in Section 1.2(b)(viii) (i) until after the FOI-HR contemplated by Section 27.2(a) is in place or (ii) for actions of ICANN or the Board that occurred prior to the effectiveness of the </w:t>
      </w:r>
      <w:r w:rsidDel="00000000" w:rsidR="00000000" w:rsidRPr="00000000">
        <w:rPr>
          <w:color w:val="333333"/>
          <w:sz w:val="20"/>
          <w:szCs w:val="20"/>
          <w:highlight w:val="white"/>
          <w:rtl w:val="0"/>
        </w:rPr>
        <w:t xml:space="preserve">FOI-HR</w:t>
      </w:r>
      <w:r w:rsidDel="00000000" w:rsidR="00000000" w:rsidRPr="00000000">
        <w:rPr>
          <w:color w:val="333333"/>
          <w:sz w:val="20"/>
          <w:szCs w:val="20"/>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_________________________________________________________________________</w:t>
        <w:tab/>
        <w:t xml:space="preserve"> </w:t>
        <w:tab/>
        <w:t xml:space="preserve"> </w:t>
        <w:tab/>
      </w:r>
    </w:p>
    <w:tbl>
      <w:tblPr>
        <w:tblStyle w:val="Table1"/>
        <w:bidi w:val="0"/>
        <w:tblW w:w="12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10905"/>
        <w:tblGridChange w:id="0">
          <w:tblGrid>
            <w:gridCol w:w="1980"/>
            <w:gridCol w:w="10905"/>
          </w:tblGrid>
        </w:tblGridChange>
      </w:tblGrid>
      <w:tr>
        <w:tc>
          <w:tcPr>
            <w:tcBorders>
              <w:bottom w:color="000000" w:space="0" w:sz="8" w:val="single"/>
              <w:right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ICANN Bylaw Language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Proposed </w:t>
            </w:r>
            <w:r w:rsidDel="00000000" w:rsidR="00000000" w:rsidRPr="00000000">
              <w:rPr>
                <w:b w:val="1"/>
                <w:shd w:fill="d9d9d9" w:val="clear"/>
                <w:rtl w:val="0"/>
              </w:rPr>
              <w:t xml:space="preserve">Commentary</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its Mission’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ICANN’s Mission is set forth in Section 1.1 of the ICANN Bylaws (see Annex 1):</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The Mission establishes the boundaries of ICANN’s Core Value to respect human rights. Due to the broad scope of human rights, attention to this limitation is necessary to ensure that ICANN will not step outside of its defined scope and mission. In this regard, any interpretation of the application of the Human Rights Core Value - provided in the Framework of Interpretation - must be checked against ICANN’s Mission to ensure compliance with the general limitations provided in this part of the Bylaw.  </w:t>
            </w:r>
          </w:p>
          <w:p w:rsidR="00000000" w:rsidDel="00000000" w:rsidP="00000000" w:rsidRDefault="00000000" w:rsidRPr="00000000">
            <w:pPr>
              <w:widowControl w:val="0"/>
              <w:spacing w:line="331.2" w:lineRule="auto"/>
              <w:contextualSpacing w:val="0"/>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other Core Values’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It is important to stress that the Human Rights Bylaw is a Core Value and not a Commitment.  </w:t>
            </w:r>
            <w:r w:rsidDel="00000000" w:rsidR="00000000" w:rsidRPr="00000000">
              <w:rPr>
                <w:rFonts w:ascii="Times New Roman" w:cs="Times New Roman" w:eastAsia="Times New Roman" w:hAnsi="Times New Roman"/>
                <w:i w:val="1"/>
                <w:sz w:val="24"/>
                <w:szCs w:val="24"/>
                <w:highlight w:val="white"/>
                <w:rtl w:val="0"/>
              </w:rPr>
              <w:t xml:space="preserve">“The Commitments reflect ICANN’s fundamental compact with the global Internet community and are intended to apply consistently and comprehensively to ICANN’s activities.”</w:t>
            </w:r>
            <w:r w:rsidDel="00000000" w:rsidR="00000000" w:rsidRPr="00000000">
              <w:rPr>
                <w:highlight w:val="white"/>
                <w:rtl w:val="0"/>
              </w:rPr>
              <w:t xml:space="preserve"> (Bylaws, Section 1.2(c))</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In contrast, Core Values are not necessarily intended to apply consistently and comprehensively to ICANN’s activities.  Rather, the Core Values are subject to the following interpretive rules in the Bylaws:</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ind w:left="720" w:firstLine="0"/>
              <w:contextualSpacing w:val="0"/>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competing Core Value, the result of the balancing must serve a policy developed through the bottom-up multistakeholder process or otherwise best serve ICANN’s Mission.”</w:t>
            </w:r>
          </w:p>
          <w:p w:rsidR="00000000" w:rsidDel="00000000" w:rsidP="00000000" w:rsidRDefault="00000000" w:rsidRPr="00000000">
            <w:pPr>
              <w:widowControl w:val="0"/>
              <w:spacing w:line="331.20000000000005" w:lineRule="auto"/>
              <w:ind w:left="720" w:firstLine="0"/>
              <w:contextualSpacing w:val="0"/>
            </w:pPr>
            <w:r w:rsidDel="00000000" w:rsidR="00000000" w:rsidRPr="00000000">
              <w:rPr>
                <w:sz w:val="20"/>
                <w:szCs w:val="20"/>
                <w:highlight w:val="white"/>
                <w:rtl w:val="0"/>
              </w:rPr>
              <w:t xml:space="preserve">Bylaws, Section 1.2(c).</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The Human Rights bylaw needs to be balanced against other Core Values in the case where not all Core Values can be fully adhered to simultaneously. Furthermore, this interpretive rule recognises that there must be flexibility in applying the Core Values, based on “many factors” that occur in “any given situation.”  This is also made clear in the Core Values section of the Bylaws, which states that the Core Values are intended to “guide” ICANN in its “decisions and actions.”</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The Bylaws also prominently stress that the Core Values have to be “respected” (</w:t>
            </w:r>
            <w:r w:rsidDel="00000000" w:rsidR="00000000" w:rsidRPr="00000000">
              <w:rPr>
                <w:highlight w:val="white"/>
                <w:rtl w:val="0"/>
              </w:rPr>
              <w:t xml:space="preserve">“</w:t>
            </w:r>
            <w:r w:rsidDel="00000000" w:rsidR="00000000" w:rsidRPr="00000000">
              <w:rPr>
                <w:color w:val="333333"/>
                <w:sz w:val="24"/>
                <w:szCs w:val="24"/>
                <w:highlight w:val="white"/>
                <w:rtl w:val="0"/>
              </w:rPr>
              <w:t xml:space="preserve">ICANN will act in a manner that complies wi</w:t>
            </w:r>
            <w:r w:rsidDel="00000000" w:rsidR="00000000" w:rsidRPr="00000000">
              <w:rPr>
                <w:highlight w:val="white"/>
                <w:rtl w:val="0"/>
              </w:rPr>
              <w:t xml:space="preserve">th and reflects ICANN's Commitments and respects ICANN's Core </w:t>
            </w:r>
            <w:r w:rsidDel="00000000" w:rsidR="00000000" w:rsidRPr="00000000">
              <w:rPr>
                <w:highlight w:val="white"/>
                <w:rtl w:val="0"/>
              </w:rPr>
              <w:t xml:space="preserve">Values</w:t>
            </w:r>
            <w:r w:rsidDel="00000000" w:rsidR="00000000" w:rsidRPr="00000000">
              <w:rPr>
                <w:highlight w:val="white"/>
                <w:rtl w:val="0"/>
              </w:rPr>
              <w:t xml:space="preserve">” as described in Bylaws, Section 1.2).</w:t>
            </w: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Finally, there is no legal hierarchy among the Core Values according to the Bylaws.  The balance must be determined on a case by case basis, on the basis of proportionality, without automatically favoring any particular Core Value. The result of a balancing-test must not cause ICANN to violate any Commitment, as Commitments are </w:t>
            </w:r>
            <w:r w:rsidDel="00000000" w:rsidR="00000000" w:rsidRPr="00000000">
              <w:rPr>
                <w:highlight w:val="white"/>
                <w:rtl w:val="0"/>
              </w:rPr>
              <w:t xml:space="preserve">binding</w:t>
            </w:r>
            <w:r w:rsidDel="00000000" w:rsidR="00000000" w:rsidRPr="00000000">
              <w:rPr>
                <w:highlight w:val="white"/>
                <w:rtl w:val="0"/>
              </w:rPr>
              <w:t xml:space="preserve">.</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The other Core Values are set forth in Annex two of this document.</w:t>
            </w: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‘respecting’</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ICANN will respect human rights, as required by applicable law (see below on applicable law). In order to do so,  ICANN should avoid violating human rights, and take human rights into account in developing its policies as well as in its decision-making processes. </w:t>
            </w: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‘internationally recognized human rights’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There are a range of </w:t>
            </w:r>
            <w:r w:rsidDel="00000000" w:rsidR="00000000" w:rsidRPr="00000000">
              <w:rPr>
                <w:highlight w:val="white"/>
                <w:rtl w:val="0"/>
              </w:rPr>
              <w:t xml:space="preserve">International human-rights declarations and covenants that could be relevant to ICANN’s Human Rights Core Value.</w:t>
            </w:r>
            <w:r w:rsidDel="00000000" w:rsidR="00000000" w:rsidRPr="00000000">
              <w:rPr>
                <w:highlight w:val="white"/>
                <w:vertAlign w:val="superscript"/>
              </w:rPr>
              <w:footnoteReference w:customMarkFollows="0" w:id="0"/>
            </w:r>
            <w:r w:rsidDel="00000000" w:rsidR="00000000" w:rsidRPr="00000000">
              <w:rPr>
                <w:highlight w:val="white"/>
                <w:rtl w:val="0"/>
              </w:rPr>
              <w:t xml:space="preserve"> </w:t>
            </w:r>
            <w:r w:rsidDel="00000000" w:rsidR="00000000" w:rsidRPr="00000000">
              <w:rPr>
                <w:highlight w:val="white"/>
                <w:rtl w:val="0"/>
              </w:rPr>
              <w:t xml:space="preserve">However, none of these instruments has a direct application to ICANN, because they only create obligations for States. By committing to one or more of these international instruments, nation states are expected to embed human rights in their national legislation. </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The reference to “internationally recognized human rights” in the bylaw should not be read in isolation; rather it must be considered together  with, and limited by, the reference “as required by applicable law.”  As a consequence, under the Human Rights Core Value, international human rights instruments are not directly applicable to ICANN beyond what is provided for in applicable law.  Rather, only those human rights that are “required by applicable law” will be relevant to ICANN.</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Furthermore, depending on the jurisdiction in which ICANN operates, the law applicable to its operations may vary and thus the human rights applicable to ICANN’s operations will vary as well.</w:t>
            </w:r>
          </w:p>
          <w:p w:rsidR="00000000" w:rsidDel="00000000" w:rsidP="00000000" w:rsidRDefault="00000000" w:rsidRPr="00000000">
            <w:pPr>
              <w:widowControl w:val="0"/>
              <w:spacing w:line="331.2" w:lineRule="auto"/>
              <w:contextualSpacing w:val="0"/>
            </w:pPr>
            <w:r w:rsidDel="00000000" w:rsidR="00000000" w:rsidRPr="00000000">
              <w:rPr>
                <w:rtl w:val="0"/>
              </w:rPr>
            </w:r>
          </w:p>
          <w:p w:rsidR="00000000" w:rsidDel="00000000" w:rsidP="00000000" w:rsidRDefault="00000000" w:rsidRPr="00000000">
            <w:pPr>
              <w:widowControl w:val="0"/>
              <w:spacing w:line="331.2" w:lineRule="auto"/>
              <w:contextualSpacing w:val="0"/>
            </w:pPr>
            <w:r w:rsidDel="00000000" w:rsidR="00000000" w:rsidRPr="00000000">
              <w:rPr>
                <w:highlight w:val="white"/>
                <w:rtl w:val="0"/>
              </w:rPr>
              <w:t xml:space="preserve">Nevertheless, ICANN understands that internationally recognised human rights, including those expressed in the Universal Declaration of Human Rights, can guide its decisions and actions.</w:t>
            </w: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‘as required by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“Applicable law” refers to the body of law that binds ICANN at any given time, in any given circumstance and in any relevant jurisdiction. It consists of statutes, rules, regulations, etcetera, as well as judicial opinions, where appropriate. It is a dynamic concept inasmuch as laws, regulations, etcetera, change over time.  </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Applicable law can have disparate impacts on ICANN around the globe: for example, if ICANN employs personnel in different jurisdictions then it must observe the appropriate labour laws in those various locales.  Applicable law is thus a large body of law that eludes our ability to catalogue, but it is ascertainable in the context of a specific question or issue.</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This limitation requires an analysis to determine whether any human right that is proposed as a guide or limitation to ICANN activities or policy is “required by applicable law”.  If it is, then abiding by the Core Value should include avoiding a violation of that Human Right.  If the human right is not required by applicable law, then it does not raise issues under the Core Value.  However, ICANN may still give this human right consideration, even though it is under no guidance to do so pursuant to the Core Values.</w:t>
            </w: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create, and shall not be interpreted to create, any obligation on ICANN outside its Mission or beyond obligations found in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This sentence restates the basic concept that the Human Rights Core Value cannot create or be used to create any obligations that go beyond the limits of ICANN’s Mission or applicable law.</w:t>
            </w:r>
          </w:p>
          <w:p w:rsidR="00000000" w:rsidDel="00000000" w:rsidP="00000000" w:rsidRDefault="00000000" w:rsidRPr="00000000">
            <w:pPr>
              <w:widowControl w:val="0"/>
              <w:spacing w:line="331.20000000000005" w:lineRule="auto"/>
              <w:contextualSpacing w:val="0"/>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obligate ICANN to enforce its human rights obligations or the human rights obligations of other parties, against other parties’</w:t>
              <w:tab/>
              <w:tab/>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This part of the bylaw draws the clear line between “respect” for human rights as a Core Value and any attempt to extend the Bylaw into requiring ICANN to impose on or coerce third parties to avoid human rights violations on the part of those third parties.</w:t>
            </w:r>
          </w:p>
          <w:p w:rsidR="00000000" w:rsidDel="00000000" w:rsidP="00000000" w:rsidRDefault="00000000" w:rsidRPr="00000000">
            <w:pPr>
              <w:widowControl w:val="0"/>
              <w:spacing w:line="331.20000000000005" w:lineRule="auto"/>
              <w:contextualSpacing w:val="0"/>
            </w:pPr>
            <w:r w:rsidDel="00000000" w:rsidR="00000000" w:rsidRPr="00000000">
              <w:rPr>
                <w:rtl w:val="0"/>
              </w:rPr>
            </w:r>
          </w:p>
          <w:p w:rsidR="00000000" w:rsidDel="00000000" w:rsidP="00000000" w:rsidRDefault="00000000" w:rsidRPr="00000000">
            <w:pPr>
              <w:widowControl w:val="0"/>
              <w:spacing w:line="331.20000000000005" w:lineRule="auto"/>
              <w:contextualSpacing w:val="0"/>
            </w:pPr>
            <w:r w:rsidDel="00000000" w:rsidR="00000000" w:rsidRPr="00000000">
              <w:rPr>
                <w:highlight w:val="white"/>
                <w:rtl w:val="0"/>
              </w:rPr>
              <w:t xml:space="preserve">The Core Value does not suggest or represent any enforcement obligation by ICANN in any sense.  </w:t>
            </w:r>
          </w:p>
          <w:p w:rsidR="00000000" w:rsidDel="00000000" w:rsidP="00000000" w:rsidRDefault="00000000" w:rsidRPr="00000000">
            <w:pPr>
              <w:widowControl w:val="0"/>
              <w:spacing w:line="331.20000000000005"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0000000000005" w:lineRule="auto"/>
        <w:contextualSpacing w:val="0"/>
      </w:pPr>
      <w:r w:rsidDel="00000000" w:rsidR="00000000" w:rsidRPr="00000000">
        <w:rPr>
          <w:b w:val="1"/>
          <w:rtl w:val="0"/>
        </w:rPr>
        <w:t xml:space="preserve">ANNEX 1.</w:t>
      </w:r>
    </w:p>
    <w:p w:rsidR="00000000" w:rsidDel="00000000" w:rsidP="00000000" w:rsidRDefault="00000000" w:rsidRPr="00000000">
      <w:pPr>
        <w:spacing w:line="331.20000000000005" w:lineRule="auto"/>
        <w:contextualSpacing w:val="0"/>
      </w:pPr>
      <w:r w:rsidDel="00000000" w:rsidR="00000000" w:rsidRPr="00000000">
        <w:rPr>
          <w:rtl w:val="0"/>
        </w:rPr>
        <w:t xml:space="preserve">Section 1.1 of the ICANN Bylaws (ICANN mission)</w:t>
      </w:r>
    </w:p>
    <w:p w:rsidR="00000000" w:rsidDel="00000000" w:rsidP="00000000" w:rsidRDefault="00000000" w:rsidRPr="00000000">
      <w:pPr>
        <w:spacing w:line="331.20000000000005" w:lineRule="auto"/>
        <w:contextualSpacing w:val="0"/>
      </w:pPr>
      <w:r w:rsidDel="00000000" w:rsidR="00000000" w:rsidRPr="00000000">
        <w:rPr>
          <w:rtl w:val="0"/>
        </w:rPr>
      </w:r>
    </w:p>
    <w:p w:rsidR="00000000" w:rsidDel="00000000" w:rsidP="00000000" w:rsidRDefault="00000000" w:rsidRPr="00000000">
      <w:pPr>
        <w:spacing w:line="331.20000000000005" w:lineRule="auto"/>
        <w:contextualSpacing w:val="0"/>
      </w:pPr>
      <w:r w:rsidDel="00000000" w:rsidR="00000000" w:rsidRPr="00000000">
        <w:rPr>
          <w:rFonts w:ascii="Times New Roman" w:cs="Times New Roman" w:eastAsia="Times New Roman" w:hAnsi="Times New Roman"/>
          <w:i w:val="1"/>
          <w:sz w:val="24"/>
          <w:szCs w:val="24"/>
          <w:rtl w:val="0"/>
        </w:rPr>
        <w:t xml:space="preserve">(a) The mission of the Internet Corporation for Assigned Names and Numbers (“ICANN”) is to ensure the stable and secure operation of the Internet’s unique identifier systems as described in this Section 1.1(a) (the “Mission”). Specifically, ICANN:</w:t>
        <w:br w:type="textWrapping"/>
        <w:br w:type="textWrapping"/>
        <w:t xml:space="preserve">(i)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rsidR="00000000" w:rsidDel="00000000" w:rsidP="00000000" w:rsidRDefault="00000000" w:rsidRPr="00000000">
      <w:pPr>
        <w:numPr>
          <w:ilvl w:val="0"/>
          <w:numId w:val="1"/>
        </w:numPr>
        <w:spacing w:line="331.20000000000005" w:lineRule="auto"/>
        <w:ind w:left="360"/>
        <w:contextualSpacing w:val="1"/>
        <w:rPr>
          <w:i w:val="1"/>
          <w:sz w:val="24"/>
          <w:szCs w:val="24"/>
        </w:rPr>
      </w:pPr>
      <w:r w:rsidDel="00000000" w:rsidR="00000000" w:rsidRPr="00000000">
        <w:rPr>
          <w:rFonts w:ascii="Times New Roman" w:cs="Times New Roman" w:eastAsia="Times New Roman" w:hAnsi="Times New Roman"/>
          <w:i w:val="1"/>
          <w:sz w:val="24"/>
          <w:szCs w:val="24"/>
          <w:rtl w:val="0"/>
        </w:rPr>
        <w:t xml:space="preserve">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rsidR="00000000" w:rsidDel="00000000" w:rsidP="00000000" w:rsidRDefault="00000000" w:rsidRPr="00000000">
      <w:pPr>
        <w:numPr>
          <w:ilvl w:val="0"/>
          <w:numId w:val="1"/>
        </w:numPr>
        <w:spacing w:line="331.20000000000005" w:lineRule="auto"/>
        <w:ind w:left="360"/>
        <w:contextualSpacing w:val="1"/>
        <w:rPr>
          <w:i w:val="1"/>
          <w:sz w:val="24"/>
          <w:szCs w:val="24"/>
        </w:rPr>
      </w:pPr>
      <w:r w:rsidDel="00000000" w:rsidR="00000000" w:rsidRPr="00000000">
        <w:rPr>
          <w:rFonts w:ascii="Times New Roman" w:cs="Times New Roman" w:eastAsia="Times New Roman" w:hAnsi="Times New Roman"/>
          <w:i w:val="1"/>
          <w:sz w:val="24"/>
          <w:szCs w:val="24"/>
          <w:rtl w:val="0"/>
        </w:rPr>
        <w:t xml:space="preserve">That are developed through a bottom-up consensus-based multistakeholder process and designed to ensure the stable and secure operation of the Internet’s unique names systems.</w:t>
        <w:br w:type="textWrapping"/>
        <w:br w:type="textWrapping"/>
      </w:r>
    </w:p>
    <w:p w:rsidR="00000000" w:rsidDel="00000000" w:rsidP="00000000" w:rsidRDefault="00000000" w:rsidRPr="00000000">
      <w:pPr>
        <w:spacing w:line="331.20000000000005" w:lineRule="auto"/>
        <w:contextualSpacing w:val="0"/>
      </w:pPr>
      <w:r w:rsidDel="00000000" w:rsidR="00000000" w:rsidRPr="00000000">
        <w:rPr>
          <w:rFonts w:ascii="Times New Roman" w:cs="Times New Roman" w:eastAsia="Times New Roman" w:hAnsi="Times New Roman"/>
          <w:i w:val="1"/>
          <w:sz w:val="24"/>
          <w:szCs w:val="24"/>
          <w:rtl w:val="0"/>
        </w:rPr>
        <w:t xml:space="preserve">The issues, policies, procedures, and principles addressed in Annex G-1 and Annex G-2 with respect to gTLD registrars and registries shall be deemed to be within ICANN’s Mission.</w:t>
        <w:br w:type="textWrapping"/>
        <w:br w:type="textWrapping"/>
        <w:t xml:space="preserve">(ii) Facilitates the coordination of the operation and evolution of the DNS root name server system.</w:t>
        <w:br w:type="textWrapping"/>
        <w:br w:type="textWrapping"/>
        <w:t xml:space="preserve">(iii)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br w:type="textWrapping"/>
        <w:br w:type="textWrapping"/>
        <w:t xml:space="preserve">(iv)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000000" w:rsidDel="00000000" w:rsidP="00000000" w:rsidRDefault="00000000" w:rsidRPr="00000000">
      <w:pPr>
        <w:spacing w:line="331.20000000000005" w:lineRule="auto"/>
        <w:contextualSpacing w:val="0"/>
      </w:pPr>
      <w:r w:rsidDel="00000000" w:rsidR="00000000" w:rsidRPr="00000000">
        <w:rPr>
          <w:rtl w:val="0"/>
        </w:rPr>
      </w:r>
    </w:p>
    <w:p w:rsidR="00000000" w:rsidDel="00000000" w:rsidP="00000000" w:rsidRDefault="00000000" w:rsidRPr="00000000">
      <w:pPr>
        <w:spacing w:line="331.20000000000005" w:lineRule="auto"/>
        <w:contextualSpacing w:val="0"/>
      </w:pPr>
      <w:r w:rsidDel="00000000" w:rsidR="00000000" w:rsidRPr="00000000">
        <w:rPr>
          <w:rFonts w:ascii="Times New Roman" w:cs="Times New Roman" w:eastAsia="Times New Roman" w:hAnsi="Times New Roman"/>
          <w:i w:val="1"/>
          <w:sz w:val="24"/>
          <w:szCs w:val="24"/>
          <w:rtl w:val="0"/>
        </w:rPr>
        <w:t xml:space="preserve">(b) ICANN shall not act outside its Mission.</w:t>
        <w:br w:type="textWrapping"/>
        <w:br w:type="textWrapping"/>
        <w:t xml:space="preserve">(c)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br w:type="textWrapping"/>
        <w:br w:type="textWrapping"/>
        <w:t xml:space="preserve">(d) For the avoidance of doubt and notwithstanding the foregoing:</w:t>
        <w:br w:type="textWrapping"/>
        <w:br w:type="textWrapping"/>
        <w:t xml:space="preserve">(i) the foregoing prohibitions are not intended to limit ICANN’s authority or ability to adopt or implement policies or procedures that take into account the use of domain names as natural-language identifiers;</w:t>
        <w:br w:type="textWrapping"/>
        <w:br w:type="textWrapping"/>
        <w:t xml:space="preserve">(ii) Notwithstanding any provision of the Bylaws to the contrary, the terms and conditions of the documents listed in subsections (A) through (C)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(“Bylaws”) or ICANN’s Articles of Incorporation (“Articles of Incorporation”):</w:t>
        <w:br w:type="textWrapping"/>
        <w:br w:type="textWrapping"/>
        <w:t xml:space="preserve">(A)</w:t>
        <w:br w:type="textWrapping"/>
        <w:br w:type="textWrapping"/>
        <w:t xml:space="preserve">(1) all registry agreements and registrar accreditation agreements between ICANN and registry operators or registrars in force on 1 October 2016 [1], including, in each case, any terms or conditions therein that are not contained in the underlying form of registry agreement and registrar accreditation agreement;</w:t>
        <w:br w:type="textWrapping"/>
        <w:br w:type="textWrapping"/>
        <w:t xml:space="preserve">(2) any registry agreement or registrar accreditation agreement not encompassed by (1) above to the extent its terms do not vary materially from the form of registry agreement or registrar accreditation agreement that existed on 1 October 2016;</w:t>
        <w:br w:type="textWrapping"/>
        <w:t xml:space="preserve">(B)any renewals of agreements described in subsection (A) pursuant to their terms and conditions for renewal; and</w:t>
        <w:br w:type="textWrapping"/>
        <w:br w:type="textWrapping"/>
        <w:t xml:space="preserve">(C)ICANN’s Five-Year Strategic Plan and Five-Year Operating Plan existing on 10 March 2016.</w:t>
        <w:br w:type="textWrapping"/>
        <w:br w:type="textWrapping"/>
        <w:t xml:space="preserve">(iii) Section 1.1(d)(ii) does not limit the ability of a party to any agreement described therein to challenge any provision of such agreement on any other basis, including the other party’s interpretation of the provision, in any proceeding or process involving ICANN.</w:t>
        <w:br w:type="textWrapping"/>
        <w:br w:type="textWrapping"/>
        <w:t xml:space="preserve">(iv) ICANN shall have the ability to negotiate, enter into and enforce agreements, including public interest commitments, with any party in service of its Mission.</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rtl w:val="0"/>
        </w:rPr>
        <w:t xml:space="preserve">ANNEX 2</w:t>
      </w:r>
    </w:p>
    <w:p w:rsidR="00000000" w:rsidDel="00000000" w:rsidP="00000000" w:rsidRDefault="00000000" w:rsidRPr="00000000">
      <w:pPr>
        <w:spacing w:line="331.2" w:lineRule="auto"/>
        <w:contextualSpacing w:val="0"/>
      </w:pPr>
      <w:r w:rsidDel="00000000" w:rsidR="00000000" w:rsidRPr="00000000">
        <w:rPr>
          <w:rtl w:val="0"/>
        </w:rPr>
        <w:t xml:space="preserve">Other Core Values</w:t>
      </w:r>
    </w:p>
    <w:p w:rsidR="00000000" w:rsidDel="00000000" w:rsidP="00000000" w:rsidRDefault="00000000" w:rsidRPr="00000000">
      <w:pPr>
        <w:contextualSpacing w:val="0"/>
      </w:pPr>
      <w:r w:rsidDel="00000000" w:rsidR="00000000" w:rsidRPr="00000000">
        <w:rPr>
          <w:rtl w:val="0"/>
        </w:rPr>
        <w:br w:type="textWrapping"/>
      </w:r>
      <w:r w:rsidDel="00000000" w:rsidR="00000000" w:rsidRPr="00000000">
        <w:rPr>
          <w:rFonts w:ascii="Times New Roman" w:cs="Times New Roman" w:eastAsia="Times New Roman" w:hAnsi="Times New Roman"/>
          <w:i w:val="1"/>
          <w:sz w:val="24"/>
          <w:szCs w:val="24"/>
          <w:highlight w:val="white"/>
          <w:rtl w:val="0"/>
        </w:rPr>
        <w:t xml:space="preserve">(i) To the extent feasible and appropriate, delegating coordination functions to or recognizing the policy role of, other responsible entities that reflect the interests of affected parties and the roles of bodies internal to ICANN and relevant external expert bodies;</w:t>
        <w:br w:type="textWrapping"/>
        <w:br w:type="textWrapping"/>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br w:type="textWrapping"/>
        <w:br w:type="textWrapping"/>
        <w:t xml:space="preserve">(iii) Where feasible and appropriate, depending on market mechanisms to promote and sustain a competitive environment in the DNS market;</w:t>
        <w:br w:type="textWrapping"/>
        <w:br w:type="textWrapping"/>
        <w:t xml:space="preserve">(iv) Introducing and promoting competition in the registration of domain names where practicable and beneficial to the public interest as identified through the bottom-up, multistakeholder policy development process;</w:t>
        <w:br w:type="textWrapping"/>
        <w:br w:type="textWrapping"/>
        <w:t xml:space="preserve">(v) Operating with efficiency and excellence, in a fiscally responsible and accountable manner and, where practicable and not inconsistent with ICANN’s other obligations under these Bylaws, at a speed that is responsive to the needs of the global Internet community;</w:t>
        <w:br w:type="textWrapping"/>
        <w:br w:type="textWrapping"/>
        <w:t xml:space="preserve">(vi) 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br w:type="textWrapping"/>
        <w:br w:type="textWrapping"/>
        <w:t xml:space="preserve">(vii) Striving to achieve a reasonable balance between the interests of different stakeholders, while also avoiding capture;</w:t>
      </w:r>
      <w:r w:rsidDel="00000000" w:rsidR="00000000" w:rsidRPr="00000000">
        <w:rPr>
          <w:rtl w:val="0"/>
        </w:rPr>
      </w:r>
    </w:p>
    <w:sectPr>
      <w:pgSz w:h="11906" w:w="16838"/>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highlight w:val="white"/>
          <w:rtl w:val="0"/>
        </w:rPr>
        <w:t xml:space="preserve">Including:</w:t>
      </w:r>
    </w:p>
    <w:p w:rsidR="00000000" w:rsidDel="00000000" w:rsidP="00000000" w:rsidRDefault="00000000" w:rsidRPr="00000000">
      <w:pPr>
        <w:widowControl w:val="0"/>
        <w:numPr>
          <w:ilvl w:val="0"/>
          <w:numId w:val="2"/>
        </w:numPr>
        <w:spacing w:line="331.2" w:lineRule="auto"/>
        <w:ind w:left="720" w:hanging="360"/>
        <w:contextualSpacing w:val="1"/>
        <w:rPr>
          <w:highlight w:val="white"/>
        </w:rPr>
      </w:pPr>
      <w:hyperlink r:id="rId1">
        <w:r w:rsidDel="00000000" w:rsidR="00000000" w:rsidRPr="00000000">
          <w:rPr>
            <w:color w:val="1155cc"/>
            <w:highlight w:val="white"/>
            <w:u w:val="single"/>
            <w:rtl w:val="0"/>
          </w:rPr>
          <w:t xml:space="preserve">Universal Declaration of Human Rights</w:t>
        </w:r>
      </w:hyperlink>
      <w:hyperlink r:id="rId2">
        <w:r w:rsidDel="00000000" w:rsidR="00000000" w:rsidRPr="00000000">
          <w:rPr>
            <w:highlight w:val="white"/>
            <w:rtl w:val="0"/>
          </w:rPr>
          <w:tab/>
        </w:r>
      </w:hyperlink>
    </w:p>
    <w:p w:rsidR="00000000" w:rsidDel="00000000" w:rsidP="00000000" w:rsidRDefault="00000000" w:rsidRPr="00000000">
      <w:pPr>
        <w:widowControl w:val="0"/>
        <w:numPr>
          <w:ilvl w:val="0"/>
          <w:numId w:val="2"/>
        </w:numPr>
        <w:spacing w:line="331.2" w:lineRule="auto"/>
        <w:ind w:left="720" w:hanging="360"/>
        <w:contextualSpacing w:val="1"/>
        <w:rPr>
          <w:highlight w:val="white"/>
        </w:rPr>
      </w:pPr>
      <w:hyperlink r:id="rId3">
        <w:r w:rsidDel="00000000" w:rsidR="00000000" w:rsidRPr="00000000">
          <w:rPr>
            <w:color w:val="1155cc"/>
            <w:highlight w:val="white"/>
            <w:u w:val="single"/>
            <w:rtl w:val="0"/>
          </w:rPr>
          <w:t xml:space="preserve">International Covenant on Civil and Political Rights</w:t>
        </w:r>
      </w:hyperlink>
      <w:hyperlink r:id="rId4">
        <w:r w:rsidDel="00000000" w:rsidR="00000000" w:rsidRPr="00000000">
          <w:rPr>
            <w:highlight w:val="white"/>
            <w:rtl w:val="0"/>
          </w:rPr>
          <w:tab/>
        </w:r>
      </w:hyperlink>
    </w:p>
    <w:p w:rsidR="00000000" w:rsidDel="00000000" w:rsidP="00000000" w:rsidRDefault="00000000" w:rsidRPr="00000000">
      <w:pPr>
        <w:widowControl w:val="0"/>
        <w:numPr>
          <w:ilvl w:val="0"/>
          <w:numId w:val="2"/>
        </w:numPr>
        <w:spacing w:line="331.2" w:lineRule="auto"/>
        <w:ind w:left="720" w:hanging="360"/>
        <w:contextualSpacing w:val="1"/>
        <w:rPr>
          <w:highlight w:val="white"/>
        </w:rPr>
      </w:pPr>
      <w:hyperlink r:id="rId5">
        <w:r w:rsidDel="00000000" w:rsidR="00000000" w:rsidRPr="00000000">
          <w:rPr>
            <w:color w:val="1155cc"/>
            <w:highlight w:val="white"/>
            <w:u w:val="single"/>
            <w:rtl w:val="0"/>
          </w:rPr>
          <w:t xml:space="preserve">International Covenant on Economic, Social and Cultural Rights</w:t>
        </w:r>
      </w:hyperlink>
      <w:hyperlink r:id="rId6">
        <w:r w:rsidDel="00000000" w:rsidR="00000000" w:rsidRPr="00000000">
          <w:rPr>
            <w:highlight w:val="white"/>
            <w:rtl w:val="0"/>
          </w:rPr>
          <w:tab/>
          <w:tab/>
        </w:r>
      </w:hyperlink>
    </w:p>
    <w:p w:rsidR="00000000" w:rsidDel="00000000" w:rsidP="00000000" w:rsidRDefault="00000000" w:rsidRPr="00000000">
      <w:pPr>
        <w:widowControl w:val="0"/>
        <w:numPr>
          <w:ilvl w:val="0"/>
          <w:numId w:val="2"/>
        </w:numPr>
        <w:spacing w:line="331.2" w:lineRule="auto"/>
        <w:ind w:left="720" w:hanging="360"/>
        <w:contextualSpacing w:val="1"/>
        <w:rPr>
          <w:highlight w:val="white"/>
        </w:rPr>
      </w:pPr>
      <w:hyperlink r:id="rId7">
        <w:r w:rsidDel="00000000" w:rsidR="00000000" w:rsidRPr="00000000">
          <w:rPr>
            <w:color w:val="1155cc"/>
            <w:highlight w:val="white"/>
            <w:u w:val="single"/>
            <w:rtl w:val="0"/>
          </w:rPr>
          <w:t xml:space="preserve">International Convention on Elimination of All Forms of Racial Discrimination</w:t>
        </w:r>
      </w:hyperlink>
      <w:hyperlink r:id="rId8">
        <w:r w:rsidDel="00000000" w:rsidR="00000000" w:rsidRPr="00000000">
          <w:rPr>
            <w:highlight w:val="white"/>
            <w:rtl w:val="0"/>
          </w:rPr>
          <w:tab/>
          <w:tab/>
        </w:r>
      </w:hyperlink>
    </w:p>
    <w:p w:rsidR="00000000" w:rsidDel="00000000" w:rsidP="00000000" w:rsidRDefault="00000000" w:rsidRPr="00000000">
      <w:pPr>
        <w:widowControl w:val="0"/>
        <w:numPr>
          <w:ilvl w:val="0"/>
          <w:numId w:val="2"/>
        </w:numPr>
        <w:spacing w:line="331.2" w:lineRule="auto"/>
        <w:ind w:left="720" w:hanging="360"/>
        <w:contextualSpacing w:val="1"/>
        <w:rPr>
          <w:highlight w:val="white"/>
        </w:rPr>
      </w:pPr>
      <w:hyperlink r:id="rId9">
        <w:r w:rsidDel="00000000" w:rsidR="00000000" w:rsidRPr="00000000">
          <w:rPr>
            <w:color w:val="1155cc"/>
            <w:highlight w:val="white"/>
            <w:u w:val="single"/>
            <w:rtl w:val="0"/>
          </w:rPr>
          <w:t xml:space="preserve">Convention on the Elimination of all Forms of Discrimination Against Women</w:t>
        </w:r>
      </w:hyperlink>
      <w:hyperlink r:id="rId10">
        <w:r w:rsidDel="00000000" w:rsidR="00000000" w:rsidRPr="00000000">
          <w:rPr>
            <w:highlight w:val="white"/>
            <w:rtl w:val="0"/>
          </w:rPr>
          <w:tab/>
          <w:tab/>
        </w:r>
      </w:hyperlink>
    </w:p>
    <w:p w:rsidR="00000000" w:rsidDel="00000000" w:rsidP="00000000" w:rsidRDefault="00000000" w:rsidRPr="00000000">
      <w:pPr>
        <w:widowControl w:val="0"/>
        <w:numPr>
          <w:ilvl w:val="0"/>
          <w:numId w:val="2"/>
        </w:numPr>
        <w:spacing w:line="331.2" w:lineRule="auto"/>
        <w:ind w:left="720" w:hanging="360"/>
        <w:contextualSpacing w:val="1"/>
        <w:rPr>
          <w:highlight w:val="white"/>
        </w:rPr>
      </w:pPr>
      <w:hyperlink r:id="rId11">
        <w:r w:rsidDel="00000000" w:rsidR="00000000" w:rsidRPr="00000000">
          <w:rPr>
            <w:color w:val="1155cc"/>
            <w:highlight w:val="white"/>
            <w:u w:val="single"/>
            <w:rtl w:val="0"/>
          </w:rPr>
          <w:t xml:space="preserve">Convention on the Rights of Persons with Disabilities</w:t>
        </w:r>
      </w:hyperlink>
    </w:p>
    <w:p w:rsidR="00000000" w:rsidDel="00000000" w:rsidP="00000000" w:rsidRDefault="00000000" w:rsidRPr="00000000">
      <w:pPr>
        <w:widowControl w:val="0"/>
        <w:numPr>
          <w:ilvl w:val="0"/>
          <w:numId w:val="2"/>
        </w:numPr>
        <w:spacing w:line="331.2" w:lineRule="auto"/>
        <w:ind w:left="720" w:hanging="360"/>
        <w:contextualSpacing w:val="1"/>
        <w:rPr>
          <w:highlight w:val="white"/>
        </w:rPr>
      </w:pPr>
      <w:hyperlink r:id="rId12">
        <w:r w:rsidDel="00000000" w:rsidR="00000000" w:rsidRPr="00000000">
          <w:rPr>
            <w:color w:val="1155cc"/>
            <w:highlight w:val="white"/>
            <w:u w:val="single"/>
            <w:rtl w:val="0"/>
          </w:rPr>
          <w:t xml:space="preserve">UN Declaration on the Rights of Indigenous Peoples</w:t>
        </w:r>
      </w:hyperlink>
      <w:r w:rsidDel="00000000" w:rsidR="00000000" w:rsidRPr="00000000">
        <w:rPr>
          <w:rtl w:val="0"/>
        </w:rPr>
      </w:r>
    </w:p>
    <w:p w:rsidR="00000000" w:rsidDel="00000000" w:rsidP="00000000" w:rsidRDefault="00000000" w:rsidRPr="00000000">
      <w:pPr>
        <w:widowControl w:val="0"/>
        <w:numPr>
          <w:ilvl w:val="0"/>
          <w:numId w:val="2"/>
        </w:numPr>
        <w:spacing w:line="331.2" w:lineRule="auto"/>
        <w:ind w:left="720" w:hanging="360"/>
        <w:contextualSpacing w:val="1"/>
        <w:rPr>
          <w:color w:val="1155cc"/>
          <w:highlight w:val="white"/>
        </w:rPr>
      </w:pPr>
      <w:r w:rsidDel="00000000" w:rsidR="00000000" w:rsidRPr="00000000">
        <w:rPr>
          <w:highlight w:val="white"/>
          <w:rtl w:val="0"/>
        </w:rPr>
        <w:t xml:space="preserve">ILO’s</w:t>
      </w:r>
      <w:hyperlink r:id="rId13">
        <w:r w:rsidDel="00000000" w:rsidR="00000000" w:rsidRPr="00000000">
          <w:rPr>
            <w:highlight w:val="white"/>
            <w:rtl w:val="0"/>
          </w:rPr>
          <w:t xml:space="preserve"> </w:t>
        </w:r>
      </w:hyperlink>
      <w:hyperlink r:id="rId14">
        <w:r w:rsidDel="00000000" w:rsidR="00000000" w:rsidRPr="00000000">
          <w:rPr>
            <w:color w:val="1155cc"/>
            <w:highlight w:val="white"/>
            <w:u w:val="single"/>
            <w:rtl w:val="0"/>
          </w:rPr>
          <w:t xml:space="preserve">Declaration on Fundamental Principles and Rights at Work</w:t>
        </w:r>
      </w:hyperlink>
      <w:r w:rsidDel="00000000" w:rsidR="00000000" w:rsidRPr="00000000">
        <w:rPr>
          <w:highlight w:val="white"/>
          <w:rtl w:val="0"/>
        </w:rPr>
        <w:t xml:space="preserve"> (applicable to ICANN’s employees and workers)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emqmzyB9_0vm6oKxhIWZ47L7lxcFKUBHVnkBYUOsA2Q/edit" TargetMode="External"/><Relationship Id="rId10" Type="http://schemas.openxmlformats.org/officeDocument/2006/relationships/hyperlink" Target="https://docs.google.com/document/d/1rwpw9aSAqboRO2_rNkjMVJPOmYwmdr5B1_M_aNMoZb4/edit" TargetMode="External"/><Relationship Id="rId13" Type="http://schemas.openxmlformats.org/officeDocument/2006/relationships/hyperlink" Target="https://community.icann.org/pages/viewpage.action?pageId=58723827" TargetMode="External"/><Relationship Id="rId12" Type="http://schemas.openxmlformats.org/officeDocument/2006/relationships/hyperlink" Target="https://docs.google.com/document/d/1KJfmglI5wBib7T5hgIMMysO7x6J3Oi5NYwN4AItZjkY/edit?usp=sharing"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s://docs.google.com/document/d/10XMIVosuEfgmXwr7SQjeNLKI8r_hdONrJNV2ih72V80/edit" TargetMode="External"/><Relationship Id="rId15" Type="http://schemas.openxmlformats.org/officeDocument/2006/relationships/hyperlink" Target="https://community.icann.org/download/attachments/58723827/Annex%2012%20-%20FINAL-Revised.pdf?version=1&amp;modificationDate=1456255865000&amp;api=v2" TargetMode="External"/><Relationship Id="rId14" Type="http://schemas.openxmlformats.org/officeDocument/2006/relationships/hyperlink" Target="https://community.icann.org/download/attachments/58723827/Annex%2006%20-%20FINAL-Revised.pdf?version=1&amp;modificationDate=1456255586000&amp;api=v2" TargetMode="External"/><Relationship Id="rId5" Type="http://schemas.openxmlformats.org/officeDocument/2006/relationships/styles" Target="styles.xml"/><Relationship Id="rId6" Type="http://schemas.openxmlformats.org/officeDocument/2006/relationships/hyperlink" Target="https://community.icann.org/display/WEIA/Human+Rights" TargetMode="External"/><Relationship Id="rId7" Type="http://schemas.openxmlformats.org/officeDocument/2006/relationships/hyperlink" Target="https://docs.google.com/document/d/1wPU-ACb-320q4K-ScAsAwVVNYiHxlOfuNgrSKb67OYw/edit" TargetMode="External"/><Relationship Id="rId8" Type="http://schemas.openxmlformats.org/officeDocument/2006/relationships/hyperlink" Target="https://docs.google.com/document/d/1KcKGRJjuhKEzCh2AZ8PPR_MofOQFBN8CMuJqTG_h9h4/edit"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un.org/disabilities/convention/conventionfull.shtml" TargetMode="External"/><Relationship Id="rId10" Type="http://schemas.openxmlformats.org/officeDocument/2006/relationships/hyperlink" Target="http://www.un.org/womenwatch/daw/cedaw/" TargetMode="External"/><Relationship Id="rId13" Type="http://schemas.openxmlformats.org/officeDocument/2006/relationships/hyperlink" Target="http://www.ilo.org/declaration/lang--en/index.htm" TargetMode="External"/><Relationship Id="rId12" Type="http://schemas.openxmlformats.org/officeDocument/2006/relationships/hyperlink" Target="http://www.ohchr.org/EN/Issues/IPeoples/Pages/Declaration.aspx" TargetMode="External"/><Relationship Id="rId1" Type="http://schemas.openxmlformats.org/officeDocument/2006/relationships/hyperlink" Target="http://www.un.org/en/universal-declaration-human-rights/" TargetMode="External"/><Relationship Id="rId2" Type="http://schemas.openxmlformats.org/officeDocument/2006/relationships/hyperlink" Target="http://www.un.org/en/universal-declaration-human-rights/" TargetMode="External"/><Relationship Id="rId3" Type="http://schemas.openxmlformats.org/officeDocument/2006/relationships/hyperlink" Target="http://www.ohchr.org/en/professionalinterest/pages/ccpr.aspx" TargetMode="External"/><Relationship Id="rId4" Type="http://schemas.openxmlformats.org/officeDocument/2006/relationships/hyperlink" Target="http://www.ohchr.org/en/professionalinterest/pages/ccpr.aspx" TargetMode="External"/><Relationship Id="rId9" Type="http://schemas.openxmlformats.org/officeDocument/2006/relationships/hyperlink" Target="http://www.un.org/womenwatch/daw/cedaw/" TargetMode="External"/><Relationship Id="rId14" Type="http://schemas.openxmlformats.org/officeDocument/2006/relationships/hyperlink" Target="http://www.ilo.org/declaration/lang--en/index.htm" TargetMode="External"/><Relationship Id="rId5" Type="http://schemas.openxmlformats.org/officeDocument/2006/relationships/hyperlink" Target="http://www.ohchr.org/EN/ProfessionalInterest/Pages/CESCR.aspx" TargetMode="External"/><Relationship Id="rId6" Type="http://schemas.openxmlformats.org/officeDocument/2006/relationships/hyperlink" Target="http://www.ohchr.org/EN/ProfessionalInterest/Pages/CESCR.aspx" TargetMode="External"/><Relationship Id="rId7" Type="http://schemas.openxmlformats.org/officeDocument/2006/relationships/hyperlink" Target="http://www.ohchr.org/EN/ProfessionalInterest/Pages/CERD.aspx" TargetMode="External"/><Relationship Id="rId8" Type="http://schemas.openxmlformats.org/officeDocument/2006/relationships/hyperlink" Target="http://www.ohchr.org/EN/ProfessionalInterest/Pages/CERD.aspx" TargetMode="External"/></Relationships>
</file>