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25FC9" w14:textId="77777777" w:rsidR="00840B40" w:rsidRDefault="00A10DFA">
      <w:pPr>
        <w:spacing w:line="331" w:lineRule="auto"/>
        <w:ind w:firstLine="720"/>
      </w:pPr>
      <w:bookmarkStart w:id="0" w:name="_GoBack"/>
      <w:bookmarkEnd w:id="0"/>
      <w:r>
        <w:tab/>
      </w:r>
    </w:p>
    <w:tbl>
      <w:tblPr>
        <w:tblStyle w:val="a"/>
        <w:tblW w:w="9025" w:type="dxa"/>
        <w:tblInd w:w="100" w:type="dxa"/>
        <w:tblLayout w:type="fixed"/>
        <w:tblCellMar>
          <w:top w:w="0" w:type="dxa"/>
          <w:left w:w="0" w:type="dxa"/>
          <w:bottom w:w="0" w:type="dxa"/>
          <w:right w:w="0" w:type="dxa"/>
        </w:tblCellMar>
        <w:tblLook w:val="0600" w:firstRow="0" w:lastRow="0" w:firstColumn="0" w:lastColumn="0" w:noHBand="1" w:noVBand="1"/>
      </w:tblPr>
      <w:tblGrid>
        <w:gridCol w:w="1870"/>
        <w:gridCol w:w="7155"/>
      </w:tblGrid>
      <w:tr w:rsidR="00840B40" w14:paraId="5DDF9481" w14:textId="77777777">
        <w:tblPrEx>
          <w:tblCellMar>
            <w:top w:w="0" w:type="dxa"/>
            <w:left w:w="0" w:type="dxa"/>
            <w:bottom w:w="0" w:type="dxa"/>
            <w:right w:w="0" w:type="dxa"/>
          </w:tblCellMar>
        </w:tblPrEx>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11518587" w14:textId="77777777" w:rsidR="00840B40" w:rsidRDefault="00A10DFA">
            <w:pPr>
              <w:spacing w:line="331" w:lineRule="auto"/>
            </w:pPr>
            <w:r>
              <w:rPr>
                <w:highlight w:val="white"/>
              </w:rPr>
              <w:t>[PREAMBLE]</w:t>
            </w: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7F7C47E8" w14:textId="77777777" w:rsidR="00840B40" w:rsidRDefault="00A10DFA">
            <w:pPr>
              <w:spacing w:line="397" w:lineRule="auto"/>
            </w:pPr>
            <w:r>
              <w:rPr>
                <w:highlight w:val="white"/>
              </w:rPr>
              <w:t>The following part of the document addresses the “considerations” listed in paragraph 24 of Annex 12 of the CCWG Accountability Final Report.</w:t>
            </w:r>
          </w:p>
        </w:tc>
      </w:tr>
      <w:tr w:rsidR="00840B40" w14:paraId="70B0CD7D" w14:textId="77777777">
        <w:tblPrEx>
          <w:tblCellMar>
            <w:top w:w="0" w:type="dxa"/>
            <w:left w:w="0" w:type="dxa"/>
            <w:bottom w:w="0" w:type="dxa"/>
            <w:right w:w="0" w:type="dxa"/>
          </w:tblCellMar>
        </w:tblPrEx>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6550F134" w14:textId="77777777" w:rsidR="00840B40" w:rsidRDefault="00A10DFA">
            <w:r>
              <w:t>Consider which specific Human Rights conventions or other instruments, if any, should be</w:t>
            </w:r>
          </w:p>
          <w:p w14:paraId="6D4237A6" w14:textId="77777777" w:rsidR="00840B40" w:rsidRDefault="00A10DFA">
            <w:r>
              <w:t>used by ICANN in interpreting and implementing the Human Rights Bylaw.</w:t>
            </w:r>
          </w:p>
          <w:p w14:paraId="205DBA64" w14:textId="77777777" w:rsidR="00840B40" w:rsidRDefault="00840B40">
            <w:pPr>
              <w:spacing w:line="331" w:lineRule="auto"/>
            </w:pP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6C45523" w14:textId="77777777" w:rsidR="00840B40" w:rsidRDefault="00A10DFA">
            <w:pPr>
              <w:spacing w:line="397" w:lineRule="auto"/>
            </w:pPr>
            <w:r>
              <w:rPr>
                <w:highlight w:val="white"/>
              </w:rPr>
              <w:t xml:space="preserve"> </w:t>
            </w:r>
          </w:p>
          <w:p w14:paraId="7502EC24" w14:textId="77777777" w:rsidR="00840B40" w:rsidRDefault="00A10DFA">
            <w:pPr>
              <w:spacing w:line="397" w:lineRule="auto"/>
            </w:pPr>
            <w:r>
              <w:rPr>
                <w:highlight w:val="white"/>
              </w:rPr>
              <w:t>Human Rights conventions</w:t>
            </w:r>
            <w:r>
              <w:rPr>
                <w:highlight w:val="white"/>
                <w:vertAlign w:val="superscript"/>
              </w:rPr>
              <w:footnoteReference w:id="1"/>
            </w:r>
            <w:r>
              <w:rPr>
                <w:highlight w:val="white"/>
              </w:rPr>
              <w:t xml:space="preserve"> are agreements between states.  As such, ICANN is not a party to these declarations and conventions. However, ICANN could refer to any of the widely-adopted</w:t>
            </w:r>
            <w:r>
              <w:rPr>
                <w:highlight w:val="white"/>
              </w:rPr>
              <w:t xml:space="preserve"> Human Rights conventions and other instruments while taking human rights considerations into account in policy and operations.  It should be noted that the bylaw was not written with one specific Human Rights declaration or covenant in mind. </w:t>
            </w:r>
          </w:p>
          <w:p w14:paraId="0C2A0569" w14:textId="77777777" w:rsidR="00840B40" w:rsidRDefault="00840B40">
            <w:pPr>
              <w:spacing w:line="476" w:lineRule="auto"/>
            </w:pPr>
          </w:p>
          <w:p w14:paraId="431E4903" w14:textId="77777777" w:rsidR="00840B40" w:rsidRDefault="00A10DFA">
            <w:pPr>
              <w:spacing w:line="476" w:lineRule="auto"/>
            </w:pPr>
            <w:r>
              <w:rPr>
                <w:highlight w:val="white"/>
              </w:rPr>
              <w:t>The subgrou</w:t>
            </w:r>
            <w:r>
              <w:rPr>
                <w:highlight w:val="white"/>
              </w:rPr>
              <w:t>p considered whether the</w:t>
            </w:r>
            <w:hyperlink r:id="rId7">
              <w:r>
                <w:rPr>
                  <w:highlight w:val="white"/>
                </w:rPr>
                <w:t xml:space="preserve"> </w:t>
              </w:r>
            </w:hyperlink>
            <w:hyperlink r:id="rId8">
              <w:r>
                <w:rPr>
                  <w:color w:val="1155CC"/>
                  <w:highlight w:val="white"/>
                  <w:u w:val="single"/>
                </w:rPr>
                <w:t>U</w:t>
              </w:r>
              <w:r>
                <w:rPr>
                  <w:color w:val="1155CC"/>
                  <w:highlight w:val="white"/>
                  <w:u w:val="single"/>
                </w:rPr>
                <w:t>N Guiding Principles for Business and Human Rights</w:t>
              </w:r>
            </w:hyperlink>
            <w:r>
              <w:rPr>
                <w:highlight w:val="white"/>
              </w:rPr>
              <w:t xml:space="preserve"> could be applicable in the process of interpreting  the bylaw.  However, </w:t>
            </w:r>
            <w:ins w:id="1" w:author="Jorge Cancio" w:date="2017-02-28T15:11:00Z">
              <w:r>
                <w:rPr>
                  <w:highlight w:val="white"/>
                </w:rPr>
                <w:t>agreement on this matter could not be reached</w:t>
              </w:r>
              <w:del w:id="2" w:author="Jorge Cancio" w:date="2017-02-28T15:11:00Z">
                <w:r>
                  <w:rPr>
                    <w:highlight w:val="white"/>
                  </w:rPr>
                  <w:delText xml:space="preserve"> </w:delText>
                </w:r>
              </w:del>
            </w:ins>
            <w:del w:id="3" w:author="Jorge Cancio" w:date="2017-02-28T15:11:00Z">
              <w:r>
                <w:rPr>
                  <w:highlight w:val="white"/>
                </w:rPr>
                <w:delText>there was not sufficient support to recommend the application of the UN Guiding Princi</w:delText>
              </w:r>
              <w:r>
                <w:rPr>
                  <w:highlight w:val="white"/>
                </w:rPr>
                <w:delText xml:space="preserve">ples for the </w:delText>
              </w:r>
              <w:r>
                <w:rPr>
                  <w:i/>
                  <w:highlight w:val="white"/>
                </w:rPr>
                <w:delText>interpretation</w:delText>
              </w:r>
              <w:r>
                <w:rPr>
                  <w:highlight w:val="white"/>
                </w:rPr>
                <w:delText xml:space="preserve"> of the Bylaw</w:delText>
              </w:r>
            </w:del>
            <w:r>
              <w:rPr>
                <w:highlight w:val="white"/>
              </w:rPr>
              <w:t>.</w:t>
            </w:r>
          </w:p>
          <w:p w14:paraId="7BE3D6F2" w14:textId="77777777" w:rsidR="00840B40" w:rsidRDefault="00840B40">
            <w:pPr>
              <w:spacing w:line="397" w:lineRule="auto"/>
            </w:pPr>
          </w:p>
          <w:p w14:paraId="6EBA0077" w14:textId="77777777" w:rsidR="00840B40" w:rsidRDefault="00A10DFA">
            <w:pPr>
              <w:spacing w:line="397" w:lineRule="auto"/>
            </w:pPr>
            <w:r>
              <w:rPr>
                <w:highlight w:val="white"/>
              </w:rPr>
              <w:t xml:space="preserve">With regard to </w:t>
            </w:r>
            <w:r>
              <w:rPr>
                <w:i/>
                <w:highlight w:val="white"/>
              </w:rPr>
              <w:t>implementation</w:t>
            </w:r>
            <w:r>
              <w:rPr>
                <w:highlight w:val="white"/>
              </w:rPr>
              <w:t xml:space="preserve"> of the Bylaw, the </w:t>
            </w:r>
            <w:hyperlink r:id="rId9">
              <w:r>
                <w:rPr>
                  <w:color w:val="1155CC"/>
                  <w:highlight w:val="white"/>
                  <w:u w:val="single"/>
                </w:rPr>
                <w:t>UN Guiding Principles for Business and Human Right</w:t>
              </w:r>
              <w:r>
                <w:rPr>
                  <w:color w:val="1155CC"/>
                  <w:highlight w:val="white"/>
                  <w:u w:val="single"/>
                </w:rPr>
                <w:t>s</w:t>
              </w:r>
            </w:hyperlink>
            <w:r>
              <w:rPr>
                <w:highlight w:val="white"/>
              </w:rPr>
              <w:t>,</w:t>
            </w:r>
            <w:hyperlink r:id="rId10">
              <w:r>
                <w:rPr>
                  <w:highlight w:val="white"/>
                </w:rPr>
                <w:t xml:space="preserve"> </w:t>
              </w:r>
            </w:hyperlink>
            <w:r>
              <w:rPr>
                <w:highlight w:val="white"/>
              </w:rPr>
              <w:t>o</w:t>
            </w:r>
            <w:hyperlink r:id="rId11">
              <w:r>
                <w:rPr>
                  <w:highlight w:val="white"/>
                </w:rPr>
                <w:t>r</w:t>
              </w:r>
            </w:hyperlink>
            <w:r>
              <w:rPr>
                <w:highlight w:val="white"/>
              </w:rPr>
              <w:t xml:space="preserve"> </w:t>
            </w:r>
            <w:hyperlink r:id="rId12">
              <w:r>
                <w:rPr>
                  <w:highlight w:val="white"/>
                </w:rPr>
                <w:t>a</w:t>
              </w:r>
            </w:hyperlink>
            <w:r>
              <w:rPr>
                <w:highlight w:val="white"/>
              </w:rPr>
              <w:t>t</w:t>
            </w:r>
            <w:hyperlink r:id="rId13">
              <w:r>
                <w:rPr>
                  <w:highlight w:val="white"/>
                </w:rPr>
                <w:t xml:space="preserve"> </w:t>
              </w:r>
            </w:hyperlink>
            <w:r>
              <w:rPr>
                <w:highlight w:val="white"/>
              </w:rPr>
              <w:t>l</w:t>
            </w:r>
            <w:hyperlink r:id="rId14">
              <w:r>
                <w:rPr>
                  <w:highlight w:val="white"/>
                </w:rPr>
                <w:t>e</w:t>
              </w:r>
            </w:hyperlink>
            <w:r>
              <w:rPr>
                <w:highlight w:val="white"/>
              </w:rPr>
              <w:t>a</w:t>
            </w:r>
            <w:hyperlink r:id="rId15">
              <w:r>
                <w:rPr>
                  <w:highlight w:val="white"/>
                </w:rPr>
                <w:t>s</w:t>
              </w:r>
            </w:hyperlink>
            <w:r>
              <w:rPr>
                <w:highlight w:val="white"/>
              </w:rPr>
              <w:t>t</w:t>
            </w:r>
            <w:hyperlink r:id="rId16">
              <w:r>
                <w:rPr>
                  <w:highlight w:val="white"/>
                </w:rPr>
                <w:t xml:space="preserve"> </w:t>
              </w:r>
            </w:hyperlink>
            <w:r>
              <w:rPr>
                <w:highlight w:val="white"/>
              </w:rPr>
              <w:t>c</w:t>
            </w:r>
            <w:hyperlink r:id="rId17">
              <w:r>
                <w:rPr>
                  <w:highlight w:val="white"/>
                </w:rPr>
                <w:t>e</w:t>
              </w:r>
            </w:hyperlink>
            <w:r>
              <w:rPr>
                <w:highlight w:val="white"/>
              </w:rPr>
              <w:t>r</w:t>
            </w:r>
            <w:hyperlink r:id="rId18">
              <w:r>
                <w:rPr>
                  <w:highlight w:val="white"/>
                </w:rPr>
                <w:t>t</w:t>
              </w:r>
            </w:hyperlink>
            <w:r>
              <w:rPr>
                <w:highlight w:val="white"/>
              </w:rPr>
              <w:t>a</w:t>
            </w:r>
            <w:hyperlink r:id="rId19">
              <w:r>
                <w:rPr>
                  <w:highlight w:val="white"/>
                </w:rPr>
                <w:t>i</w:t>
              </w:r>
            </w:hyperlink>
            <w:r>
              <w:rPr>
                <w:highlight w:val="white"/>
              </w:rPr>
              <w:t>n</w:t>
            </w:r>
            <w:hyperlink r:id="rId20">
              <w:r>
                <w:rPr>
                  <w:highlight w:val="white"/>
                </w:rPr>
                <w:t xml:space="preserve"> aspects of the Guiding </w:t>
              </w:r>
            </w:hyperlink>
            <w:r>
              <w:rPr>
                <w:highlight w:val="white"/>
              </w:rPr>
              <w:t>P</w:t>
            </w:r>
            <w:hyperlink r:id="rId21">
              <w:r>
                <w:rPr>
                  <w:highlight w:val="white"/>
                </w:rPr>
                <w:t>r</w:t>
              </w:r>
            </w:hyperlink>
            <w:r>
              <w:rPr>
                <w:highlight w:val="white"/>
              </w:rPr>
              <w:t>i</w:t>
            </w:r>
            <w:hyperlink r:id="rId22">
              <w:r>
                <w:rPr>
                  <w:highlight w:val="white"/>
                </w:rPr>
                <w:t>n</w:t>
              </w:r>
            </w:hyperlink>
            <w:r>
              <w:rPr>
                <w:highlight w:val="white"/>
              </w:rPr>
              <w:t>c</w:t>
            </w:r>
            <w:hyperlink r:id="rId23">
              <w:r>
                <w:rPr>
                  <w:highlight w:val="white"/>
                </w:rPr>
                <w:t>i</w:t>
              </w:r>
            </w:hyperlink>
            <w:r>
              <w:rPr>
                <w:highlight w:val="white"/>
              </w:rPr>
              <w:t>p</w:t>
            </w:r>
            <w:hyperlink r:id="rId24">
              <w:r>
                <w:rPr>
                  <w:highlight w:val="white"/>
                </w:rPr>
                <w:t>l</w:t>
              </w:r>
            </w:hyperlink>
            <w:r>
              <w:rPr>
                <w:highlight w:val="white"/>
              </w:rPr>
              <w:t>e</w:t>
            </w:r>
            <w:hyperlink r:id="rId25">
              <w:r>
                <w:rPr>
                  <w:highlight w:val="white"/>
                </w:rPr>
                <w:t>s</w:t>
              </w:r>
            </w:hyperlink>
            <w:r>
              <w:rPr>
                <w:highlight w:val="white"/>
              </w:rPr>
              <w:t>, could be considered as a useful guide in the process of applying t</w:t>
            </w:r>
            <w:r>
              <w:rPr>
                <w:highlight w:val="white"/>
              </w:rPr>
              <w:t xml:space="preserve">he Human Rights Bylaw. There are certain </w:t>
            </w:r>
            <w:r>
              <w:rPr>
                <w:highlight w:val="white"/>
              </w:rPr>
              <w:lastRenderedPageBreak/>
              <w:t xml:space="preserve">Principles that may not be applicable </w:t>
            </w:r>
            <w:del w:id="4" w:author="Jorge Cancio" w:date="2017-02-28T15:14:00Z">
              <w:r>
                <w:rPr>
                  <w:highlight w:val="white"/>
                </w:rPr>
                <w:delText xml:space="preserve">under any circumstances </w:delText>
              </w:r>
            </w:del>
            <w:commentRangeStart w:id="5"/>
            <w:r>
              <w:rPr>
                <w:highlight w:val="white"/>
              </w:rPr>
              <w:t>and</w:t>
            </w:r>
            <w:commentRangeEnd w:id="5"/>
            <w:r>
              <w:commentReference w:id="5"/>
            </w:r>
            <w:r>
              <w:rPr>
                <w:highlight w:val="white"/>
              </w:rPr>
              <w:t xml:space="preserve"> others that could be applicable, </w:t>
            </w:r>
            <w:ins w:id="6" w:author="Jorge Cancio" w:date="2017-02-28T15:15:00Z">
              <w:r>
                <w:rPr>
                  <w:highlight w:val="white"/>
                </w:rPr>
                <w:t>depending on the</w:t>
              </w:r>
            </w:ins>
            <w:del w:id="7" w:author="Jorge Cancio" w:date="2017-02-28T15:15:00Z">
              <w:r>
                <w:rPr>
                  <w:highlight w:val="white"/>
                </w:rPr>
                <w:delText>at least under certain</w:delText>
              </w:r>
            </w:del>
            <w:r>
              <w:rPr>
                <w:highlight w:val="white"/>
              </w:rPr>
              <w:t xml:space="preserve"> circumstances</w:t>
            </w:r>
            <w:ins w:id="8" w:author="Jorge Cancio" w:date="2017-02-28T15:15:00Z">
              <w:r>
                <w:rPr>
                  <w:highlight w:val="white"/>
                </w:rPr>
                <w:t xml:space="preserve"> of the case</w:t>
              </w:r>
            </w:ins>
            <w:r>
              <w:rPr>
                <w:highlight w:val="white"/>
              </w:rPr>
              <w:t>.  However, it is beyond the scope of this docume</w:t>
            </w:r>
            <w:r>
              <w:rPr>
                <w:highlight w:val="white"/>
              </w:rPr>
              <w:t xml:space="preserve">nt to provide a detailed analysis of the Guiding Principles and their application or not, in whole or in part, in particular situations. </w:t>
            </w:r>
            <w:r>
              <w:rPr>
                <w:i/>
                <w:color w:val="0B5394"/>
                <w:highlight w:val="white"/>
              </w:rPr>
              <w:t xml:space="preserve"> </w:t>
            </w:r>
            <w:r>
              <w:rPr>
                <w:highlight w:val="white"/>
              </w:rPr>
              <w:t>The use of the Guiding Principles as potential guidance has to be carefully considered by each SO and AC as well as IC</w:t>
            </w:r>
            <w:r>
              <w:rPr>
                <w:highlight w:val="white"/>
              </w:rPr>
              <w:t>ANN the organization.</w:t>
            </w:r>
          </w:p>
        </w:tc>
      </w:tr>
      <w:tr w:rsidR="00840B40" w14:paraId="5DD68441" w14:textId="77777777">
        <w:tblPrEx>
          <w:tblCellMar>
            <w:top w:w="0" w:type="dxa"/>
            <w:left w:w="0" w:type="dxa"/>
            <w:bottom w:w="0" w:type="dxa"/>
            <w:right w:w="0" w:type="dxa"/>
          </w:tblCellMar>
        </w:tblPrEx>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9C822C7" w14:textId="77777777" w:rsidR="00840B40" w:rsidRDefault="00A10DFA">
            <w:pPr>
              <w:spacing w:line="331" w:lineRule="auto"/>
            </w:pPr>
            <w:r>
              <w:rPr>
                <w:highlight w:val="white"/>
              </w:rPr>
              <w:lastRenderedPageBreak/>
              <w:t xml:space="preserve">The policies and frameworks, if any, that ICANN needs to develop or enhance </w:t>
            </w:r>
            <w:r>
              <w:rPr>
                <w:sz w:val="21"/>
                <w:szCs w:val="21"/>
                <w:highlight w:val="white"/>
              </w:rPr>
              <w:t xml:space="preserve">in order to fulfill its </w:t>
            </w:r>
            <w:commentRangeStart w:id="9"/>
            <w:r>
              <w:rPr>
                <w:color w:val="FF0000"/>
                <w:sz w:val="21"/>
                <w:szCs w:val="21"/>
                <w:highlight w:val="white"/>
              </w:rPr>
              <w:t>obligation</w:t>
            </w:r>
            <w:commentRangeEnd w:id="9"/>
            <w:r>
              <w:commentReference w:id="9"/>
            </w:r>
            <w:r>
              <w:rPr>
                <w:sz w:val="21"/>
                <w:szCs w:val="21"/>
                <w:highlight w:val="white"/>
              </w:rPr>
              <w:t xml:space="preserve"> to respect Human Rights</w:t>
            </w:r>
          </w:p>
          <w:p w14:paraId="1DEB1B90" w14:textId="77777777" w:rsidR="00840B40" w:rsidRDefault="00840B40">
            <w:pPr>
              <w:spacing w:line="331" w:lineRule="auto"/>
            </w:pP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5F8D3309" w14:textId="77777777" w:rsidR="00840B40" w:rsidRDefault="00A10DFA">
            <w:pPr>
              <w:spacing w:line="397" w:lineRule="auto"/>
            </w:pPr>
            <w:r>
              <w:rPr>
                <w:highlight w:val="white"/>
              </w:rPr>
              <w:t xml:space="preserve">In order to put the Human Rights bylaw into practice, ICANN the community as well as the organization will need to consider how to reflect this Core Value in </w:t>
            </w:r>
            <w:ins w:id="10" w:author="Jorge Cancio" w:date="2017-02-28T15:15:00Z">
              <w:r>
                <w:rPr>
                  <w:highlight w:val="white"/>
                </w:rPr>
                <w:t>their</w:t>
              </w:r>
            </w:ins>
            <w:del w:id="11" w:author="Jorge Cancio" w:date="2017-02-28T15:15:00Z">
              <w:r>
                <w:rPr>
                  <w:highlight w:val="white"/>
                </w:rPr>
                <w:delText>its</w:delText>
              </w:r>
            </w:del>
            <w:r>
              <w:rPr>
                <w:highlight w:val="white"/>
              </w:rPr>
              <w:t xml:space="preserve"> policy and operation processes. Each SO and AC should take the Core Value into considerat</w:t>
            </w:r>
            <w:r>
              <w:rPr>
                <w:highlight w:val="white"/>
              </w:rPr>
              <w:t xml:space="preserve">ion in its policy development or advisory role. It is up to each SO and AC, and ICANN the organisation, as applicable, to develop their own </w:t>
            </w:r>
            <w:commentRangeStart w:id="12"/>
            <w:r>
              <w:rPr>
                <w:highlight w:val="white"/>
              </w:rPr>
              <w:t>policies</w:t>
            </w:r>
            <w:commentRangeEnd w:id="12"/>
            <w:r>
              <w:commentReference w:id="12"/>
            </w:r>
            <w:r>
              <w:rPr>
                <w:highlight w:val="white"/>
              </w:rPr>
              <w:t xml:space="preserve"> and frameworks to fulfill this Core Value. In doing so, the SOs and ACs, as well as ICANN the organizati</w:t>
            </w:r>
            <w:r>
              <w:rPr>
                <w:highlight w:val="white"/>
              </w:rPr>
              <w:t xml:space="preserve">on, should also take into account the requirement to balance the Core Values, </w:t>
            </w:r>
            <w:r>
              <w:rPr>
                <w:color w:val="FF0000"/>
                <w:highlight w:val="white"/>
              </w:rPr>
              <w:t>as well as the possible need to balance Human Rights considerations in the policy-making process.</w:t>
            </w:r>
          </w:p>
          <w:p w14:paraId="46EBC44C" w14:textId="77777777" w:rsidR="00840B40" w:rsidRDefault="00840B40">
            <w:pPr>
              <w:spacing w:line="397" w:lineRule="auto"/>
            </w:pPr>
          </w:p>
        </w:tc>
      </w:tr>
      <w:tr w:rsidR="00840B40" w14:paraId="308DE064" w14:textId="77777777">
        <w:tblPrEx>
          <w:tblCellMar>
            <w:top w:w="0" w:type="dxa"/>
            <w:left w:w="0" w:type="dxa"/>
            <w:bottom w:w="0" w:type="dxa"/>
            <w:right w:w="0" w:type="dxa"/>
          </w:tblCellMar>
        </w:tblPrEx>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099C99FE" w14:textId="77777777" w:rsidR="00840B40" w:rsidRDefault="00A10DFA">
            <w:pPr>
              <w:spacing w:line="331" w:lineRule="auto"/>
            </w:pPr>
            <w:r>
              <w:rPr>
                <w:sz w:val="21"/>
                <w:szCs w:val="21"/>
                <w:highlight w:val="white"/>
              </w:rPr>
              <w:t>Consistent with ICANN’s</w:t>
            </w:r>
          </w:p>
          <w:p w14:paraId="57CC59B9" w14:textId="77777777" w:rsidR="00840B40" w:rsidRDefault="00A10DFA">
            <w:pPr>
              <w:spacing w:line="331" w:lineRule="auto"/>
            </w:pPr>
            <w:r>
              <w:rPr>
                <w:sz w:val="21"/>
                <w:szCs w:val="21"/>
                <w:highlight w:val="white"/>
              </w:rPr>
              <w:t>existing processes and protocols, consider how</w:t>
            </w:r>
            <w:r>
              <w:rPr>
                <w:sz w:val="21"/>
                <w:szCs w:val="21"/>
                <w:highlight w:val="white"/>
              </w:rPr>
              <w:t xml:space="preserve"> these new</w:t>
            </w:r>
          </w:p>
          <w:p w14:paraId="559AEDBD" w14:textId="77777777" w:rsidR="00840B40" w:rsidRDefault="00A10DFA">
            <w:pPr>
              <w:spacing w:line="331" w:lineRule="auto"/>
            </w:pPr>
            <w:r>
              <w:rPr>
                <w:sz w:val="21"/>
                <w:szCs w:val="21"/>
                <w:highlight w:val="white"/>
              </w:rPr>
              <w:t>frameworks* should be discussed and drafted to ensure broad multistakeholder</w:t>
            </w:r>
          </w:p>
          <w:p w14:paraId="339F5C34" w14:textId="77777777" w:rsidR="00840B40" w:rsidRDefault="00A10DFA">
            <w:pPr>
              <w:spacing w:line="331" w:lineRule="auto"/>
            </w:pPr>
            <w:r>
              <w:rPr>
                <w:highlight w:val="white"/>
              </w:rPr>
              <w:t>involvement in the process.</w:t>
            </w:r>
          </w:p>
          <w:p w14:paraId="03A109FD" w14:textId="77777777" w:rsidR="00840B40" w:rsidRDefault="00840B40">
            <w:pPr>
              <w:spacing w:line="331" w:lineRule="auto"/>
            </w:pP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5408F33E" w14:textId="77777777" w:rsidR="00840B40" w:rsidRDefault="00A10DFA">
            <w:pPr>
              <w:spacing w:line="397" w:lineRule="auto"/>
            </w:pPr>
            <w:r>
              <w:rPr>
                <w:highlight w:val="white"/>
              </w:rPr>
              <w:t>The methods for developing any new policies or frameworks that may be needed to apply the Human Rights Core Value will be dictated by the t</w:t>
            </w:r>
            <w:r>
              <w:rPr>
                <w:highlight w:val="white"/>
              </w:rPr>
              <w:t xml:space="preserve">ype of policy and how ICANN develops those policies.  </w:t>
            </w:r>
          </w:p>
          <w:p w14:paraId="76688489" w14:textId="77777777" w:rsidR="00840B40" w:rsidRDefault="00A10DFA">
            <w:pPr>
              <w:spacing w:line="397" w:lineRule="auto"/>
            </w:pPr>
            <w:r>
              <w:rPr>
                <w:highlight w:val="white"/>
              </w:rPr>
              <w:t xml:space="preserve">For example, </w:t>
            </w:r>
            <w:ins w:id="13" w:author="Jorge Cancio" w:date="2017-02-28T15:17:00Z">
              <w:r>
                <w:rPr>
                  <w:highlight w:val="white"/>
                </w:rPr>
                <w:t xml:space="preserve">developing </w:t>
              </w:r>
            </w:ins>
            <w:r>
              <w:rPr>
                <w:highlight w:val="white"/>
              </w:rPr>
              <w:t>polic</w:t>
            </w:r>
            <w:ins w:id="14" w:author="Jorge Cancio" w:date="2017-02-28T15:17:00Z">
              <w:r>
                <w:rPr>
                  <w:highlight w:val="white"/>
                </w:rPr>
                <w:t xml:space="preserve">y </w:t>
              </w:r>
              <w:commentRangeStart w:id="15"/>
              <w:r>
                <w:rPr>
                  <w:highlight w:val="white"/>
                </w:rPr>
                <w:t>recommendations</w:t>
              </w:r>
            </w:ins>
            <w:del w:id="16" w:author="Jorge Cancio" w:date="2017-02-28T15:17:00Z">
              <w:r>
                <w:rPr>
                  <w:highlight w:val="white"/>
                </w:rPr>
                <w:delText>ies</w:delText>
              </w:r>
            </w:del>
            <w:commentRangeEnd w:id="15"/>
            <w:r>
              <w:commentReference w:id="15"/>
            </w:r>
            <w:r>
              <w:rPr>
                <w:highlight w:val="white"/>
              </w:rPr>
              <w:t xml:space="preserve"> relating to generic top-level domains are the responsibility of the GNSO and should be developed by the GNSO using that organization’s policy and pr</w:t>
            </w:r>
            <w:r>
              <w:rPr>
                <w:highlight w:val="white"/>
              </w:rPr>
              <w:t xml:space="preserve">ocesses for policy development.  This includes any changes to the GNSO’s Policy Development Processes (PDPs).  The GNSO’s  processes allow for </w:t>
            </w:r>
            <w:del w:id="17" w:author="Jorge Cancio" w:date="2017-02-28T15:19:00Z">
              <w:r>
                <w:rPr>
                  <w:highlight w:val="white"/>
                </w:rPr>
                <w:delText xml:space="preserve">broad </w:delText>
              </w:r>
              <w:commentRangeStart w:id="18"/>
              <w:r>
                <w:rPr>
                  <w:highlight w:val="white"/>
                </w:rPr>
                <w:delText>m</w:delText>
              </w:r>
            </w:del>
            <w:commentRangeEnd w:id="18"/>
            <w:ins w:id="19" w:author="Jorge Cancio" w:date="2017-02-28T15:19:00Z">
              <w:r>
                <w:commentReference w:id="18"/>
              </w:r>
              <w:r>
                <w:rPr>
                  <w:highlight w:val="white"/>
                </w:rPr>
                <w:t xml:space="preserve"> m</w:t>
              </w:r>
            </w:ins>
            <w:r>
              <w:rPr>
                <w:highlight w:val="white"/>
              </w:rPr>
              <w:t xml:space="preserve">ultistakeholder involvement in Working Groups developing these policies. </w:t>
            </w:r>
          </w:p>
          <w:p w14:paraId="22B17501" w14:textId="77777777" w:rsidR="00840B40" w:rsidRDefault="00A10DFA">
            <w:pPr>
              <w:spacing w:line="397" w:lineRule="auto"/>
            </w:pPr>
            <w:r>
              <w:rPr>
                <w:highlight w:val="white"/>
              </w:rPr>
              <w:t xml:space="preserve">Similarly, </w:t>
            </w:r>
            <w:ins w:id="20" w:author="Jorge Cancio" w:date="2017-02-28T15:17:00Z">
              <w:r>
                <w:rPr>
                  <w:highlight w:val="white"/>
                </w:rPr>
                <w:t xml:space="preserve">developing </w:t>
              </w:r>
            </w:ins>
            <w:del w:id="21" w:author="Jorge Cancio" w:date="2017-02-28T15:17:00Z">
              <w:r>
                <w:rPr>
                  <w:highlight w:val="white"/>
                </w:rPr>
                <w:delText>P</w:delText>
              </w:r>
            </w:del>
            <w:ins w:id="22" w:author="Jorge Cancio" w:date="2017-02-28T15:17:00Z">
              <w:r>
                <w:rPr>
                  <w:highlight w:val="white"/>
                </w:rPr>
                <w:t>p</w:t>
              </w:r>
            </w:ins>
            <w:r>
              <w:rPr>
                <w:highlight w:val="white"/>
              </w:rPr>
              <w:t>oli</w:t>
            </w:r>
            <w:r>
              <w:rPr>
                <w:highlight w:val="white"/>
              </w:rPr>
              <w:t>c</w:t>
            </w:r>
            <w:ins w:id="23" w:author="Jorge Cancio" w:date="2017-02-28T15:18:00Z">
              <w:r>
                <w:rPr>
                  <w:highlight w:val="white"/>
                </w:rPr>
                <w:t>y recommendations</w:t>
              </w:r>
            </w:ins>
            <w:del w:id="24" w:author="Jorge Cancio" w:date="2017-02-28T15:18:00Z">
              <w:r>
                <w:rPr>
                  <w:highlight w:val="white"/>
                </w:rPr>
                <w:delText>ies</w:delText>
              </w:r>
            </w:del>
            <w:r>
              <w:rPr>
                <w:highlight w:val="white"/>
              </w:rPr>
              <w:t xml:space="preserve"> related to country code top-level domains are the responsibility of the country code Names Supporting Organization (ccNSO). The ccNSO has a PDP </w:t>
            </w:r>
            <w:r>
              <w:rPr>
                <w:highlight w:val="white"/>
              </w:rPr>
              <w:lastRenderedPageBreak/>
              <w:t>process that is similar to the GNSO, therefore it is proposed that the same process is con</w:t>
            </w:r>
            <w:r>
              <w:rPr>
                <w:highlight w:val="white"/>
              </w:rPr>
              <w:t xml:space="preserve">sidered. </w:t>
            </w:r>
          </w:p>
          <w:p w14:paraId="0CE27D4F" w14:textId="77777777" w:rsidR="00840B40" w:rsidRDefault="00A10DFA">
            <w:pPr>
              <w:spacing w:line="397" w:lineRule="auto"/>
            </w:pPr>
            <w:r>
              <w:rPr>
                <w:highlight w:val="white"/>
              </w:rPr>
              <w:t>The review and development of recommendations on Internet Protocol (IP) address policy is the responsibility of the Address Supporting Organization. The ASO does not have a similar formal PDP to the ccNSO and the GNSO, this does not mean that the</w:t>
            </w:r>
            <w:r>
              <w:rPr>
                <w:highlight w:val="white"/>
              </w:rPr>
              <w:t xml:space="preserve">re are no moments in the development of the policies and procedures in which reviews and recommendations could be reviewed. </w:t>
            </w:r>
          </w:p>
          <w:p w14:paraId="67EE0049" w14:textId="77777777" w:rsidR="00840B40" w:rsidRDefault="00A10DFA">
            <w:pPr>
              <w:spacing w:line="397" w:lineRule="auto"/>
            </w:pPr>
            <w:r>
              <w:rPr>
                <w:highlight w:val="white"/>
              </w:rPr>
              <w:t>Any operations, employee-related or vendor-related policies should be developed by ICANN operations and management taking the Human</w:t>
            </w:r>
            <w:r>
              <w:rPr>
                <w:highlight w:val="white"/>
              </w:rPr>
              <w:t xml:space="preserve"> Rights core value into account as outlined in the Bylaw, but should also consider multistakeholder involvement in the development process.  At a minimum, proposed policies should be set out for public comment seeking input on, among other things, whether </w:t>
            </w:r>
            <w:r>
              <w:rPr>
                <w:highlight w:val="white"/>
              </w:rPr>
              <w:t xml:space="preserve">the policies apply  the Human Rights core value. </w:t>
            </w:r>
          </w:p>
        </w:tc>
      </w:tr>
      <w:tr w:rsidR="00840B40" w14:paraId="15DF1949" w14:textId="77777777">
        <w:tblPrEx>
          <w:tblCellMar>
            <w:top w:w="0" w:type="dxa"/>
            <w:left w:w="0" w:type="dxa"/>
            <w:bottom w:w="0" w:type="dxa"/>
            <w:right w:w="0" w:type="dxa"/>
          </w:tblCellMar>
        </w:tblPrEx>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DE61712" w14:textId="77777777" w:rsidR="00840B40" w:rsidRDefault="00A10DFA">
            <w:pPr>
              <w:spacing w:line="331" w:lineRule="auto"/>
            </w:pPr>
            <w:r>
              <w:rPr>
                <w:sz w:val="21"/>
                <w:szCs w:val="21"/>
                <w:highlight w:val="white"/>
              </w:rPr>
              <w:lastRenderedPageBreak/>
              <w:t>Consider how the interpretation and implementation of this Bylaw will interact with</w:t>
            </w:r>
          </w:p>
          <w:p w14:paraId="0F0FF6F7" w14:textId="77777777" w:rsidR="00840B40" w:rsidRDefault="00A10DFA">
            <w:pPr>
              <w:spacing w:line="331" w:lineRule="auto"/>
            </w:pPr>
            <w:r>
              <w:rPr>
                <w:sz w:val="21"/>
                <w:szCs w:val="21"/>
                <w:highlight w:val="white"/>
              </w:rPr>
              <w:t>existing and future ICANN policies and procedures.</w:t>
            </w: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72822B02" w14:textId="77777777" w:rsidR="00840B40" w:rsidRDefault="00A10DFA">
            <w:pPr>
              <w:spacing w:line="397" w:lineRule="auto"/>
            </w:pPr>
            <w:r>
              <w:rPr>
                <w:highlight w:val="white"/>
              </w:rPr>
              <w:t>The interpretation of the Human Rights Bylaw should be driven by the Framework of Interpretation. It is expected that the Bylaw will be taken into account when future ICANN policies and procedures are developed, and interpreted in accordance with the Frame</w:t>
            </w:r>
            <w:r>
              <w:rPr>
                <w:highlight w:val="white"/>
              </w:rPr>
              <w:t>work of Interpretation.</w:t>
            </w:r>
          </w:p>
          <w:p w14:paraId="06B8DE4C" w14:textId="77777777" w:rsidR="00840B40" w:rsidRDefault="00A10DFA">
            <w:pPr>
              <w:spacing w:line="397" w:lineRule="auto"/>
            </w:pPr>
            <w:r>
              <w:rPr>
                <w:highlight w:val="white"/>
              </w:rPr>
              <w:t>Supporting Organizations could consider defining and incorporating Human Rights Impact Assessments (HRIAs) in their respective policy development processes.  For example, this could include   an assessment of the impact of a propose</w:t>
            </w:r>
            <w:r>
              <w:rPr>
                <w:highlight w:val="white"/>
              </w:rPr>
              <w:t>d policy on human rights. If the assessment identifies potential impact(s) on human rights, an HRIA could  be triggered  and would be undertaken during the drafting of the WG’s Initial Report. The HRIA could be an integral part of the WG’s Final Report.  G</w:t>
            </w:r>
            <w:r>
              <w:rPr>
                <w:highlight w:val="white"/>
              </w:rPr>
              <w:t>iven the interrelated nature of the Core Values, Supporting Organizations could also consider impact assessments tied to other Core Values, perhaps as part of a balancing analysis as required in the Bylaws, or as part of more broadly based impact assessmen</w:t>
            </w:r>
            <w:r>
              <w:rPr>
                <w:highlight w:val="white"/>
              </w:rPr>
              <w:t xml:space="preserve">ts. Advisory Committees could also consider similar </w:t>
            </w:r>
            <w:r>
              <w:rPr>
                <w:highlight w:val="white"/>
              </w:rPr>
              <w:lastRenderedPageBreak/>
              <w:t xml:space="preserve">measures. </w:t>
            </w:r>
          </w:p>
          <w:p w14:paraId="7D34B2BE" w14:textId="77777777" w:rsidR="00840B40" w:rsidRDefault="00840B40">
            <w:pPr>
              <w:spacing w:line="397" w:lineRule="auto"/>
            </w:pPr>
          </w:p>
          <w:p w14:paraId="69BA1882" w14:textId="77777777" w:rsidR="00840B40" w:rsidRDefault="00A10DFA">
            <w:pPr>
              <w:spacing w:line="397" w:lineRule="auto"/>
            </w:pPr>
            <w:r>
              <w:rPr>
                <w:highlight w:val="white"/>
              </w:rPr>
              <w:t>When examining any of its operations,  ICANN the organization could also consider instruments such as HRIAs to assess their effect on Human Rights.  However, this is up to ICANN the organizati</w:t>
            </w:r>
            <w:r>
              <w:rPr>
                <w:highlight w:val="white"/>
              </w:rPr>
              <w:t>on to decide and implement. The results of such HRIAs could be reflected in ICANN’s annual reporting.</w:t>
            </w:r>
          </w:p>
          <w:p w14:paraId="234B2C3D" w14:textId="77777777" w:rsidR="00840B40" w:rsidRDefault="00840B40">
            <w:pPr>
              <w:spacing w:line="397" w:lineRule="auto"/>
            </w:pPr>
          </w:p>
          <w:p w14:paraId="15ECE10D" w14:textId="77777777" w:rsidR="00840B40" w:rsidRDefault="00A10DFA">
            <w:pPr>
              <w:spacing w:line="396" w:lineRule="auto"/>
            </w:pPr>
            <w:r>
              <w:rPr>
                <w:highlight w:val="white"/>
              </w:rPr>
              <w:t>ICANN’s Mission, Commitments and Core Values, including the Human Rights Core Value, should be taken into account by the SOs and ACs, and ICANN the organ</w:t>
            </w:r>
            <w:r>
              <w:rPr>
                <w:highlight w:val="white"/>
              </w:rPr>
              <w:t>ization and the ICANN Board when considering policy matters.</w:t>
            </w:r>
          </w:p>
          <w:p w14:paraId="3B826EBD" w14:textId="77777777" w:rsidR="00840B40" w:rsidRDefault="00840B40">
            <w:pPr>
              <w:spacing w:line="397" w:lineRule="auto"/>
            </w:pPr>
          </w:p>
        </w:tc>
      </w:tr>
      <w:tr w:rsidR="00840B40" w14:paraId="2422CE67" w14:textId="77777777">
        <w:tblPrEx>
          <w:tblCellMar>
            <w:top w:w="0" w:type="dxa"/>
            <w:left w:w="0" w:type="dxa"/>
            <w:bottom w:w="0" w:type="dxa"/>
            <w:right w:w="0" w:type="dxa"/>
          </w:tblCellMar>
        </w:tblPrEx>
        <w:tc>
          <w:tcPr>
            <w:tcW w:w="187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2AD9CA15" w14:textId="77777777" w:rsidR="00840B40" w:rsidRDefault="00A10DFA">
            <w:pPr>
              <w:spacing w:line="331" w:lineRule="auto"/>
            </w:pPr>
            <w:r>
              <w:rPr>
                <w:sz w:val="21"/>
                <w:szCs w:val="21"/>
                <w:highlight w:val="white"/>
              </w:rPr>
              <w:lastRenderedPageBreak/>
              <w:t>Consider what effect, if any, this Bylaw will have on ICANN’s</w:t>
            </w:r>
          </w:p>
          <w:p w14:paraId="002A42D4" w14:textId="77777777" w:rsidR="00840B40" w:rsidRDefault="00A10DFA">
            <w:pPr>
              <w:spacing w:line="331" w:lineRule="auto"/>
            </w:pPr>
            <w:r>
              <w:rPr>
                <w:sz w:val="21"/>
                <w:szCs w:val="21"/>
                <w:highlight w:val="white"/>
              </w:rPr>
              <w:t>consideration of advice given by the Governmental Advisory Committee</w:t>
            </w:r>
          </w:p>
          <w:p w14:paraId="70525F28" w14:textId="77777777" w:rsidR="00840B40" w:rsidRDefault="00A10DFA">
            <w:pPr>
              <w:spacing w:line="331" w:lineRule="auto"/>
            </w:pPr>
            <w:r>
              <w:rPr>
                <w:sz w:val="21"/>
                <w:szCs w:val="21"/>
                <w:highlight w:val="white"/>
              </w:rPr>
              <w:t>(GAC)</w:t>
            </w:r>
          </w:p>
        </w:tc>
        <w:tc>
          <w:tcPr>
            <w:tcW w:w="715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23197ED1" w14:textId="77777777" w:rsidR="00840B40" w:rsidRDefault="00A10DFA">
            <w:pPr>
              <w:spacing w:line="397" w:lineRule="auto"/>
            </w:pPr>
            <w:r>
              <w:t>The Board will need to take into account ICANN’s Mission</w:t>
            </w:r>
            <w:r>
              <w:t>, Commitments and Core Values, including the Human Rights Core Value, in considering advice given by the GAC, as it should with all matters before the Board.</w:t>
            </w:r>
            <w:r>
              <w:rPr>
                <w:color w:val="FF0000"/>
              </w:rPr>
              <w:t xml:space="preserve"> </w:t>
            </w:r>
          </w:p>
        </w:tc>
      </w:tr>
    </w:tbl>
    <w:p w14:paraId="6654FAEA" w14:textId="77777777" w:rsidR="00840B40" w:rsidRDefault="00840B40"/>
    <w:p w14:paraId="652AD75F" w14:textId="77777777" w:rsidR="00840B40" w:rsidRDefault="00840B40"/>
    <w:p w14:paraId="379534B9" w14:textId="77777777" w:rsidR="00840B40" w:rsidRDefault="00840B40"/>
    <w:sectPr w:rsidR="00840B40">
      <w:pgSz w:w="11909" w:h="16834"/>
      <w:pgMar w:top="1440" w:right="1440" w:bottom="1440" w:left="144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Jorge Cancio" w:date="2017-02-28T15:14:00Z" w:initials="">
    <w:p w14:paraId="15EE5B9F" w14:textId="77777777" w:rsidR="00840B40" w:rsidRDefault="00A10DFA">
      <w:pPr>
        <w:widowControl w:val="0"/>
        <w:spacing w:line="240" w:lineRule="auto"/>
      </w:pPr>
      <w:r>
        <w:t>which principles are meant? why under "any circumstances"</w:t>
      </w:r>
      <w:r>
        <w:t>?</w:t>
      </w:r>
    </w:p>
    <w:p w14:paraId="743D9BA1" w14:textId="77777777" w:rsidR="00840B40" w:rsidRDefault="00A10DFA">
      <w:pPr>
        <w:widowControl w:val="0"/>
        <w:spacing w:line="240" w:lineRule="auto"/>
      </w:pPr>
      <w:r>
        <w:t>Please be specific and provide a rationale</w:t>
      </w:r>
    </w:p>
  </w:comment>
  <w:comment w:id="9" w:author="Greg Shatan" w:date="2017-02-28T11:19:00Z" w:initials="">
    <w:p w14:paraId="7A886A84" w14:textId="77777777" w:rsidR="00840B40" w:rsidRDefault="00A10DFA">
      <w:pPr>
        <w:widowControl w:val="0"/>
        <w:spacing w:line="240" w:lineRule="auto"/>
      </w:pPr>
      <w:r>
        <w:t>Annex 12 uses the word "commitment".  We should use the original word in this instance, since this is merely a reproduction of the items from Annex 12.  If there's a reason we think it's the wrong word, we should</w:t>
      </w:r>
      <w:r>
        <w:t xml:space="preserve"> say why in the right hand column.</w:t>
      </w:r>
    </w:p>
  </w:comment>
  <w:comment w:id="12" w:author="Jorge Cancio" w:date="2017-02-28T15:16:00Z" w:initials="">
    <w:p w14:paraId="5E6B540B" w14:textId="77777777" w:rsidR="00840B40" w:rsidRDefault="00A10DFA">
      <w:pPr>
        <w:widowControl w:val="0"/>
        <w:spacing w:line="240" w:lineRule="auto"/>
      </w:pPr>
      <w:r>
        <w:t>what is meant here with "policies"?</w:t>
      </w:r>
    </w:p>
  </w:comment>
  <w:comment w:id="15" w:author="Jorge Cancio" w:date="2017-02-28T15:19:00Z" w:initials="">
    <w:p w14:paraId="56842135" w14:textId="77777777" w:rsidR="00840B40" w:rsidRDefault="00A10DFA">
      <w:pPr>
        <w:widowControl w:val="0"/>
        <w:spacing w:line="240" w:lineRule="auto"/>
      </w:pPr>
      <w:r>
        <w:t>SO make recommendations. The policy is adopted by the Board, after considering such recommend</w:t>
      </w:r>
      <w:r>
        <w:t>ations and other inputs, including from ACs</w:t>
      </w:r>
    </w:p>
  </w:comment>
  <w:comment w:id="18" w:author="Jorge Cancio" w:date="2017-02-28T15:19:00Z" w:initials="">
    <w:p w14:paraId="25FAC7B8" w14:textId="77777777" w:rsidR="00840B40" w:rsidRDefault="00A10DFA">
      <w:pPr>
        <w:widowControl w:val="0"/>
        <w:spacing w:line="240" w:lineRule="auto"/>
      </w:pPr>
      <w:r>
        <w:t>This is a work in progress, as the recent development of further GNSO-GAC recommendations for better interaction show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3D9BA1" w15:done="0"/>
  <w15:commentEx w15:paraId="7A886A84" w15:done="0"/>
  <w15:commentEx w15:paraId="5E6B540B" w15:done="0"/>
  <w15:commentEx w15:paraId="56842135" w15:done="0"/>
  <w15:commentEx w15:paraId="25FAC7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A118F" w14:textId="77777777" w:rsidR="00000000" w:rsidRDefault="00A10DFA">
      <w:pPr>
        <w:spacing w:line="240" w:lineRule="auto"/>
      </w:pPr>
      <w:r>
        <w:separator/>
      </w:r>
    </w:p>
  </w:endnote>
  <w:endnote w:type="continuationSeparator" w:id="0">
    <w:p w14:paraId="6EB6FEEF" w14:textId="77777777" w:rsidR="00000000" w:rsidRDefault="00A10D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D4E43" w14:textId="77777777" w:rsidR="00000000" w:rsidRDefault="00A10DFA">
      <w:pPr>
        <w:spacing w:line="240" w:lineRule="auto"/>
      </w:pPr>
      <w:r>
        <w:separator/>
      </w:r>
    </w:p>
  </w:footnote>
  <w:footnote w:type="continuationSeparator" w:id="0">
    <w:p w14:paraId="366F1D73" w14:textId="77777777" w:rsidR="00000000" w:rsidRDefault="00A10DFA">
      <w:pPr>
        <w:spacing w:line="240" w:lineRule="auto"/>
      </w:pPr>
      <w:r>
        <w:continuationSeparator/>
      </w:r>
    </w:p>
  </w:footnote>
  <w:footnote w:id="1">
    <w:p w14:paraId="439A907D" w14:textId="77777777" w:rsidR="00840B40" w:rsidRDefault="00A10DFA">
      <w:pPr>
        <w:spacing w:line="240" w:lineRule="auto"/>
      </w:pPr>
      <w:r>
        <w:rPr>
          <w:vertAlign w:val="superscript"/>
        </w:rPr>
        <w:footnoteRef/>
      </w:r>
      <w:r>
        <w:rPr>
          <w:sz w:val="20"/>
          <w:szCs w:val="20"/>
        </w:rPr>
        <w:t xml:space="preserve"> </w:t>
      </w:r>
    </w:p>
    <w:p w14:paraId="1BA5DE95" w14:textId="77777777" w:rsidR="00840B40" w:rsidRDefault="00A10DFA">
      <w:pPr>
        <w:numPr>
          <w:ilvl w:val="0"/>
          <w:numId w:val="1"/>
        </w:numPr>
        <w:spacing w:line="397" w:lineRule="auto"/>
        <w:ind w:hanging="360"/>
        <w:contextualSpacing/>
        <w:rPr>
          <w:sz w:val="14"/>
          <w:szCs w:val="14"/>
          <w:highlight w:val="white"/>
        </w:rPr>
      </w:pPr>
      <w:hyperlink r:id="rId1">
        <w:r>
          <w:rPr>
            <w:color w:val="1155CC"/>
            <w:sz w:val="14"/>
            <w:szCs w:val="14"/>
            <w:highlight w:val="white"/>
            <w:u w:val="single"/>
          </w:rPr>
          <w:t xml:space="preserve">Universal Declaration of Human </w:t>
        </w:r>
      </w:hyperlink>
      <w:hyperlink r:id="rId2">
        <w:r>
          <w:rPr>
            <w:color w:val="1155CC"/>
            <w:sz w:val="14"/>
            <w:szCs w:val="14"/>
            <w:highlight w:val="white"/>
            <w:u w:val="single"/>
          </w:rPr>
          <w:t>Rights</w:t>
        </w:r>
      </w:hyperlink>
      <w:hyperlink r:id="rId3">
        <w:r>
          <w:rPr>
            <w:sz w:val="14"/>
            <w:szCs w:val="14"/>
            <w:highlight w:val="white"/>
          </w:rPr>
          <w:tab/>
        </w:r>
      </w:hyperlink>
    </w:p>
    <w:p w14:paraId="4558C56F" w14:textId="77777777" w:rsidR="00840B40" w:rsidRDefault="00A10DFA">
      <w:pPr>
        <w:numPr>
          <w:ilvl w:val="0"/>
          <w:numId w:val="1"/>
        </w:numPr>
        <w:spacing w:line="397" w:lineRule="auto"/>
        <w:ind w:hanging="360"/>
        <w:contextualSpacing/>
        <w:rPr>
          <w:sz w:val="14"/>
          <w:szCs w:val="14"/>
          <w:highlight w:val="white"/>
        </w:rPr>
      </w:pPr>
      <w:hyperlink r:id="rId4">
        <w:r>
          <w:rPr>
            <w:color w:val="1155CC"/>
            <w:sz w:val="14"/>
            <w:szCs w:val="14"/>
            <w:highlight w:val="white"/>
            <w:u w:val="single"/>
          </w:rPr>
          <w:t>International Covenant on Civil and Political Rights</w:t>
        </w:r>
      </w:hyperlink>
      <w:hyperlink r:id="rId5">
        <w:r>
          <w:rPr>
            <w:sz w:val="14"/>
            <w:szCs w:val="14"/>
            <w:highlight w:val="white"/>
          </w:rPr>
          <w:tab/>
        </w:r>
      </w:hyperlink>
    </w:p>
    <w:p w14:paraId="799AFBDA" w14:textId="77777777" w:rsidR="00840B40" w:rsidRDefault="00A10DFA">
      <w:pPr>
        <w:numPr>
          <w:ilvl w:val="0"/>
          <w:numId w:val="1"/>
        </w:numPr>
        <w:spacing w:line="397" w:lineRule="auto"/>
        <w:ind w:hanging="360"/>
        <w:contextualSpacing/>
        <w:rPr>
          <w:sz w:val="14"/>
          <w:szCs w:val="14"/>
          <w:highlight w:val="white"/>
        </w:rPr>
      </w:pPr>
      <w:hyperlink r:id="rId6">
        <w:r>
          <w:rPr>
            <w:color w:val="1155CC"/>
            <w:sz w:val="14"/>
            <w:szCs w:val="14"/>
            <w:highlight w:val="white"/>
            <w:u w:val="single"/>
          </w:rPr>
          <w:t>International Covenant on Economic, Social and Cultural Rights</w:t>
        </w:r>
      </w:hyperlink>
      <w:hyperlink r:id="rId7"/>
    </w:p>
    <w:p w14:paraId="49BCD3CE" w14:textId="77777777" w:rsidR="00840B40" w:rsidRDefault="00A10DFA">
      <w:pPr>
        <w:numPr>
          <w:ilvl w:val="0"/>
          <w:numId w:val="1"/>
        </w:numPr>
        <w:spacing w:line="397" w:lineRule="auto"/>
        <w:ind w:hanging="360"/>
        <w:contextualSpacing/>
        <w:rPr>
          <w:sz w:val="14"/>
          <w:szCs w:val="14"/>
          <w:highlight w:val="white"/>
        </w:rPr>
      </w:pPr>
      <w:hyperlink r:id="rId8">
        <w:r>
          <w:rPr>
            <w:color w:val="1155CC"/>
            <w:sz w:val="14"/>
            <w:szCs w:val="14"/>
            <w:highlight w:val="white"/>
            <w:u w:val="single"/>
          </w:rPr>
          <w:t>International Convention on Elimination of All Forms of Racial Discrimination</w:t>
        </w:r>
      </w:hyperlink>
      <w:hyperlink r:id="rId9">
        <w:r>
          <w:rPr>
            <w:sz w:val="14"/>
            <w:szCs w:val="14"/>
            <w:highlight w:val="white"/>
          </w:rPr>
          <w:tab/>
        </w:r>
        <w:r>
          <w:rPr>
            <w:sz w:val="14"/>
            <w:szCs w:val="14"/>
            <w:highlight w:val="white"/>
          </w:rPr>
          <w:tab/>
        </w:r>
      </w:hyperlink>
    </w:p>
    <w:p w14:paraId="6C16582E" w14:textId="77777777" w:rsidR="00840B40" w:rsidRDefault="00A10DFA">
      <w:pPr>
        <w:numPr>
          <w:ilvl w:val="0"/>
          <w:numId w:val="1"/>
        </w:numPr>
        <w:spacing w:line="397" w:lineRule="auto"/>
        <w:ind w:hanging="360"/>
        <w:contextualSpacing/>
        <w:rPr>
          <w:sz w:val="14"/>
          <w:szCs w:val="14"/>
          <w:highlight w:val="white"/>
        </w:rPr>
      </w:pPr>
      <w:hyperlink r:id="rId10">
        <w:r>
          <w:rPr>
            <w:color w:val="1155CC"/>
            <w:sz w:val="14"/>
            <w:szCs w:val="14"/>
            <w:highlight w:val="white"/>
            <w:u w:val="single"/>
          </w:rPr>
          <w:t>Convention on the Elimination of all Forms of Discrimination Against Women</w:t>
        </w:r>
      </w:hyperlink>
      <w:hyperlink r:id="rId11">
        <w:r>
          <w:rPr>
            <w:sz w:val="14"/>
            <w:szCs w:val="14"/>
            <w:highlight w:val="white"/>
          </w:rPr>
          <w:tab/>
        </w:r>
        <w:r>
          <w:rPr>
            <w:sz w:val="14"/>
            <w:szCs w:val="14"/>
            <w:highlight w:val="white"/>
          </w:rPr>
          <w:tab/>
        </w:r>
      </w:hyperlink>
    </w:p>
    <w:p w14:paraId="3041CE74" w14:textId="77777777" w:rsidR="00840B40" w:rsidRDefault="00A10DFA">
      <w:pPr>
        <w:numPr>
          <w:ilvl w:val="0"/>
          <w:numId w:val="1"/>
        </w:numPr>
        <w:spacing w:line="397" w:lineRule="auto"/>
        <w:ind w:hanging="360"/>
        <w:contextualSpacing/>
        <w:rPr>
          <w:sz w:val="14"/>
          <w:szCs w:val="14"/>
          <w:highlight w:val="white"/>
        </w:rPr>
      </w:pPr>
      <w:hyperlink r:id="rId12">
        <w:r>
          <w:rPr>
            <w:color w:val="1155CC"/>
            <w:sz w:val="14"/>
            <w:szCs w:val="14"/>
            <w:highlight w:val="white"/>
            <w:u w:val="single"/>
          </w:rPr>
          <w:t>Convention on the Rights of Persons with Disabilities</w:t>
        </w:r>
      </w:hyperlink>
    </w:p>
    <w:p w14:paraId="679A07CA" w14:textId="77777777" w:rsidR="00840B40" w:rsidRDefault="00A10DFA">
      <w:pPr>
        <w:numPr>
          <w:ilvl w:val="0"/>
          <w:numId w:val="1"/>
        </w:numPr>
        <w:spacing w:line="397" w:lineRule="auto"/>
        <w:ind w:hanging="360"/>
        <w:contextualSpacing/>
        <w:rPr>
          <w:sz w:val="14"/>
          <w:szCs w:val="14"/>
          <w:highlight w:val="white"/>
        </w:rPr>
      </w:pPr>
      <w:hyperlink r:id="rId13">
        <w:r>
          <w:rPr>
            <w:color w:val="1155CC"/>
            <w:sz w:val="14"/>
            <w:szCs w:val="14"/>
            <w:highlight w:val="white"/>
            <w:u w:val="single"/>
          </w:rPr>
          <w:t>UN Declaration on the Rights of Indigenous Peoples</w:t>
        </w:r>
      </w:hyperlink>
    </w:p>
    <w:p w14:paraId="1B29AD72" w14:textId="77777777" w:rsidR="00840B40" w:rsidRDefault="00A10DFA">
      <w:pPr>
        <w:numPr>
          <w:ilvl w:val="0"/>
          <w:numId w:val="1"/>
        </w:numPr>
        <w:spacing w:line="397" w:lineRule="auto"/>
        <w:ind w:hanging="360"/>
        <w:contextualSpacing/>
        <w:rPr>
          <w:sz w:val="14"/>
          <w:szCs w:val="14"/>
          <w:highlight w:val="white"/>
        </w:rPr>
      </w:pPr>
      <w:r>
        <w:rPr>
          <w:sz w:val="14"/>
          <w:szCs w:val="14"/>
          <w:highlight w:val="white"/>
        </w:rPr>
        <w:t>ILO’s</w:t>
      </w:r>
      <w:hyperlink r:id="rId14">
        <w:r>
          <w:rPr>
            <w:sz w:val="14"/>
            <w:szCs w:val="14"/>
            <w:highlight w:val="white"/>
          </w:rPr>
          <w:t xml:space="preserve"> </w:t>
        </w:r>
      </w:hyperlink>
      <w:hyperlink r:id="rId15">
        <w:r>
          <w:rPr>
            <w:color w:val="1155CC"/>
            <w:sz w:val="14"/>
            <w:szCs w:val="14"/>
            <w:highlight w:val="white"/>
            <w:u w:val="single"/>
          </w:rPr>
          <w:t>Declaration on Fundamental Principles and Rights at Work</w:t>
        </w:r>
      </w:hyperlink>
      <w:r>
        <w:rPr>
          <w:sz w:val="14"/>
          <w:szCs w:val="14"/>
          <w:highlight w:val="white"/>
        </w:rPr>
        <w:t xml:space="preserve"> could be applicable to ICANN’s employees and workers</w:t>
      </w:r>
    </w:p>
    <w:p w14:paraId="28EFB8D2" w14:textId="77777777" w:rsidR="00840B40" w:rsidRDefault="00840B40">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C45706"/>
    <w:multiLevelType w:val="multilevel"/>
    <w:tmpl w:val="8B48D5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B40"/>
    <w:rsid w:val="00840B40"/>
    <w:rsid w:val="00A10DF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6319"/>
  <w15:docId w15:val="{734143A2-2D93-4056-81F1-5D7395EC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de-CH" w:eastAsia="de-CH"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00" w:after="120"/>
      <w:contextualSpacing/>
      <w:outlineLvl w:val="0"/>
    </w:pPr>
    <w:rPr>
      <w:sz w:val="40"/>
      <w:szCs w:val="40"/>
    </w:rPr>
  </w:style>
  <w:style w:type="paragraph" w:styleId="berschrift2">
    <w:name w:val="heading 2"/>
    <w:basedOn w:val="Standard"/>
    <w:next w:val="Standard"/>
    <w:pPr>
      <w:keepNext/>
      <w:keepLines/>
      <w:spacing w:before="360" w:after="120"/>
      <w:contextualSpacing/>
      <w:outlineLvl w:val="1"/>
    </w:pPr>
    <w:rPr>
      <w:sz w:val="32"/>
      <w:szCs w:val="32"/>
    </w:rPr>
  </w:style>
  <w:style w:type="paragraph" w:styleId="berschrift3">
    <w:name w:val="heading 3"/>
    <w:basedOn w:val="Standard"/>
    <w:next w:val="Standard"/>
    <w:pPr>
      <w:keepNext/>
      <w:keepLines/>
      <w:spacing w:before="320" w:after="80"/>
      <w:contextualSpacing/>
      <w:outlineLvl w:val="2"/>
    </w:pPr>
    <w:rPr>
      <w:color w:val="434343"/>
      <w:sz w:val="28"/>
      <w:szCs w:val="28"/>
    </w:rPr>
  </w:style>
  <w:style w:type="paragraph" w:styleId="berschrift4">
    <w:name w:val="heading 4"/>
    <w:basedOn w:val="Standard"/>
    <w:next w:val="Standard"/>
    <w:pPr>
      <w:keepNext/>
      <w:keepLines/>
      <w:spacing w:before="280" w:after="80"/>
      <w:contextualSpacing/>
      <w:outlineLvl w:val="3"/>
    </w:pPr>
    <w:rPr>
      <w:color w:val="666666"/>
      <w:sz w:val="24"/>
      <w:szCs w:val="24"/>
    </w:rPr>
  </w:style>
  <w:style w:type="paragraph" w:styleId="berschrift5">
    <w:name w:val="heading 5"/>
    <w:basedOn w:val="Standard"/>
    <w:next w:val="Standard"/>
    <w:pPr>
      <w:keepNext/>
      <w:keepLines/>
      <w:spacing w:before="240" w:after="80"/>
      <w:contextualSpacing/>
      <w:outlineLvl w:val="4"/>
    </w:pPr>
    <w:rPr>
      <w:color w:val="666666"/>
    </w:rPr>
  </w:style>
  <w:style w:type="paragraph" w:styleId="berschrift6">
    <w:name w:val="heading 6"/>
    <w:basedOn w:val="Standard"/>
    <w:next w:val="Standard"/>
    <w:pPr>
      <w:keepNext/>
      <w:keepLines/>
      <w:spacing w:before="240" w:after="80"/>
      <w:contextualSpacing/>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after="60"/>
      <w:contextualSpacing/>
    </w:pPr>
    <w:rPr>
      <w:sz w:val="52"/>
      <w:szCs w:val="52"/>
    </w:rPr>
  </w:style>
  <w:style w:type="paragraph" w:styleId="Untertitel">
    <w:name w:val="Subtitle"/>
    <w:basedOn w:val="Standard"/>
    <w:next w:val="Standard"/>
    <w:pPr>
      <w:keepNext/>
      <w:keepLines/>
      <w:spacing w:after="320"/>
      <w:contextualSpacing/>
    </w:pPr>
    <w:rPr>
      <w:color w:val="666666"/>
      <w:sz w:val="30"/>
      <w:szCs w:val="30"/>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A10DF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0D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business-humanrights.org/en/un-guiding-principles/text-of-the-un-guiding-principles" TargetMode="External"/><Relationship Id="rId13" Type="http://schemas.openxmlformats.org/officeDocument/2006/relationships/hyperlink" Target="https://www.business-humanrights.org/en/un-guiding-principles/text-of-the-un-guiding-principles" TargetMode="External"/><Relationship Id="rId18" Type="http://schemas.openxmlformats.org/officeDocument/2006/relationships/hyperlink" Target="https://www.business-humanrights.org/en/un-guiding-principles/text-of-the-un-guiding-principles" TargetMode="External"/><Relationship Id="rId26" Type="http://schemas.openxmlformats.org/officeDocument/2006/relationships/comments" Target="comments.xml"/><Relationship Id="rId3" Type="http://schemas.openxmlformats.org/officeDocument/2006/relationships/settings" Target="settings.xml"/><Relationship Id="rId21" Type="http://schemas.openxmlformats.org/officeDocument/2006/relationships/hyperlink" Target="https://www.business-humanrights.org/en/un-guiding-principles/text-of-the-un-guiding-principles" TargetMode="External"/><Relationship Id="rId7" Type="http://schemas.openxmlformats.org/officeDocument/2006/relationships/hyperlink" Target="https://www.business-humanrights.org/en/un-guiding-principles/text-of-the-un-guiding-principles" TargetMode="External"/><Relationship Id="rId12" Type="http://schemas.openxmlformats.org/officeDocument/2006/relationships/hyperlink" Target="https://www.business-humanrights.org/en/un-guiding-principles/text-of-the-un-guiding-principles" TargetMode="External"/><Relationship Id="rId17" Type="http://schemas.openxmlformats.org/officeDocument/2006/relationships/hyperlink" Target="https://www.business-humanrights.org/en/un-guiding-principles/text-of-the-un-guiding-principles" TargetMode="External"/><Relationship Id="rId25" Type="http://schemas.openxmlformats.org/officeDocument/2006/relationships/hyperlink" Target="https://www.business-humanrights.org/en/un-guiding-principles/text-of-the-un-guiding-principles" TargetMode="External"/><Relationship Id="rId2" Type="http://schemas.openxmlformats.org/officeDocument/2006/relationships/styles" Target="styles.xml"/><Relationship Id="rId16" Type="http://schemas.openxmlformats.org/officeDocument/2006/relationships/hyperlink" Target="https://www.business-humanrights.org/en/un-guiding-principles/text-of-the-un-guiding-principles" TargetMode="External"/><Relationship Id="rId20" Type="http://schemas.openxmlformats.org/officeDocument/2006/relationships/hyperlink" Target="https://www.business-humanrights.org/en/un-guiding-principles/text-of-the-un-guiding-principl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siness-humanrights.org/en/un-guiding-principles/text-of-the-un-guiding-principles" TargetMode="External"/><Relationship Id="rId24" Type="http://schemas.openxmlformats.org/officeDocument/2006/relationships/hyperlink" Target="https://www.business-humanrights.org/en/un-guiding-principles/text-of-the-un-guiding-principles" TargetMode="External"/><Relationship Id="rId5" Type="http://schemas.openxmlformats.org/officeDocument/2006/relationships/footnotes" Target="footnotes.xml"/><Relationship Id="rId15" Type="http://schemas.openxmlformats.org/officeDocument/2006/relationships/hyperlink" Target="https://www.business-humanrights.org/en/un-guiding-principles/text-of-the-un-guiding-principles" TargetMode="External"/><Relationship Id="rId23" Type="http://schemas.openxmlformats.org/officeDocument/2006/relationships/hyperlink" Target="https://www.business-humanrights.org/en/un-guiding-principles/text-of-the-un-guiding-principles" TargetMode="External"/><Relationship Id="rId28" Type="http://schemas.openxmlformats.org/officeDocument/2006/relationships/fontTable" Target="fontTable.xml"/><Relationship Id="rId10" Type="http://schemas.openxmlformats.org/officeDocument/2006/relationships/hyperlink" Target="https://www.business-humanrights.org/en/un-guiding-principles/text-of-the-un-guiding-principles" TargetMode="External"/><Relationship Id="rId19" Type="http://schemas.openxmlformats.org/officeDocument/2006/relationships/hyperlink" Target="https://www.business-humanrights.org/en/un-guiding-principles/text-of-the-un-guiding-principles" TargetMode="External"/><Relationship Id="rId4" Type="http://schemas.openxmlformats.org/officeDocument/2006/relationships/webSettings" Target="webSettings.xml"/><Relationship Id="rId9" Type="http://schemas.openxmlformats.org/officeDocument/2006/relationships/hyperlink" Target="https://www.business-humanrights.org/en/un-guiding-principles/text-of-the-un-guiding-principles" TargetMode="External"/><Relationship Id="rId14" Type="http://schemas.openxmlformats.org/officeDocument/2006/relationships/hyperlink" Target="https://www.business-humanrights.org/en/un-guiding-principles/text-of-the-un-guiding-principles" TargetMode="External"/><Relationship Id="rId22" Type="http://schemas.openxmlformats.org/officeDocument/2006/relationships/hyperlink" Target="https://www.business-humanrights.org/en/un-guiding-principles/text-of-the-un-guiding-principles" TargetMode="External"/><Relationship Id="rId27"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www.ohchr.org/EN/ProfessionalInterest/Pages/CERD.aspx" TargetMode="External"/><Relationship Id="rId13" Type="http://schemas.openxmlformats.org/officeDocument/2006/relationships/hyperlink" Target="http://www.ohchr.org/EN/Issues/IPeoples/Pages/Declaration.aspx" TargetMode="External"/><Relationship Id="rId3" Type="http://schemas.openxmlformats.org/officeDocument/2006/relationships/hyperlink" Target="http://www.un.org/en/universal-declaration-human-rights/" TargetMode="External"/><Relationship Id="rId7" Type="http://schemas.openxmlformats.org/officeDocument/2006/relationships/hyperlink" Target="http://www.ohchr.org/EN/ProfessionalInterest/Pages/CESCR.aspx" TargetMode="External"/><Relationship Id="rId12" Type="http://schemas.openxmlformats.org/officeDocument/2006/relationships/hyperlink" Target="http://www.un.org/disabilities/convention/conventionfull.shtml" TargetMode="External"/><Relationship Id="rId2" Type="http://schemas.openxmlformats.org/officeDocument/2006/relationships/hyperlink" Target="http://www.un.org/en/universal-declaration-human-rights/" TargetMode="External"/><Relationship Id="rId1" Type="http://schemas.openxmlformats.org/officeDocument/2006/relationships/hyperlink" Target="http://www.un.org/en/universal-declaration-human-rights/" TargetMode="External"/><Relationship Id="rId6" Type="http://schemas.openxmlformats.org/officeDocument/2006/relationships/hyperlink" Target="http://www.ohchr.org/EN/ProfessionalInterest/Pages/CESCR.aspx" TargetMode="External"/><Relationship Id="rId11" Type="http://schemas.openxmlformats.org/officeDocument/2006/relationships/hyperlink" Target="http://www.un.org/womenwatch/daw/cedaw/" TargetMode="External"/><Relationship Id="rId5" Type="http://schemas.openxmlformats.org/officeDocument/2006/relationships/hyperlink" Target="http://www.ohchr.org/en/professionalinterest/pages/ccpr.aspx" TargetMode="External"/><Relationship Id="rId15" Type="http://schemas.openxmlformats.org/officeDocument/2006/relationships/hyperlink" Target="http://www.ilo.org/declaration/lang--en/index.htm" TargetMode="External"/><Relationship Id="rId10" Type="http://schemas.openxmlformats.org/officeDocument/2006/relationships/hyperlink" Target="http://www.un.org/womenwatch/daw/cedaw/" TargetMode="External"/><Relationship Id="rId4" Type="http://schemas.openxmlformats.org/officeDocument/2006/relationships/hyperlink" Target="http://www.ohchr.org/en/professionalinterest/pages/ccpr.aspx" TargetMode="External"/><Relationship Id="rId9" Type="http://schemas.openxmlformats.org/officeDocument/2006/relationships/hyperlink" Target="http://www.ohchr.org/EN/ProfessionalInterest/Pages/CERD.aspx" TargetMode="External"/><Relationship Id="rId14" Type="http://schemas.openxmlformats.org/officeDocument/2006/relationships/hyperlink" Target="http://www.ilo.org/declaration/lang--e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7635</Characters>
  <Application>Microsoft Office Word</Application>
  <DocSecurity>4</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Cancio Jorge BAKOM</dc:creator>
  <cp:lastModifiedBy>Cancio Jorgé BAKOM</cp:lastModifiedBy>
  <cp:revision>2</cp:revision>
  <dcterms:created xsi:type="dcterms:W3CDTF">2017-02-28T07:21:00Z</dcterms:created>
  <dcterms:modified xsi:type="dcterms:W3CDTF">2017-02-28T07:21:00Z</dcterms:modified>
</cp:coreProperties>
</file>