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r>
        <w:rPr>
          <w:rFonts w:cs="Arial" w:ascii="Arial" w:hAnsi="Arial"/>
          <w:color w:val="222222"/>
          <w:sz w:val="19"/>
          <w:szCs w:val="19"/>
          <w:shd w:fill="FFFFFF" w:val="clear"/>
        </w:rPr>
        <w:t>The Cross Community Working Group on Enhancing ICANN’s AccountabilityHuman Rights Subgroup would like to sincerely thank those who have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taken the time and effort to submit public comment to the Framework of</w:t>
      </w:r>
      <w:r>
        <w:rPr>
          <w:rFonts w:cs="Arial" w:ascii="Arial" w:hAnsi="Arial"/>
          <w:color w:val="222222"/>
          <w:sz w:val="19"/>
          <w:szCs w:val="19"/>
        </w:rPr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Interpretation and Considerations document during the Public Comment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Period [0].</w:t>
      </w:r>
      <w:r>
        <w:rPr>
          <w:rFonts w:cs="Arial" w:ascii="Arial" w:hAnsi="Arial"/>
          <w:color w:val="222222"/>
          <w:sz w:val="19"/>
          <w:szCs w:val="19"/>
        </w:rPr>
        <w:br/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The Subgroup has analyzed and discussed the comments at great length and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 xml:space="preserve">came to the following conclusions: </w:t>
      </w:r>
      <w:r>
        <w:rPr>
          <w:rFonts w:cs="Arial" w:ascii="Arial" w:hAnsi="Arial"/>
          <w:color w:val="222222"/>
          <w:sz w:val="19"/>
          <w:szCs w:val="19"/>
        </w:rPr>
        <w:br/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The mandate of the group does not include suggesting any changes to the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ICANN Bylaws; this includes the Bylaw on Human Rights. As such, any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comments that would require changing the Bylaws cannot be accepted.</w:t>
      </w:r>
      <w:r>
        <w:rPr>
          <w:rFonts w:cs="Arial" w:ascii="Arial" w:hAnsi="Arial"/>
          <w:color w:val="222222"/>
          <w:sz w:val="19"/>
          <w:szCs w:val="19"/>
        </w:rPr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This is the case for comments recommending changes in the hierarchy of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Core Values as outlined in the Bylaw or for comments pertaining to the use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of the term “applicable law” which is part of ICANN’s Human Rights Bylaw.</w:t>
      </w:r>
      <w:r>
        <w:rPr>
          <w:rFonts w:cs="Arial" w:ascii="Arial" w:hAnsi="Arial"/>
          <w:color w:val="222222"/>
          <w:sz w:val="19"/>
          <w:szCs w:val="19"/>
        </w:rPr>
        <w:br/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The Subgroup does recognize that the documents mentioned in the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footnotes are not necessarily an exhaustive list of human rights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documents, and therefore the text has been changed from ‘including:’ to</w:t>
      </w:r>
      <w:r>
        <w:rPr>
          <w:rFonts w:cs="Arial" w:ascii="Arial" w:hAnsi="Arial"/>
          <w:color w:val="222222"/>
          <w:sz w:val="19"/>
          <w:szCs w:val="19"/>
        </w:rPr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‘including, but not limited to:’ for purposes of clarity.</w:t>
      </w:r>
      <w:r>
        <w:rPr>
          <w:rFonts w:cs="Arial" w:ascii="Arial" w:hAnsi="Arial"/>
          <w:color w:val="222222"/>
          <w:sz w:val="19"/>
          <w:szCs w:val="19"/>
        </w:rPr>
        <w:br/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Finally, no new references to any instrument in general or the UN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Guiding Principles for Business and Human Rights in particular have been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added. The conclusion</w:t>
      </w:r>
      <w:bookmarkStart w:id="0" w:name="_GoBack"/>
      <w:bookmarkEnd w:id="0"/>
      <w:r>
        <w:rPr>
          <w:rFonts w:cs="Arial" w:ascii="Arial" w:hAnsi="Arial"/>
          <w:color w:val="222222"/>
          <w:sz w:val="19"/>
          <w:szCs w:val="19"/>
          <w:shd w:fill="FFFFFF" w:val="clear"/>
        </w:rPr>
        <w:t xml:space="preserve"> of the Subgroup is that the current proposed wording is a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 xml:space="preserve">careful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balance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between the different opinions held in the ICANN community, particularly considering the remit of ICANN’s Mission.</w:t>
      </w:r>
      <w:r>
        <w:rPr>
          <w:rFonts w:cs="Arial" w:ascii="Arial" w:hAnsi="Arial"/>
          <w:color w:val="222222"/>
          <w:sz w:val="19"/>
          <w:szCs w:val="19"/>
        </w:rPr>
        <w:br/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The HR Subgroup has developed a document which lists a response to each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of the major comments submitted to the public consultation and is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including it in this email for reference by the CCWG-Accountability-WS2.</w:t>
      </w:r>
      <w:r>
        <w:rPr>
          <w:rFonts w:cs="Arial" w:ascii="Arial" w:hAnsi="Arial"/>
          <w:color w:val="222222"/>
          <w:sz w:val="19"/>
          <w:szCs w:val="19"/>
        </w:rPr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This will be published on the public consultation web site as part of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the standard process.</w:t>
      </w:r>
      <w:r>
        <w:rPr>
          <w:rFonts w:cs="Arial" w:ascii="Arial" w:hAnsi="Arial"/>
          <w:color w:val="222222"/>
          <w:sz w:val="19"/>
          <w:szCs w:val="19"/>
        </w:rPr>
        <w:br/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As such, the HR Subgroup is submitting its final recommendations for an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HR FoI to the CCWG-Accountability-WS2 for approval. Given the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submissions made in the public comment process and the minimal changes</w:t>
      </w:r>
      <w:r>
        <w:rPr>
          <w:rFonts w:cs="Arial" w:ascii="Arial" w:hAnsi="Arial"/>
          <w:color w:val="222222"/>
          <w:sz w:val="19"/>
          <w:szCs w:val="19"/>
        </w:rPr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that have been made to the document to address these, the HR sub-group</w:t>
      </w:r>
      <w:r>
        <w:rPr>
          <w:rFonts w:cs="Arial" w:ascii="Arial" w:hAnsi="Arial"/>
          <w:color w:val="222222"/>
          <w:sz w:val="19"/>
          <w:szCs w:val="19"/>
          <w:highlight w:val="white"/>
        </w:rPr>
        <w:t xml:space="preserve">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does not believe it is necessary that this version be posted for a further round of public comment.</w:t>
      </w:r>
      <w:r>
        <w:rPr>
          <w:rFonts w:cs="Arial" w:ascii="Arial" w:hAnsi="Arial"/>
          <w:color w:val="222222"/>
          <w:sz w:val="19"/>
          <w:szCs w:val="19"/>
        </w:rPr>
        <w:br/>
        <w:br/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[0] </w:t>
      </w:r>
      <w:hyperlink r:id="rId2" w:tgtFrame="_blank">
        <w:r>
          <w:rPr>
            <w:rStyle w:val="InternetLink"/>
            <w:rFonts w:cs="Arial" w:ascii="Arial" w:hAnsi="Arial"/>
            <w:color w:val="1155CC"/>
            <w:sz w:val="19"/>
            <w:szCs w:val="19"/>
            <w:highlight w:val="white"/>
          </w:rPr>
          <w:t>https://www.icann.org/public-comments/foi-hr-2017-05-05-en</w:t>
        </w:r>
      </w:hyperlink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semiHidden/>
    <w:unhideWhenUsed/>
    <w:rsid w:val="004d7bf8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cann.org/public-comments/foi-hr-2017-05-05-en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LibreOffice/5.4.0.3$Linux_X86_64 LibreOffice_project/40m0$Build-3</Application>
  <Pages>1</Pages>
  <Words>343</Words>
  <Characters>1832</Characters>
  <CharactersWithSpaces>2182</CharactersWithSpaces>
  <Paragraphs>1</Paragraphs>
  <Company>Windows 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2017-08-22T14:59:00Z</dcterms:created>
  <dc:creator>Greg Shatan</dc:creator>
  <dc:description/>
  <dc:language>en-US</dc:language>
  <cp:lastModifiedBy/>
  <dcterms:modified xsi:type="dcterms:W3CDTF">2017-08-22T20:44:36Z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Windows User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