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63B" w:rsidRDefault="00313B15">
      <w:pPr>
        <w:jc w:val="center"/>
      </w:pPr>
      <w:bookmarkStart w:id="0" w:name="_gjdgxs" w:colFirst="0" w:colLast="0"/>
      <w:bookmarkEnd w:id="0"/>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2A3CC9">
            <w:pPr>
              <w:contextualSpacing w:val="0"/>
            </w:pPr>
            <w:r>
              <w:t>Raphael Beauregard-Lacroix</w:t>
            </w:r>
          </w:p>
        </w:tc>
      </w:tr>
      <w:tr w:rsidR="0092763B">
        <w:tc>
          <w:tcPr>
            <w:tcW w:w="3798" w:type="dxa"/>
          </w:tcPr>
          <w:p w:rsidR="0092763B" w:rsidRDefault="00313B15">
            <w:pPr>
              <w:contextualSpacing w:val="0"/>
            </w:pPr>
            <w:r>
              <w:rPr>
                <w:sz w:val="24"/>
                <w:szCs w:val="24"/>
              </w:rPr>
              <w:t>Name of Case:</w:t>
            </w:r>
          </w:p>
        </w:tc>
        <w:tc>
          <w:tcPr>
            <w:tcW w:w="9378" w:type="dxa"/>
          </w:tcPr>
          <w:p w:rsidR="0092763B" w:rsidRDefault="002A3CC9">
            <w:pPr>
              <w:contextualSpacing w:val="0"/>
            </w:pPr>
            <w:r>
              <w:t>Employ Media LLC v ICANN</w:t>
            </w: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2A3CC9" w:rsidP="00124EB2">
            <w:pPr>
              <w:contextualSpacing w:val="0"/>
            </w:pPr>
            <w:r>
              <w:t>Employ Media LLC</w:t>
            </w:r>
            <w:r w:rsidR="00124EB2">
              <w:t xml:space="preserve"> (Claimant)</w:t>
            </w:r>
            <w:r>
              <w:t xml:space="preserve"> </w:t>
            </w:r>
            <w:r w:rsidR="00124EB2">
              <w:t>; ICANN (Respondent)</w:t>
            </w:r>
          </w:p>
        </w:tc>
      </w:tr>
      <w:tr w:rsidR="0092763B">
        <w:tc>
          <w:tcPr>
            <w:tcW w:w="3798" w:type="dxa"/>
          </w:tcPr>
          <w:p w:rsidR="0092763B" w:rsidRDefault="00313B15">
            <w:pPr>
              <w:contextualSpacing w:val="0"/>
            </w:pPr>
            <w:r>
              <w:rPr>
                <w:sz w:val="24"/>
                <w:szCs w:val="24"/>
              </w:rPr>
              <w:t>Citizenship of Parties:</w:t>
            </w:r>
          </w:p>
        </w:tc>
        <w:tc>
          <w:tcPr>
            <w:tcW w:w="9378" w:type="dxa"/>
          </w:tcPr>
          <w:p w:rsidR="0092763B" w:rsidRDefault="00BF0691" w:rsidP="001E0DD4">
            <w:pPr>
              <w:contextualSpacing w:val="0"/>
            </w:pPr>
            <w:r>
              <w:t>USA (Employ Media LLC</w:t>
            </w:r>
            <w:r w:rsidR="00124EB2">
              <w:t xml:space="preserve"> is incorporated in Delaware, its main office is in Ohio</w:t>
            </w:r>
            <w:r>
              <w:t>; ICANN</w:t>
            </w:r>
            <w:r w:rsidR="00124EB2">
              <w:t xml:space="preserve"> is incorporated and </w:t>
            </w:r>
            <w:r w:rsidR="001E0DD4">
              <w:t xml:space="preserve">has </w:t>
            </w:r>
            <w:r w:rsidR="00124EB2">
              <w:t>its main office in California</w:t>
            </w:r>
            <w:r>
              <w:t>)</w:t>
            </w:r>
          </w:p>
        </w:tc>
      </w:tr>
      <w:tr w:rsidR="0092763B">
        <w:tc>
          <w:tcPr>
            <w:tcW w:w="3798" w:type="dxa"/>
          </w:tcPr>
          <w:p w:rsidR="0092763B" w:rsidRDefault="00313B15">
            <w:pPr>
              <w:contextualSpacing w:val="0"/>
            </w:pPr>
            <w:r>
              <w:rPr>
                <w:sz w:val="24"/>
                <w:szCs w:val="24"/>
              </w:rPr>
              <w:t>Court/Venue:</w:t>
            </w:r>
          </w:p>
        </w:tc>
        <w:tc>
          <w:tcPr>
            <w:tcW w:w="9378" w:type="dxa"/>
          </w:tcPr>
          <w:p w:rsidR="0092763B" w:rsidRDefault="00124EB2">
            <w:pPr>
              <w:contextualSpacing w:val="0"/>
            </w:pPr>
            <w:r>
              <w:t>International Chamber of Commerce (Arbitration rules)</w:t>
            </w:r>
            <w:r>
              <w:br/>
              <w:t>Los Angeles, California (A</w:t>
            </w:r>
            <w:r w:rsidR="00BF0691">
              <w:t xml:space="preserve">rbitration seat) </w:t>
            </w:r>
          </w:p>
        </w:tc>
      </w:tr>
      <w:tr w:rsidR="0092763B">
        <w:tc>
          <w:tcPr>
            <w:tcW w:w="3798" w:type="dxa"/>
          </w:tcPr>
          <w:p w:rsidR="0092763B" w:rsidRDefault="00313B15">
            <w:pPr>
              <w:contextualSpacing w:val="0"/>
            </w:pPr>
            <w:r>
              <w:rPr>
                <w:sz w:val="24"/>
                <w:szCs w:val="24"/>
              </w:rPr>
              <w:t>Choice of Law provision in contract; if so, which jurisdiction</w:t>
            </w:r>
            <w:proofErr w:type="gramStart"/>
            <w:r>
              <w:rPr>
                <w:sz w:val="24"/>
                <w:szCs w:val="24"/>
              </w:rPr>
              <w:t>?:</w:t>
            </w:r>
            <w:proofErr w:type="gramEnd"/>
          </w:p>
        </w:tc>
        <w:tc>
          <w:tcPr>
            <w:tcW w:w="9378" w:type="dxa"/>
          </w:tcPr>
          <w:p w:rsidR="0092763B" w:rsidRDefault="00124EB2">
            <w:pPr>
              <w:contextualSpacing w:val="0"/>
            </w:pPr>
            <w:r>
              <w:t>None</w:t>
            </w: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391537" w:rsidP="00391537">
            <w:pPr>
              <w:contextualSpacing w:val="0"/>
            </w:pPr>
            <w:r>
              <w:t>In the context of commercial arbitration: a</w:t>
            </w:r>
            <w:r w:rsidR="00ED5BA6">
              <w:t xml:space="preserve">bsent a choice of law, the decision on the applicable conflict of law rules is usually up to the Arbitral Tribunal’s appreciation. </w:t>
            </w:r>
            <w:r w:rsidR="00124EB2">
              <w:t xml:space="preserve">ICC Rules </w:t>
            </w:r>
            <w:r>
              <w:t>go in that direction (Art.21). T</w:t>
            </w:r>
            <w:r w:rsidR="00ED5BA6">
              <w:t xml:space="preserve">he Arbitral Tribunal </w:t>
            </w:r>
            <w:r>
              <w:t>is not bound by the</w:t>
            </w:r>
            <w:r w:rsidR="00ED5BA6">
              <w:t xml:space="preserve"> conflict of laws rules of the arbitration seat, which here was California.</w:t>
            </w: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124EB2" w:rsidP="00ED5BA6">
            <w:pPr>
              <w:contextualSpacing w:val="0"/>
            </w:pPr>
            <w:r>
              <w:t>Unresolved (</w:t>
            </w:r>
            <w:r w:rsidR="00142E20">
              <w:t xml:space="preserve">According to Claimant, </w:t>
            </w:r>
            <w:r>
              <w:t>either Ohio</w:t>
            </w:r>
            <w:r w:rsidR="0076736D">
              <w:t xml:space="preserve">, </w:t>
            </w:r>
            <w:r>
              <w:t>California</w:t>
            </w:r>
            <w:r w:rsidR="0076736D">
              <w:t xml:space="preserve"> and/or “relevant principles of international law”, although Claimant does not rely on any such principles in its actual statement of claims</w:t>
            </w:r>
            <w:r w:rsidR="00142E20">
              <w:t>; according to ICANN, California</w:t>
            </w:r>
            <w:r w:rsidR="00ED5BA6">
              <w:t xml:space="preserve">) </w:t>
            </w: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124EB2">
            <w:pPr>
              <w:contextualSpacing w:val="0"/>
            </w:pPr>
            <w:r>
              <w:t>3 May 2011 (Request for Arbitration submitted to ICC)</w:t>
            </w: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124EB2">
            <w:pPr>
              <w:contextualSpacing w:val="0"/>
            </w:pPr>
            <w:r>
              <w:t xml:space="preserve">11 December 2012 (Settlement) </w:t>
            </w:r>
          </w:p>
        </w:tc>
      </w:tr>
      <w:tr w:rsidR="0092763B">
        <w:tc>
          <w:tcPr>
            <w:tcW w:w="3798" w:type="dxa"/>
          </w:tcPr>
          <w:p w:rsidR="0092763B" w:rsidRDefault="00313B15">
            <w:pPr>
              <w:contextualSpacing w:val="0"/>
            </w:pPr>
            <w:r>
              <w:rPr>
                <w:sz w:val="24"/>
                <w:szCs w:val="24"/>
              </w:rPr>
              <w:t>Causes of Action:</w:t>
            </w:r>
          </w:p>
        </w:tc>
        <w:tc>
          <w:tcPr>
            <w:tcW w:w="9378" w:type="dxa"/>
          </w:tcPr>
          <w:p w:rsidR="0092763B" w:rsidRDefault="002A3CC9">
            <w:pPr>
              <w:contextualSpacing w:val="0"/>
            </w:pPr>
            <w:r>
              <w:t>Breach of registry agreement for .jobs</w:t>
            </w:r>
          </w:p>
        </w:tc>
      </w:tr>
      <w:tr w:rsidR="0092763B">
        <w:tc>
          <w:tcPr>
            <w:tcW w:w="3798" w:type="dxa"/>
          </w:tcPr>
          <w:p w:rsidR="0092763B" w:rsidRDefault="00313B15">
            <w:pPr>
              <w:contextualSpacing w:val="0"/>
            </w:pPr>
            <w:r>
              <w:rPr>
                <w:sz w:val="24"/>
                <w:szCs w:val="24"/>
              </w:rPr>
              <w:t>Issues Presented:</w:t>
            </w:r>
          </w:p>
        </w:tc>
        <w:tc>
          <w:tcPr>
            <w:tcW w:w="9378" w:type="dxa"/>
          </w:tcPr>
          <w:p w:rsidR="0047322A" w:rsidRDefault="0095002A" w:rsidP="0095002A">
            <w:pPr>
              <w:contextualSpacing w:val="0"/>
            </w:pPr>
            <w:bookmarkStart w:id="1" w:name="_GoBack"/>
            <w:r>
              <w:t>It</w:t>
            </w:r>
            <w:r w:rsidRPr="0095002A">
              <w:t xml:space="preserve"> was claimed by ICANN that certain .jobs registrants did not comply with the requirements set out in the registry charter and that Employ Media, the registry, has proceeded with a unilateral broadening of the charter. Boiling it down, the dispute focused on how to interpret the list of requirements set out in the charter, as they were not all factually mutually exclus</w:t>
            </w:r>
            <w:r>
              <w:t>ive (it was eventually possible to imply the satisfaction of some requirements from the satisfaction of some others</w:t>
            </w:r>
            <w:r w:rsidRPr="0095002A">
              <w:t>)</w:t>
            </w:r>
          </w:p>
          <w:bookmarkEnd w:id="1"/>
          <w:p w:rsidR="0095002A" w:rsidRDefault="0095002A" w:rsidP="0047322A">
            <w:pPr>
              <w:contextualSpacing w:val="0"/>
            </w:pPr>
          </w:p>
          <w:p w:rsidR="00ED5BA6" w:rsidRDefault="00ED5BA6" w:rsidP="0047322A">
            <w:pPr>
              <w:contextualSpacing w:val="0"/>
            </w:pPr>
            <w:r>
              <w:t xml:space="preserve">ICANN subsequently served </w:t>
            </w:r>
            <w:r w:rsidR="00391537">
              <w:t>C</w:t>
            </w:r>
            <w:r w:rsidR="00142E20">
              <w:t>laimant</w:t>
            </w:r>
            <w:r>
              <w:t xml:space="preserve"> with a “Notice of Breach</w:t>
            </w:r>
            <w:r w:rsidR="0047322A">
              <w:t>:</w:t>
            </w:r>
            <w:r>
              <w:t>”</w:t>
            </w:r>
            <w:r w:rsidR="0047322A">
              <w:t xml:space="preserve"> “because .jobs is a </w:t>
            </w:r>
            <w:proofErr w:type="spellStart"/>
            <w:r w:rsidR="0047322A">
              <w:t>sTLD</w:t>
            </w:r>
            <w:proofErr w:type="spellEnd"/>
            <w:r w:rsidR="0047322A">
              <w:t>, Employ Media must amend its Charter through a proper PDP and get ICANN approval…” (ICANN’s answer to request for arbitration, par. 50)</w:t>
            </w:r>
          </w:p>
        </w:tc>
      </w:tr>
      <w:tr w:rsidR="0092763B">
        <w:tc>
          <w:tcPr>
            <w:tcW w:w="3798" w:type="dxa"/>
          </w:tcPr>
          <w:p w:rsidR="0092763B" w:rsidRDefault="00313B15">
            <w:pPr>
              <w:contextualSpacing w:val="0"/>
            </w:pPr>
            <w:r>
              <w:rPr>
                <w:sz w:val="24"/>
                <w:szCs w:val="24"/>
              </w:rPr>
              <w:t>Preliminary Relief</w:t>
            </w:r>
            <w:proofErr w:type="gramStart"/>
            <w:r>
              <w:rPr>
                <w:sz w:val="24"/>
                <w:szCs w:val="24"/>
              </w:rPr>
              <w:t>?:</w:t>
            </w:r>
            <w:proofErr w:type="gramEnd"/>
          </w:p>
        </w:tc>
        <w:tc>
          <w:tcPr>
            <w:tcW w:w="9378" w:type="dxa"/>
          </w:tcPr>
          <w:p w:rsidR="0092763B" w:rsidRDefault="00ED5BA6" w:rsidP="00A961AA">
            <w:pPr>
              <w:contextualSpacing w:val="0"/>
            </w:pPr>
            <w:r>
              <w:t>None (settled)</w:t>
            </w:r>
          </w:p>
        </w:tc>
      </w:tr>
      <w:tr w:rsidR="0092763B">
        <w:tc>
          <w:tcPr>
            <w:tcW w:w="3798" w:type="dxa"/>
          </w:tcPr>
          <w:p w:rsidR="0092763B" w:rsidRDefault="00313B15">
            <w:pPr>
              <w:contextualSpacing w:val="0"/>
            </w:pPr>
            <w:r>
              <w:rPr>
                <w:sz w:val="24"/>
                <w:szCs w:val="24"/>
              </w:rPr>
              <w:lastRenderedPageBreak/>
              <w:t>Relief Requested by Plaintiff</w:t>
            </w:r>
          </w:p>
        </w:tc>
        <w:tc>
          <w:tcPr>
            <w:tcW w:w="9378" w:type="dxa"/>
          </w:tcPr>
          <w:p w:rsidR="0092763B" w:rsidRDefault="006932D8" w:rsidP="00391537">
            <w:pPr>
              <w:contextualSpacing w:val="0"/>
            </w:pPr>
            <w:r>
              <w:t xml:space="preserve">Among others, a declaration that </w:t>
            </w:r>
            <w:r w:rsidR="00391537">
              <w:t>C</w:t>
            </w:r>
            <w:r w:rsidR="00142E20">
              <w:t>laimant</w:t>
            </w:r>
            <w:r>
              <w:t xml:space="preserve"> did not violate the registry agreement and that the Notice of Breach is invalid, in addition to costs and “any other relief the Tribunal may consider appropriate” </w:t>
            </w: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124EB2">
            <w:pPr>
              <w:contextualSpacing w:val="0"/>
            </w:pPr>
            <w:r>
              <w:t>Settled</w:t>
            </w:r>
            <w:r w:rsidR="00A961AA">
              <w:t xml:space="preserve">: </w:t>
            </w:r>
            <w:r w:rsidR="00A961AA" w:rsidRPr="00425F46">
              <w:t>ICANN and Employ Media settled on the basis of representations made by the sponsor of .jobs (the Society for Human Rights Management), to the effect that, among others, it would ensure that registrants provide the necessary representations with regards to their own compliance with the requirements of the charter. The letter provided by SHRM states that it believes all currently registered names comply with the charter.</w:t>
            </w: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142E20">
            <w:pPr>
              <w:contextualSpacing w:val="0"/>
            </w:pPr>
            <w:r>
              <w:t xml:space="preserve">The parties had diverging views on applicable law. According to ICANN it was limited to California, while claimant asserted it could also be Ohio or “relevant principles of international law” </w:t>
            </w:r>
          </w:p>
        </w:tc>
      </w:tr>
      <w:tr w:rsidR="0092763B">
        <w:tc>
          <w:tcPr>
            <w:tcW w:w="3798" w:type="dxa"/>
          </w:tcPr>
          <w:p w:rsidR="0092763B" w:rsidRDefault="00313B15">
            <w:pPr>
              <w:contextualSpacing w:val="0"/>
            </w:pPr>
            <w:r>
              <w:rPr>
                <w:sz w:val="24"/>
                <w:szCs w:val="24"/>
              </w:rPr>
              <w:t>Relevance to WG mandate</w:t>
            </w:r>
          </w:p>
        </w:tc>
        <w:tc>
          <w:tcPr>
            <w:tcW w:w="9378" w:type="dxa"/>
          </w:tcPr>
          <w:p w:rsidR="0076736D" w:rsidRDefault="006932D8" w:rsidP="0076736D">
            <w:pPr>
              <w:contextualSpacing w:val="0"/>
            </w:pPr>
            <w:r>
              <w:t>It is interesting to note that registry agreements do not contain a choice of law provision. This raises</w:t>
            </w:r>
            <w:r w:rsidR="0076736D">
              <w:t xml:space="preserve"> the question regarding other</w:t>
            </w:r>
            <w:r>
              <w:t xml:space="preserve"> standard form a</w:t>
            </w:r>
            <w:r w:rsidR="0076736D">
              <w:t>greements entered into by ICANN</w:t>
            </w:r>
            <w:r w:rsidR="00391537">
              <w:t xml:space="preserve"> or imposed on downstream providers</w:t>
            </w:r>
            <w:r w:rsidR="0076736D">
              <w:t>.</w:t>
            </w:r>
          </w:p>
          <w:p w:rsidR="0092763B" w:rsidRPr="006932D8" w:rsidRDefault="0076736D" w:rsidP="00391537">
            <w:pPr>
              <w:contextualSpacing w:val="0"/>
            </w:pPr>
            <w:r>
              <w:t xml:space="preserve">Not putting a choice of law in standard form contracts is peculiar and undeniably represents a </w:t>
            </w:r>
            <w:r>
              <w:rPr>
                <w:i/>
                <w:iCs/>
              </w:rPr>
              <w:t xml:space="preserve">jurisdictional </w:t>
            </w:r>
            <w:r>
              <w:t>risk, although it might be ju</w:t>
            </w:r>
            <w:r w:rsidR="00391537">
              <w:t>stified by other considerations; w</w:t>
            </w:r>
            <w:r>
              <w:t>e can assume that th</w:t>
            </w:r>
            <w:r w:rsidR="006932D8">
              <w:t xml:space="preserve">ere </w:t>
            </w:r>
            <w:r>
              <w:t>must</w:t>
            </w:r>
            <w:r w:rsidR="006932D8">
              <w:t xml:space="preserve"> a good reason</w:t>
            </w:r>
            <w:r>
              <w:t xml:space="preserve"> (?)</w:t>
            </w:r>
            <w:r w:rsidR="006932D8">
              <w:t xml:space="preserve"> for not </w:t>
            </w:r>
            <w:r>
              <w:t>having a choice of law clause.</w:t>
            </w: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6932D8" w:rsidP="0076736D">
            <w:pPr>
              <w:contextualSpacing w:val="0"/>
            </w:pPr>
            <w:r>
              <w:t xml:space="preserve">From the </w:t>
            </w:r>
            <w:r w:rsidR="0076736D">
              <w:t xml:space="preserve">substantial elements of the </w:t>
            </w:r>
            <w:r>
              <w:t>case itself</w:t>
            </w:r>
            <w:r w:rsidR="0076736D">
              <w:t>,</w:t>
            </w:r>
            <w:r>
              <w:t xml:space="preserve"> none</w:t>
            </w:r>
            <w:r w:rsidR="0076736D">
              <w:t xml:space="preserve"> that is in the purview of this WG;</w:t>
            </w:r>
            <w:r>
              <w:t xml:space="preserve"> </w:t>
            </w:r>
            <w:r w:rsidR="0076736D">
              <w:t xml:space="preserve">otherwise see previous and next point. </w:t>
            </w: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76736D" w:rsidP="00142E20">
            <w:pPr>
              <w:contextualSpacing w:val="0"/>
            </w:pPr>
            <w:r>
              <w:t xml:space="preserve">Regarding choice of law, </w:t>
            </w:r>
            <w:r w:rsidR="006932D8">
              <w:t xml:space="preserve">we can imagine that </w:t>
            </w:r>
            <w:r w:rsidR="00142E20">
              <w:t>claimant</w:t>
            </w:r>
            <w:r w:rsidR="006932D8">
              <w:t xml:space="preserve"> might have been successful in its claim that Ohio contract law applies. The practical consequences of</w:t>
            </w:r>
            <w:r>
              <w:t xml:space="preserve"> that would be small in that case, but could have been bigger had the claimant been in a more “exotic” jurisdiction. It is worth noting that the claimant here relied on Ohio and California contract law (more precisely, the doctrines of “laches” and “estoppel”) to assert that ICANN’s Notice of Breach was invalid. </w:t>
            </w:r>
            <w:r w:rsidR="00391537">
              <w:t>These doctrines may or may not exist in other contract laws of other jurisdictions.</w:t>
            </w:r>
          </w:p>
        </w:tc>
      </w:tr>
      <w:tr w:rsidR="0092763B">
        <w:tc>
          <w:tcPr>
            <w:tcW w:w="3798" w:type="dxa"/>
          </w:tcPr>
          <w:p w:rsidR="0092763B" w:rsidRDefault="00313B15">
            <w:pPr>
              <w:contextualSpacing w:val="0"/>
            </w:pPr>
            <w:r>
              <w:rPr>
                <w:sz w:val="24"/>
                <w:szCs w:val="24"/>
              </w:rPr>
              <w:t xml:space="preserve">Did the </w:t>
            </w:r>
            <w:proofErr w:type="gramStart"/>
            <w:r>
              <w:rPr>
                <w:sz w:val="24"/>
                <w:szCs w:val="24"/>
              </w:rPr>
              <w:t>Court  comment</w:t>
            </w:r>
            <w:proofErr w:type="gramEnd"/>
            <w:r>
              <w:rPr>
                <w:sz w:val="24"/>
                <w:szCs w:val="24"/>
              </w:rPr>
              <w:t xml:space="preserve"> on the merit, lack of merit and/or frivolity of the plaintiff’s claim? </w:t>
            </w:r>
          </w:p>
        </w:tc>
        <w:tc>
          <w:tcPr>
            <w:tcW w:w="9378" w:type="dxa"/>
          </w:tcPr>
          <w:p w:rsidR="0092763B" w:rsidRDefault="00124EB2">
            <w:pPr>
              <w:contextualSpacing w:val="0"/>
            </w:pPr>
            <w:r>
              <w:t>No (settled)</w:t>
            </w:r>
          </w:p>
        </w:tc>
      </w:tr>
      <w:tr w:rsidR="0092763B">
        <w:tc>
          <w:tcPr>
            <w:tcW w:w="3798" w:type="dxa"/>
          </w:tcPr>
          <w:p w:rsidR="0092763B" w:rsidRDefault="00313B15">
            <w:pPr>
              <w:contextualSpacing w:val="0"/>
            </w:pPr>
            <w:r>
              <w:rPr>
                <w:sz w:val="24"/>
                <w:szCs w:val="24"/>
              </w:rPr>
              <w:t>Key Documents:</w:t>
            </w:r>
          </w:p>
        </w:tc>
        <w:tc>
          <w:tcPr>
            <w:tcW w:w="9378" w:type="dxa"/>
          </w:tcPr>
          <w:p w:rsidR="00142E20" w:rsidRDefault="00142E20">
            <w:pPr>
              <w:contextualSpacing w:val="0"/>
            </w:pPr>
            <w:r>
              <w:t>ICANN’s answer to Request for Arbitration (22 July 2011)</w:t>
            </w:r>
          </w:p>
          <w:p w:rsidR="0092763B" w:rsidRDefault="00142E20">
            <w:pPr>
              <w:contextualSpacing w:val="0"/>
            </w:pPr>
            <w:r>
              <w:t>Terms of Reference (9 May 2012)</w:t>
            </w:r>
          </w:p>
          <w:p w:rsidR="00142E20" w:rsidRDefault="00142E20">
            <w:pPr>
              <w:contextualSpacing w:val="0"/>
            </w:pPr>
            <w:r>
              <w:t>Employ Media Statement of Claims (6 August 2012)</w:t>
            </w:r>
          </w:p>
          <w:p w:rsidR="0035247B" w:rsidRDefault="0035247B">
            <w:pPr>
              <w:contextualSpacing w:val="0"/>
            </w:pPr>
            <w:r>
              <w:t>Settlement Agreement (11 December 2012)</w:t>
            </w:r>
          </w:p>
        </w:tc>
      </w:tr>
    </w:tbl>
    <w:p w:rsidR="0092763B" w:rsidRDefault="0092763B" w:rsidP="00A961AA"/>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61" w:rsidRDefault="009C2C61">
      <w:pPr>
        <w:spacing w:after="0" w:line="240" w:lineRule="auto"/>
      </w:pPr>
      <w:r>
        <w:separator/>
      </w:r>
    </w:p>
  </w:endnote>
  <w:endnote w:type="continuationSeparator" w:id="0">
    <w:p w:rsidR="009C2C61" w:rsidRDefault="009C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61" w:rsidRDefault="009C2C61">
      <w:pPr>
        <w:spacing w:after="0" w:line="240" w:lineRule="auto"/>
      </w:pPr>
      <w:r>
        <w:separator/>
      </w:r>
    </w:p>
  </w:footnote>
  <w:footnote w:type="continuationSeparator" w:id="0">
    <w:p w:rsidR="009C2C61" w:rsidRDefault="009C2C61">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rsidP="00A961AA">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0370F5"/>
    <w:rsid w:val="000757A8"/>
    <w:rsid w:val="00124EB2"/>
    <w:rsid w:val="00142E20"/>
    <w:rsid w:val="001E0DD4"/>
    <w:rsid w:val="002A3CC9"/>
    <w:rsid w:val="00313B15"/>
    <w:rsid w:val="0035247B"/>
    <w:rsid w:val="00391537"/>
    <w:rsid w:val="00425F46"/>
    <w:rsid w:val="0047322A"/>
    <w:rsid w:val="00500BE2"/>
    <w:rsid w:val="005A20FC"/>
    <w:rsid w:val="006932D8"/>
    <w:rsid w:val="0076736D"/>
    <w:rsid w:val="0092763B"/>
    <w:rsid w:val="0095002A"/>
    <w:rsid w:val="009C2C61"/>
    <w:rsid w:val="00A961AA"/>
    <w:rsid w:val="00BF0691"/>
    <w:rsid w:val="00ED5BA6"/>
    <w:rsid w:val="00F073AE"/>
    <w:rsid w:val="00F3705E"/>
    <w:rsid w:val="00F52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8386">
      <w:bodyDiv w:val="1"/>
      <w:marLeft w:val="0"/>
      <w:marRight w:val="0"/>
      <w:marTop w:val="0"/>
      <w:marBottom w:val="0"/>
      <w:divBdr>
        <w:top w:val="none" w:sz="0" w:space="0" w:color="auto"/>
        <w:left w:val="none" w:sz="0" w:space="0" w:color="auto"/>
        <w:bottom w:val="none" w:sz="0" w:space="0" w:color="auto"/>
        <w:right w:val="none" w:sz="0" w:space="0" w:color="auto"/>
      </w:divBdr>
      <w:divsChild>
        <w:div w:id="2408685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RBL</cp:lastModifiedBy>
  <cp:revision>10</cp:revision>
  <cp:lastPrinted>2017-02-21T04:39:00Z</cp:lastPrinted>
  <dcterms:created xsi:type="dcterms:W3CDTF">2017-02-21T04:38:00Z</dcterms:created>
  <dcterms:modified xsi:type="dcterms:W3CDTF">2017-04-18T20:53:00Z</dcterms:modified>
</cp:coreProperties>
</file>