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E7A7E3E" w14:textId="77777777" w:rsidR="00BB43CD" w:rsidRDefault="000C1B9D">
      <w:pPr>
        <w:jc w:val="center"/>
      </w:pPr>
      <w:bookmarkStart w:id="0" w:name="_gjdgxs" w:colFirst="0" w:colLast="0"/>
      <w:bookmarkEnd w:id="0"/>
      <w:r>
        <w:rPr>
          <w:b/>
          <w:sz w:val="28"/>
          <w:szCs w:val="28"/>
        </w:rPr>
        <w:t>JURISDICTION SUBGROUP ICANN LITIGATION SUMMARY</w:t>
      </w:r>
    </w:p>
    <w:p w14:paraId="0C49D84F" w14:textId="77777777"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C66F94" w14:paraId="3E86F68D" w14:textId="77777777">
        <w:tc>
          <w:tcPr>
            <w:tcW w:w="3798" w:type="dxa"/>
          </w:tcPr>
          <w:p w14:paraId="07FC02A1" w14:textId="77777777" w:rsidR="00C66F94" w:rsidRDefault="00C66F94">
            <w:pPr>
              <w:contextualSpacing w:val="0"/>
            </w:pPr>
            <w:r>
              <w:rPr>
                <w:sz w:val="24"/>
                <w:szCs w:val="24"/>
              </w:rPr>
              <w:t>Name of Case:</w:t>
            </w:r>
          </w:p>
        </w:tc>
        <w:tc>
          <w:tcPr>
            <w:tcW w:w="9378" w:type="dxa"/>
          </w:tcPr>
          <w:p w14:paraId="69FD893E" w14:textId="77777777" w:rsidR="00C66F94" w:rsidRDefault="00C66F94" w:rsidP="00430454">
            <w:pPr>
              <w:contextualSpacing w:val="0"/>
            </w:pPr>
            <w:r>
              <w:t>State of Arizona vs NTIA</w:t>
            </w:r>
          </w:p>
        </w:tc>
      </w:tr>
      <w:tr w:rsidR="00C66F94" w14:paraId="54264BB6" w14:textId="77777777">
        <w:tc>
          <w:tcPr>
            <w:tcW w:w="3798" w:type="dxa"/>
          </w:tcPr>
          <w:p w14:paraId="5AAD4FB2" w14:textId="77777777" w:rsidR="00C66F94" w:rsidRDefault="00C66F94">
            <w:pPr>
              <w:contextualSpacing w:val="0"/>
            </w:pPr>
            <w:r>
              <w:rPr>
                <w:sz w:val="24"/>
                <w:szCs w:val="24"/>
              </w:rPr>
              <w:t>Parties:</w:t>
            </w:r>
            <w:r>
              <w:rPr>
                <w:sz w:val="24"/>
                <w:szCs w:val="24"/>
                <w:vertAlign w:val="superscript"/>
              </w:rPr>
              <w:footnoteReference w:id="1"/>
            </w:r>
          </w:p>
        </w:tc>
        <w:tc>
          <w:tcPr>
            <w:tcW w:w="9378" w:type="dxa"/>
          </w:tcPr>
          <w:p w14:paraId="45D73CA6" w14:textId="77777777" w:rsidR="00C66F94" w:rsidRDefault="00C66F94" w:rsidP="00430454">
            <w:pPr>
              <w:contextualSpacing w:val="0"/>
            </w:pPr>
            <w:r>
              <w:t>S</w:t>
            </w:r>
            <w:commentRangeStart w:id="1"/>
            <w:r>
              <w:t xml:space="preserve">tate of Arizona (P), </w:t>
            </w:r>
          </w:p>
          <w:p w14:paraId="6D3E961A" w14:textId="77777777" w:rsidR="00C66F94" w:rsidRDefault="00C66F94" w:rsidP="00430454">
            <w:pPr>
              <w:contextualSpacing w:val="0"/>
            </w:pPr>
            <w:r>
              <w:t xml:space="preserve">NTIA (D), </w:t>
            </w:r>
            <w:proofErr w:type="spellStart"/>
            <w:r>
              <w:t>DoC</w:t>
            </w:r>
            <w:proofErr w:type="spellEnd"/>
            <w:r>
              <w:t xml:space="preserve"> (D); Secretary of Commerce (D); Assistant Secretary for Communications and Information (D) ; </w:t>
            </w:r>
          </w:p>
          <w:p w14:paraId="15114F92" w14:textId="77777777" w:rsidR="00C66F94" w:rsidRDefault="00C66F94" w:rsidP="00430454">
            <w:pPr>
              <w:contextualSpacing w:val="0"/>
            </w:pPr>
            <w:r>
              <w:t xml:space="preserve">Internet association; I2C; Internet Society; CCIA; </w:t>
            </w:r>
            <w:proofErr w:type="spellStart"/>
            <w:r>
              <w:t>Netchoice</w:t>
            </w:r>
            <w:proofErr w:type="spellEnd"/>
            <w:r>
              <w:t xml:space="preserve">; Mozilla; PCH; ACT; ARIN; ITIC; Access Now, Andrew Sullivan ; Ted </w:t>
            </w:r>
            <w:proofErr w:type="spellStart"/>
            <w:r>
              <w:t>Hardie</w:t>
            </w:r>
            <w:proofErr w:type="spellEnd"/>
            <w:r>
              <w:t>; Jari Arkko; Alissa Cooper (AC)</w:t>
            </w:r>
            <w:commentRangeEnd w:id="1"/>
            <w:r>
              <w:rPr>
                <w:rStyle w:val="Marquedecommentaire"/>
              </w:rPr>
              <w:commentReference w:id="1"/>
            </w:r>
          </w:p>
        </w:tc>
      </w:tr>
      <w:tr w:rsidR="00C66F94" w14:paraId="4009EA21" w14:textId="77777777">
        <w:tc>
          <w:tcPr>
            <w:tcW w:w="3798" w:type="dxa"/>
          </w:tcPr>
          <w:p w14:paraId="5C335D62" w14:textId="77777777" w:rsidR="00C66F94" w:rsidRDefault="00C66F94">
            <w:pPr>
              <w:contextualSpacing w:val="0"/>
            </w:pPr>
            <w:r>
              <w:rPr>
                <w:sz w:val="24"/>
                <w:szCs w:val="24"/>
              </w:rPr>
              <w:t>Citizenship of Parties:</w:t>
            </w:r>
          </w:p>
        </w:tc>
        <w:tc>
          <w:tcPr>
            <w:tcW w:w="9378" w:type="dxa"/>
          </w:tcPr>
          <w:p w14:paraId="39925164" w14:textId="77777777" w:rsidR="00C66F94" w:rsidRDefault="00C66F94" w:rsidP="00430454">
            <w:pPr>
              <w:contextualSpacing w:val="0"/>
            </w:pPr>
            <w:r>
              <w:t>Plaintiff and Defendants : USA</w:t>
            </w:r>
          </w:p>
          <w:p w14:paraId="3D494C89" w14:textId="77777777" w:rsidR="00C66F94" w:rsidRDefault="00C66F94" w:rsidP="00430454">
            <w:pPr>
              <w:contextualSpacing w:val="0"/>
            </w:pPr>
            <w:r>
              <w:t xml:space="preserve">AC : USA, one individual from Finland </w:t>
            </w:r>
          </w:p>
        </w:tc>
      </w:tr>
      <w:tr w:rsidR="00C66F94" w14:paraId="62939AED" w14:textId="77777777">
        <w:tc>
          <w:tcPr>
            <w:tcW w:w="3798" w:type="dxa"/>
          </w:tcPr>
          <w:p w14:paraId="5767BCF8" w14:textId="77777777" w:rsidR="00C66F94" w:rsidRDefault="00C66F94">
            <w:pPr>
              <w:contextualSpacing w:val="0"/>
            </w:pPr>
            <w:r>
              <w:rPr>
                <w:sz w:val="24"/>
                <w:szCs w:val="24"/>
              </w:rPr>
              <w:t>Court/Venue:</w:t>
            </w:r>
          </w:p>
        </w:tc>
        <w:tc>
          <w:tcPr>
            <w:tcW w:w="9378" w:type="dxa"/>
          </w:tcPr>
          <w:p w14:paraId="41C94CC9" w14:textId="77777777" w:rsidR="00C66F94" w:rsidRDefault="00C66F94" w:rsidP="00430454">
            <w:pPr>
              <w:contextualSpacing w:val="0"/>
            </w:pPr>
            <w:r>
              <w:t>US District Court, Southern District of Texas, Galveston Division</w:t>
            </w:r>
          </w:p>
        </w:tc>
      </w:tr>
      <w:tr w:rsidR="00C66F94" w14:paraId="3E197F45" w14:textId="77777777">
        <w:tc>
          <w:tcPr>
            <w:tcW w:w="3798" w:type="dxa"/>
          </w:tcPr>
          <w:p w14:paraId="53AB631E" w14:textId="77777777" w:rsidR="00C66F94" w:rsidRDefault="00C66F94">
            <w:pPr>
              <w:contextualSpacing w:val="0"/>
            </w:pPr>
            <w:r>
              <w:rPr>
                <w:sz w:val="24"/>
                <w:szCs w:val="24"/>
              </w:rPr>
              <w:t>Choice of Law/Governing Law:</w:t>
            </w:r>
          </w:p>
        </w:tc>
        <w:tc>
          <w:tcPr>
            <w:tcW w:w="9378" w:type="dxa"/>
          </w:tcPr>
          <w:p w14:paraId="71065AC0" w14:textId="77777777" w:rsidR="0083703B" w:rsidRDefault="004152EC" w:rsidP="0083703B">
            <w:pPr>
              <w:pStyle w:val="Default"/>
            </w:pPr>
            <w:r w:rsidRPr="0083703B">
              <w:t xml:space="preserve">Federal </w:t>
            </w:r>
            <w:proofErr w:type="gramStart"/>
            <w:r w:rsidRPr="0083703B">
              <w:t>Law</w:t>
            </w:r>
            <w:r w:rsidR="0083703B" w:rsidRPr="0083703B">
              <w:t>:</w:t>
            </w:r>
            <w:bookmarkStart w:id="2" w:name="_GoBack"/>
            <w:bookmarkEnd w:id="2"/>
            <w:proofErr w:type="gramEnd"/>
            <w:r w:rsidR="0083703B">
              <w:t xml:space="preserve"> </w:t>
            </w:r>
          </w:p>
          <w:p w14:paraId="1BD46453" w14:textId="77777777" w:rsidR="00C66F94" w:rsidRPr="0083703B" w:rsidRDefault="0083703B" w:rsidP="0083703B">
            <w:pPr>
              <w:pStyle w:val="Default"/>
              <w:rPr>
                <w:sz w:val="23"/>
                <w:szCs w:val="23"/>
                <w:lang w:val="en-US"/>
              </w:rPr>
            </w:pPr>
            <w:r w:rsidRPr="0083703B">
              <w:rPr>
                <w:sz w:val="23"/>
                <w:szCs w:val="23"/>
                <w:lang w:val="en-US"/>
              </w:rPr>
              <w:t xml:space="preserve">Property Clause of the U.S. Constitution and the First Amendment, as well as the Administrative Procedure Act, 5 U.S.C. §§ 551 </w:t>
            </w:r>
            <w:r w:rsidRPr="0083703B">
              <w:rPr>
                <w:i/>
                <w:iCs/>
                <w:sz w:val="23"/>
                <w:szCs w:val="23"/>
                <w:lang w:val="en-US"/>
              </w:rPr>
              <w:t>et seq</w:t>
            </w:r>
            <w:r>
              <w:rPr>
                <w:sz w:val="23"/>
                <w:szCs w:val="23"/>
                <w:lang w:val="en-US"/>
              </w:rPr>
              <w:t xml:space="preserve">. </w:t>
            </w:r>
          </w:p>
        </w:tc>
      </w:tr>
      <w:tr w:rsidR="00C66F94" w14:paraId="683D4E80" w14:textId="77777777">
        <w:tc>
          <w:tcPr>
            <w:tcW w:w="3798" w:type="dxa"/>
          </w:tcPr>
          <w:p w14:paraId="73345FF7" w14:textId="77777777" w:rsidR="00C66F94" w:rsidRDefault="00C66F94">
            <w:pPr>
              <w:contextualSpacing w:val="0"/>
            </w:pPr>
            <w:r>
              <w:rPr>
                <w:sz w:val="24"/>
                <w:szCs w:val="24"/>
              </w:rPr>
              <w:t>Date Case Began:</w:t>
            </w:r>
          </w:p>
        </w:tc>
        <w:tc>
          <w:tcPr>
            <w:tcW w:w="9378" w:type="dxa"/>
          </w:tcPr>
          <w:p w14:paraId="3B528822" w14:textId="77777777" w:rsidR="00C66F94" w:rsidRDefault="00C66F94" w:rsidP="00430454">
            <w:pPr>
              <w:contextualSpacing w:val="0"/>
            </w:pPr>
            <w:r>
              <w:t>Sep 28, 2016</w:t>
            </w:r>
          </w:p>
        </w:tc>
      </w:tr>
      <w:tr w:rsidR="00C66F94" w14:paraId="6DB866EC" w14:textId="77777777">
        <w:tc>
          <w:tcPr>
            <w:tcW w:w="3798" w:type="dxa"/>
          </w:tcPr>
          <w:p w14:paraId="12F96FA7" w14:textId="77777777" w:rsidR="00C66F94" w:rsidRDefault="00C66F94">
            <w:pPr>
              <w:contextualSpacing w:val="0"/>
            </w:pPr>
            <w:r>
              <w:rPr>
                <w:sz w:val="24"/>
                <w:szCs w:val="24"/>
              </w:rPr>
              <w:t>Date Case Ended:</w:t>
            </w:r>
          </w:p>
        </w:tc>
        <w:tc>
          <w:tcPr>
            <w:tcW w:w="9378" w:type="dxa"/>
          </w:tcPr>
          <w:p w14:paraId="063D0368" w14:textId="77777777" w:rsidR="00C66F94" w:rsidRDefault="00C66F94" w:rsidP="00430454">
            <w:pPr>
              <w:contextualSpacing w:val="0"/>
            </w:pPr>
            <w:r>
              <w:t>Sep 30, 2016</w:t>
            </w:r>
          </w:p>
        </w:tc>
      </w:tr>
      <w:tr w:rsidR="00C66F94" w14:paraId="19EB6ECF" w14:textId="77777777">
        <w:tc>
          <w:tcPr>
            <w:tcW w:w="3798" w:type="dxa"/>
          </w:tcPr>
          <w:p w14:paraId="56516A23" w14:textId="77777777" w:rsidR="00C66F94" w:rsidRDefault="00C66F94">
            <w:pPr>
              <w:contextualSpacing w:val="0"/>
            </w:pPr>
            <w:r>
              <w:rPr>
                <w:sz w:val="24"/>
                <w:szCs w:val="24"/>
              </w:rPr>
              <w:t>Causes of Action:</w:t>
            </w:r>
          </w:p>
        </w:tc>
        <w:tc>
          <w:tcPr>
            <w:tcW w:w="9378" w:type="dxa"/>
          </w:tcPr>
          <w:p w14:paraId="0C61AB0B" w14:textId="77777777" w:rsidR="00C66F94" w:rsidRDefault="00C66F94" w:rsidP="00430454">
            <w:pPr>
              <w:contextualSpacing w:val="0"/>
            </w:pPr>
            <w:r>
              <w:t xml:space="preserve">Violation of the Property clause of the US Constitution and the First Amendment, as well as the Administrative Procedure Act, while letting the IANA contract expire. </w:t>
            </w:r>
          </w:p>
        </w:tc>
      </w:tr>
      <w:tr w:rsidR="00C66F94" w14:paraId="6889A217" w14:textId="77777777">
        <w:tc>
          <w:tcPr>
            <w:tcW w:w="3798" w:type="dxa"/>
          </w:tcPr>
          <w:p w14:paraId="7806BC4F" w14:textId="77777777" w:rsidR="00C66F94" w:rsidRDefault="00C66F94">
            <w:pPr>
              <w:contextualSpacing w:val="0"/>
            </w:pPr>
            <w:r>
              <w:rPr>
                <w:sz w:val="24"/>
                <w:szCs w:val="24"/>
              </w:rPr>
              <w:t>Issues Presented:</w:t>
            </w:r>
          </w:p>
        </w:tc>
        <w:tc>
          <w:tcPr>
            <w:tcW w:w="9378" w:type="dxa"/>
          </w:tcPr>
          <w:p w14:paraId="35731CFC" w14:textId="77777777" w:rsidR="00C66F94" w:rsidRDefault="00C66F94" w:rsidP="00430454">
            <w:pPr>
              <w:contextualSpacing w:val="0"/>
            </w:pPr>
            <w:r>
              <w:t>ICANN could take unilateral actions adversely affecting .</w:t>
            </w:r>
            <w:proofErr w:type="spellStart"/>
            <w:r>
              <w:t>gov</w:t>
            </w:r>
            <w:proofErr w:type="spellEnd"/>
            <w:r>
              <w:t xml:space="preserve"> (even delete it)</w:t>
            </w:r>
          </w:p>
          <w:p w14:paraId="1C2BB3CF" w14:textId="77777777" w:rsidR="00C66F94" w:rsidRDefault="00C66F94" w:rsidP="00430454">
            <w:pPr>
              <w:contextualSpacing w:val="0"/>
            </w:pPr>
            <w:r>
              <w:t>Possible interference in States property interest from foreign governments</w:t>
            </w:r>
          </w:p>
          <w:p w14:paraId="539DD1E2" w14:textId="77777777" w:rsidR="00C66F94" w:rsidRDefault="00C66F94" w:rsidP="00430454">
            <w:pPr>
              <w:contextualSpacing w:val="0"/>
            </w:pPr>
            <w:r>
              <w:t>Possible violation of the First Amendment by ICANN</w:t>
            </w:r>
          </w:p>
        </w:tc>
      </w:tr>
      <w:tr w:rsidR="00C66F94" w14:paraId="2B08D49B" w14:textId="77777777">
        <w:tc>
          <w:tcPr>
            <w:tcW w:w="3798" w:type="dxa"/>
          </w:tcPr>
          <w:p w14:paraId="031C4824" w14:textId="77777777" w:rsidR="00C66F94" w:rsidRDefault="00C66F94">
            <w:pPr>
              <w:contextualSpacing w:val="0"/>
            </w:pPr>
            <w:r>
              <w:rPr>
                <w:sz w:val="24"/>
                <w:szCs w:val="24"/>
              </w:rPr>
              <w:t>Preliminary Relief?:</w:t>
            </w:r>
          </w:p>
        </w:tc>
        <w:tc>
          <w:tcPr>
            <w:tcW w:w="9378" w:type="dxa"/>
          </w:tcPr>
          <w:p w14:paraId="6F084340" w14:textId="77777777" w:rsidR="00C66F94" w:rsidRDefault="00C66F94" w:rsidP="00430454">
            <w:pPr>
              <w:contextualSpacing w:val="0"/>
            </w:pPr>
            <w:r>
              <w:t>Declaratory and Injunctive Requested, not granted</w:t>
            </w:r>
          </w:p>
        </w:tc>
      </w:tr>
      <w:tr w:rsidR="00C66F94" w14:paraId="5C1FD43C" w14:textId="77777777">
        <w:tc>
          <w:tcPr>
            <w:tcW w:w="3798" w:type="dxa"/>
          </w:tcPr>
          <w:p w14:paraId="0CD10D83" w14:textId="77777777" w:rsidR="00C66F94" w:rsidRDefault="00C66F94">
            <w:pPr>
              <w:contextualSpacing w:val="0"/>
            </w:pPr>
            <w:r>
              <w:rPr>
                <w:sz w:val="24"/>
                <w:szCs w:val="24"/>
              </w:rPr>
              <w:t>Outcome:</w:t>
            </w:r>
          </w:p>
        </w:tc>
        <w:tc>
          <w:tcPr>
            <w:tcW w:w="9378" w:type="dxa"/>
          </w:tcPr>
          <w:p w14:paraId="4B000DD7" w14:textId="77777777" w:rsidR="00C66F94" w:rsidRDefault="00C66F94" w:rsidP="00430454">
            <w:pPr>
              <w:contextualSpacing w:val="0"/>
            </w:pPr>
            <w:r>
              <w:t>Injunction DENIED</w:t>
            </w:r>
          </w:p>
        </w:tc>
      </w:tr>
      <w:tr w:rsidR="00C66F94" w14:paraId="73D8F771" w14:textId="77777777">
        <w:tc>
          <w:tcPr>
            <w:tcW w:w="3798" w:type="dxa"/>
          </w:tcPr>
          <w:p w14:paraId="4C1DE78D" w14:textId="77777777" w:rsidR="00C66F94" w:rsidRDefault="00C66F94">
            <w:pPr>
              <w:contextualSpacing w:val="0"/>
            </w:pPr>
            <w:r>
              <w:rPr>
                <w:sz w:val="24"/>
                <w:szCs w:val="24"/>
              </w:rPr>
              <w:t>Was Jurisdiction Contested?</w:t>
            </w:r>
            <w:r>
              <w:rPr>
                <w:sz w:val="24"/>
                <w:szCs w:val="24"/>
                <w:vertAlign w:val="superscript"/>
              </w:rPr>
              <w:footnoteReference w:id="2"/>
            </w:r>
          </w:p>
        </w:tc>
        <w:tc>
          <w:tcPr>
            <w:tcW w:w="9378" w:type="dxa"/>
          </w:tcPr>
          <w:p w14:paraId="3248D953" w14:textId="77777777" w:rsidR="00C66F94" w:rsidRDefault="00C66F94" w:rsidP="00C66F94">
            <w:pPr>
              <w:contextualSpacing w:val="0"/>
            </w:pPr>
            <w:r>
              <w:tab/>
              <w:t>Yes</w:t>
            </w:r>
          </w:p>
          <w:p w14:paraId="2FC61B79" w14:textId="77777777" w:rsidR="00C66F94" w:rsidRDefault="00C66F94" w:rsidP="00C66F94">
            <w:pPr>
              <w:tabs>
                <w:tab w:val="left" w:pos="3301"/>
              </w:tabs>
              <w:contextualSpacing w:val="0"/>
            </w:pPr>
            <w:r>
              <w:t>Defendants argued that the Court had no subject matter jurisdiction over the Plaintiff’s claims. “</w:t>
            </w:r>
            <w:r w:rsidRPr="00437C8D">
              <w:t>The Contract Disputes Act (“CDA”), 41 U.S.C. § 7101-09, assigns to the Court of Federal Claims, and not to the district courts, exclusive jurisdiction over claims relating to CDA contracts</w:t>
            </w:r>
            <w:r>
              <w:t>”.</w:t>
            </w:r>
          </w:p>
          <w:p w14:paraId="5E18AE06" w14:textId="77777777" w:rsidR="004152EC" w:rsidRDefault="004152EC" w:rsidP="004152EC">
            <w:pPr>
              <w:tabs>
                <w:tab w:val="left" w:pos="3301"/>
              </w:tabs>
              <w:contextualSpacing w:val="0"/>
            </w:pPr>
            <w:r>
              <w:lastRenderedPageBreak/>
              <w:t xml:space="preserve">Court seems to have taken jurisdiction over the case. </w:t>
            </w:r>
          </w:p>
        </w:tc>
      </w:tr>
      <w:tr w:rsidR="00C66F94" w14:paraId="5A69C56B" w14:textId="77777777">
        <w:tc>
          <w:tcPr>
            <w:tcW w:w="3798" w:type="dxa"/>
          </w:tcPr>
          <w:p w14:paraId="65998D07" w14:textId="77777777" w:rsidR="00C66F94" w:rsidRDefault="00C66F94" w:rsidP="00C343D5">
            <w:pPr>
              <w:contextualSpacing w:val="0"/>
            </w:pPr>
            <w:r>
              <w:rPr>
                <w:sz w:val="24"/>
                <w:szCs w:val="24"/>
              </w:rPr>
              <w:lastRenderedPageBreak/>
              <w:t xml:space="preserve">Did the case have an impact on ICANN’s accountability or the operation of ICANN’s </w:t>
            </w:r>
            <w:proofErr w:type="gramStart"/>
            <w:r>
              <w:rPr>
                <w:sz w:val="24"/>
                <w:szCs w:val="24"/>
              </w:rPr>
              <w:t>policies ?</w:t>
            </w:r>
            <w:proofErr w:type="gramEnd"/>
            <w:r>
              <w:rPr>
                <w:sz w:val="24"/>
                <w:szCs w:val="24"/>
              </w:rPr>
              <w:t xml:space="preserve"> </w:t>
            </w:r>
            <w:r>
              <w:rPr>
                <w:sz w:val="24"/>
                <w:szCs w:val="24"/>
                <w:vertAlign w:val="superscript"/>
              </w:rPr>
              <w:footnoteReference w:id="3"/>
            </w:r>
          </w:p>
        </w:tc>
        <w:tc>
          <w:tcPr>
            <w:tcW w:w="9378" w:type="dxa"/>
          </w:tcPr>
          <w:p w14:paraId="4EC443CC" w14:textId="77777777" w:rsidR="00C66F94" w:rsidRDefault="00C66F94">
            <w:pPr>
              <w:contextualSpacing w:val="0"/>
            </w:pPr>
            <w:r>
              <w:t>If the injunction had been granted, the “IANA Stewardship Transition” may not have been able to proceed, and the associated mechanisms (including all of WS1) would not have been in place.</w:t>
            </w:r>
          </w:p>
        </w:tc>
      </w:tr>
      <w:tr w:rsidR="00C66F94" w14:paraId="78B7FF42" w14:textId="77777777">
        <w:tc>
          <w:tcPr>
            <w:tcW w:w="3798" w:type="dxa"/>
          </w:tcPr>
          <w:p w14:paraId="26C791AF" w14:textId="77777777" w:rsidR="00C66F94" w:rsidRDefault="00C66F94" w:rsidP="00C343D5">
            <w:pPr>
              <w:widowControl/>
              <w:numPr>
                <w:ilvl w:val="0"/>
                <w:numId w:val="1"/>
              </w:numPr>
              <w:rPr>
                <w:rFonts w:eastAsia="Times New Roman"/>
              </w:rPr>
            </w:pPr>
            <w:r>
              <w:rPr>
                <w:rFonts w:eastAsia="Times New Roman"/>
              </w:rPr>
              <w:t>What relief was requested by the plaintiff from ICANN (or ICANN from defendant if ICANN was a plaintiff)?</w:t>
            </w:r>
          </w:p>
          <w:p w14:paraId="512CAB0F" w14:textId="77777777" w:rsidR="00C66F94" w:rsidRDefault="00C66F94">
            <w:pPr>
              <w:rPr>
                <w:sz w:val="24"/>
                <w:szCs w:val="24"/>
              </w:rPr>
            </w:pPr>
          </w:p>
        </w:tc>
        <w:tc>
          <w:tcPr>
            <w:tcW w:w="9378" w:type="dxa"/>
          </w:tcPr>
          <w:p w14:paraId="39AB390A" w14:textId="77777777" w:rsidR="00C66F94" w:rsidRDefault="00C66F94" w:rsidP="00C66F94">
            <w:r>
              <w:t xml:space="preserve">The plaintiff’s request aimed at stopping the IANA Stewardship Transition. </w:t>
            </w:r>
          </w:p>
        </w:tc>
      </w:tr>
      <w:tr w:rsidR="00C66F94" w14:paraId="4CC67078" w14:textId="77777777">
        <w:tc>
          <w:tcPr>
            <w:tcW w:w="3798" w:type="dxa"/>
          </w:tcPr>
          <w:p w14:paraId="45C883E2" w14:textId="77777777" w:rsidR="00C66F94" w:rsidRDefault="00C66F94" w:rsidP="00C343D5">
            <w:pPr>
              <w:widowControl/>
              <w:numPr>
                <w:ilvl w:val="0"/>
                <w:numId w:val="1"/>
              </w:numPr>
              <w:rPr>
                <w:rFonts w:eastAsia="Times New Roman"/>
              </w:rPr>
            </w:pPr>
            <w:r>
              <w:rPr>
                <w:rFonts w:eastAsia="Times New Roman"/>
              </w:rPr>
              <w:t>What relief, if any, was granted to the plaintiff?</w:t>
            </w:r>
          </w:p>
          <w:p w14:paraId="38784726" w14:textId="77777777" w:rsidR="00C66F94" w:rsidRDefault="00C66F94">
            <w:pPr>
              <w:rPr>
                <w:sz w:val="24"/>
                <w:szCs w:val="24"/>
              </w:rPr>
            </w:pPr>
          </w:p>
        </w:tc>
        <w:tc>
          <w:tcPr>
            <w:tcW w:w="9378" w:type="dxa"/>
          </w:tcPr>
          <w:p w14:paraId="794E52AB" w14:textId="77777777" w:rsidR="00C66F94" w:rsidRDefault="00C66F94">
            <w:r>
              <w:t>None</w:t>
            </w:r>
          </w:p>
        </w:tc>
      </w:tr>
      <w:tr w:rsidR="00C66F94" w14:paraId="01C9CDED" w14:textId="77777777">
        <w:tc>
          <w:tcPr>
            <w:tcW w:w="3798" w:type="dxa"/>
          </w:tcPr>
          <w:p w14:paraId="73D5794B" w14:textId="77777777" w:rsidR="00C66F94" w:rsidRDefault="00C66F94" w:rsidP="00C343D5">
            <w:pPr>
              <w:widowControl/>
              <w:numPr>
                <w:ilvl w:val="0"/>
                <w:numId w:val="1"/>
              </w:numPr>
              <w:rPr>
                <w:rFonts w:eastAsia="Times New Roman"/>
              </w:rPr>
            </w:pPr>
            <w:r>
              <w:rPr>
                <w:rFonts w:eastAsia="Times New Roman"/>
              </w:rPr>
              <w:t xml:space="preserve">Did the Court in its decision offer any conclusion as to the lack of merit/frivolity of the plaintiff’s claim?   </w:t>
            </w:r>
          </w:p>
          <w:p w14:paraId="5F9B19F2" w14:textId="77777777" w:rsidR="00C66F94" w:rsidRDefault="00C66F94">
            <w:pPr>
              <w:rPr>
                <w:sz w:val="24"/>
                <w:szCs w:val="24"/>
              </w:rPr>
            </w:pPr>
          </w:p>
        </w:tc>
        <w:tc>
          <w:tcPr>
            <w:tcW w:w="9378" w:type="dxa"/>
          </w:tcPr>
          <w:p w14:paraId="5C3F41BD" w14:textId="77777777" w:rsidR="00C66F94" w:rsidRDefault="00C66F94">
            <w:r>
              <w:t xml:space="preserve">No. </w:t>
            </w:r>
          </w:p>
        </w:tc>
      </w:tr>
      <w:tr w:rsidR="00C66F94" w14:paraId="2A9900E4" w14:textId="77777777">
        <w:tc>
          <w:tcPr>
            <w:tcW w:w="3798" w:type="dxa"/>
          </w:tcPr>
          <w:p w14:paraId="35ED9D8B" w14:textId="77777777" w:rsidR="00C66F94" w:rsidRDefault="00C66F94">
            <w:pPr>
              <w:contextualSpacing w:val="0"/>
            </w:pPr>
            <w:r>
              <w:rPr>
                <w:sz w:val="24"/>
                <w:szCs w:val="24"/>
              </w:rPr>
              <w:t>Key Documents:</w:t>
            </w:r>
          </w:p>
        </w:tc>
        <w:tc>
          <w:tcPr>
            <w:tcW w:w="9378" w:type="dxa"/>
          </w:tcPr>
          <w:p w14:paraId="77C1A9EC" w14:textId="77777777" w:rsidR="00C66F94" w:rsidRDefault="00C66F94" w:rsidP="00C66F94">
            <w:pPr>
              <w:contextualSpacing w:val="0"/>
            </w:pPr>
            <w:r>
              <w:tab/>
              <w:t>Application to injunction</w:t>
            </w:r>
          </w:p>
          <w:p w14:paraId="5BA0BE11" w14:textId="77777777" w:rsidR="00C66F94" w:rsidRDefault="00C66F94" w:rsidP="00C66F94">
            <w:pPr>
              <w:contextualSpacing w:val="0"/>
            </w:pPr>
            <w:r>
              <w:t>Opposition to injunctions by defendants</w:t>
            </w:r>
          </w:p>
          <w:p w14:paraId="40A86B6A" w14:textId="77777777" w:rsidR="00C66F94" w:rsidRDefault="00C66F94" w:rsidP="00C66F94">
            <w:pPr>
              <w:contextualSpacing w:val="0"/>
            </w:pPr>
            <w:r>
              <w:t>Amici Curiae opposition to injunction</w:t>
            </w:r>
          </w:p>
          <w:p w14:paraId="182DA82A" w14:textId="77777777" w:rsidR="00C66F94" w:rsidRDefault="00C66F94" w:rsidP="00C66F94">
            <w:pPr>
              <w:tabs>
                <w:tab w:val="left" w:pos="2078"/>
              </w:tabs>
              <w:contextualSpacing w:val="0"/>
            </w:pPr>
            <w:r>
              <w:t>Order denying injunction</w:t>
            </w:r>
          </w:p>
        </w:tc>
      </w:tr>
    </w:tbl>
    <w:p w14:paraId="4AC3F60E" w14:textId="77777777" w:rsidR="00BB43CD" w:rsidRDefault="00BB43CD"/>
    <w:sectPr w:rsidR="00BB43CD">
      <w:headerReference w:type="even" r:id="rId9"/>
      <w:headerReference w:type="default" r:id="rId10"/>
      <w:footerReference w:type="even" r:id="rId11"/>
      <w:footerReference w:type="default" r:id="rId12"/>
      <w:headerReference w:type="first" r:id="rId13"/>
      <w:footerReference w:type="first" r:id="rId14"/>
      <w:pgSz w:w="15840" w:h="122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eill" w:date="2017-01-25T17:38:00Z" w:initials="w">
    <w:p w14:paraId="2CCB0EE7" w14:textId="77777777" w:rsidR="00C66F94" w:rsidRDefault="00C66F94">
      <w:pPr>
        <w:pStyle w:val="Commentaire"/>
      </w:pPr>
      <w:r>
        <w:rPr>
          <w:rStyle w:val="Marquedecommentaire"/>
        </w:rPr>
        <w:annotationRef/>
      </w:r>
      <w:r>
        <w:t>Unsure what ICANN’s status was, if any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CB0EE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84FC9" w14:textId="77777777" w:rsidR="00271EBA" w:rsidRDefault="00271EBA">
      <w:pPr>
        <w:spacing w:after="0" w:line="240" w:lineRule="auto"/>
      </w:pPr>
      <w:r>
        <w:separator/>
      </w:r>
    </w:p>
  </w:endnote>
  <w:endnote w:type="continuationSeparator" w:id="0">
    <w:p w14:paraId="324448ED" w14:textId="77777777" w:rsidR="00271EBA" w:rsidRDefault="0027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820C" w14:textId="77777777" w:rsidR="000C1B9D" w:rsidRDefault="000C1B9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2F4A" w14:textId="77777777" w:rsidR="000C1B9D" w:rsidRDefault="000C1B9D">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C445F" w14:textId="77777777" w:rsidR="000C1B9D" w:rsidRDefault="000C1B9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FC101" w14:textId="77777777" w:rsidR="00271EBA" w:rsidRDefault="00271EBA">
      <w:pPr>
        <w:spacing w:after="0" w:line="240" w:lineRule="auto"/>
      </w:pPr>
      <w:r>
        <w:separator/>
      </w:r>
    </w:p>
  </w:footnote>
  <w:footnote w:type="continuationSeparator" w:id="0">
    <w:p w14:paraId="067E6D41" w14:textId="77777777" w:rsidR="00271EBA" w:rsidRDefault="00271EBA">
      <w:pPr>
        <w:spacing w:after="0" w:line="240" w:lineRule="auto"/>
      </w:pPr>
      <w:r>
        <w:continuationSeparator/>
      </w:r>
    </w:p>
  </w:footnote>
  <w:footnote w:id="1">
    <w:p w14:paraId="45C7A7B8" w14:textId="77777777" w:rsidR="00C66F94" w:rsidRDefault="00C66F94">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14:paraId="177A215A" w14:textId="77777777" w:rsidR="00C66F94" w:rsidRDefault="00C66F94">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14:paraId="435E3590" w14:textId="77777777" w:rsidR="00C66F94" w:rsidRDefault="00C66F94">
      <w:pPr>
        <w:spacing w:after="0" w:line="240" w:lineRule="auto"/>
      </w:pPr>
      <w:r>
        <w:rPr>
          <w:vertAlign w:val="superscript"/>
        </w:rPr>
        <w:footnoteRef/>
      </w:r>
      <w:r>
        <w:rPr>
          <w:sz w:val="20"/>
          <w:szCs w:val="20"/>
        </w:rPr>
        <w:t xml:space="preserve"> </w:t>
      </w:r>
      <w:r>
        <w:t xml:space="preserve">Indicate whether the case had or will have an effect on ICANN’s accountability mechanisms or the operation of ICANN’s </w:t>
      </w:r>
      <w:proofErr w:type="gramStart"/>
      <w:r>
        <w:t>policies..</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E6E1C" w14:textId="77777777" w:rsidR="000C1B9D" w:rsidRDefault="000C1B9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E4CA" w14:textId="77777777" w:rsidR="000C1B9D" w:rsidRDefault="000C1B9D">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AD42" w14:textId="77777777" w:rsidR="000C1B9D" w:rsidRDefault="000C1B9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33410"/>
    <w:multiLevelType w:val="hybridMultilevel"/>
    <w:tmpl w:val="38F46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CD"/>
    <w:rsid w:val="000C1B9D"/>
    <w:rsid w:val="00271EBA"/>
    <w:rsid w:val="004152EC"/>
    <w:rsid w:val="00504A6C"/>
    <w:rsid w:val="007969CD"/>
    <w:rsid w:val="0083703B"/>
    <w:rsid w:val="00A4048C"/>
    <w:rsid w:val="00B01295"/>
    <w:rsid w:val="00BA6F7B"/>
    <w:rsid w:val="00BB43CD"/>
    <w:rsid w:val="00BE4FE7"/>
    <w:rsid w:val="00C343D5"/>
    <w:rsid w:val="00C66F94"/>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942B"/>
  <w15:docId w15:val="{66647DB5-3EA6-47C4-A00D-A54AF159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Marquedecommentaire">
    <w:name w:val="annotation reference"/>
    <w:basedOn w:val="Policepardfaut"/>
    <w:uiPriority w:val="99"/>
    <w:semiHidden/>
    <w:unhideWhenUsed/>
    <w:rsid w:val="00C66F94"/>
    <w:rPr>
      <w:sz w:val="16"/>
      <w:szCs w:val="16"/>
    </w:rPr>
  </w:style>
  <w:style w:type="paragraph" w:styleId="Commentaire">
    <w:name w:val="annotation text"/>
    <w:basedOn w:val="Normal"/>
    <w:link w:val="CommentaireCar"/>
    <w:uiPriority w:val="99"/>
    <w:semiHidden/>
    <w:unhideWhenUsed/>
    <w:rsid w:val="00C66F94"/>
    <w:pPr>
      <w:spacing w:line="240" w:lineRule="auto"/>
    </w:pPr>
    <w:rPr>
      <w:sz w:val="20"/>
      <w:szCs w:val="20"/>
    </w:rPr>
  </w:style>
  <w:style w:type="character" w:customStyle="1" w:styleId="CommentaireCar">
    <w:name w:val="Commentaire Car"/>
    <w:basedOn w:val="Policepardfaut"/>
    <w:link w:val="Commentaire"/>
    <w:uiPriority w:val="99"/>
    <w:semiHidden/>
    <w:rsid w:val="00C66F94"/>
    <w:rPr>
      <w:sz w:val="20"/>
      <w:szCs w:val="20"/>
    </w:rPr>
  </w:style>
  <w:style w:type="paragraph" w:styleId="Textedebulles">
    <w:name w:val="Balloon Text"/>
    <w:basedOn w:val="Normal"/>
    <w:link w:val="TextedebullesCar"/>
    <w:uiPriority w:val="99"/>
    <w:semiHidden/>
    <w:unhideWhenUsed/>
    <w:rsid w:val="00C66F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6F94"/>
    <w:rPr>
      <w:rFonts w:ascii="Tahoma" w:hAnsi="Tahoma" w:cs="Tahoma"/>
      <w:sz w:val="16"/>
      <w:szCs w:val="16"/>
    </w:rPr>
  </w:style>
  <w:style w:type="paragraph" w:customStyle="1" w:styleId="Default">
    <w:name w:val="Default"/>
    <w:rsid w:val="0083703B"/>
    <w:pPr>
      <w:widowControl/>
      <w:autoSpaceDE w:val="0"/>
      <w:autoSpaceDN w:val="0"/>
      <w:adjustRightInd w:val="0"/>
      <w:spacing w:after="0" w:line="240" w:lineRule="auto"/>
    </w:pPr>
    <w:rPr>
      <w:rFonts w:ascii="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7105">
      <w:bodyDiv w:val="1"/>
      <w:marLeft w:val="0"/>
      <w:marRight w:val="0"/>
      <w:marTop w:val="0"/>
      <w:marBottom w:val="0"/>
      <w:divBdr>
        <w:top w:val="none" w:sz="0" w:space="0" w:color="auto"/>
        <w:left w:val="none" w:sz="0" w:space="0" w:color="auto"/>
        <w:bottom w:val="none" w:sz="0" w:space="0" w:color="auto"/>
        <w:right w:val="none" w:sz="0" w:space="0" w:color="auto"/>
      </w:divBdr>
    </w:div>
    <w:div w:id="233587273">
      <w:bodyDiv w:val="1"/>
      <w:marLeft w:val="0"/>
      <w:marRight w:val="0"/>
      <w:marTop w:val="0"/>
      <w:marBottom w:val="0"/>
      <w:divBdr>
        <w:top w:val="none" w:sz="0" w:space="0" w:color="auto"/>
        <w:left w:val="none" w:sz="0" w:space="0" w:color="auto"/>
        <w:bottom w:val="none" w:sz="0" w:space="0" w:color="auto"/>
        <w:right w:val="none" w:sz="0" w:space="0" w:color="auto"/>
      </w:divBdr>
    </w:div>
    <w:div w:id="35889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2112</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McCarter &amp; English, LLP</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weill</cp:lastModifiedBy>
  <cp:revision>2</cp:revision>
  <dcterms:created xsi:type="dcterms:W3CDTF">2017-04-03T11:43:00Z</dcterms:created>
  <dcterms:modified xsi:type="dcterms:W3CDTF">2017-04-03T11:43:00Z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