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5447FA" w:rsidRDefault="00F8509B">
      <w:pPr>
        <w:rPr>
          <w:b/>
        </w:rPr>
      </w:pPr>
      <w:r w:rsidRPr="005447FA">
        <w:rPr>
          <w:b/>
        </w:rPr>
        <w:t xml:space="preserve">I. </w:t>
      </w:r>
      <w:r w:rsidR="005447FA">
        <w:rPr>
          <w:b/>
        </w:rPr>
        <w:t xml:space="preserve">Limitations of </w:t>
      </w:r>
      <w:r w:rsidR="001777B9">
        <w:rPr>
          <w:b/>
        </w:rPr>
        <w:t>Subgroup’s</w:t>
      </w:r>
      <w:r w:rsidR="005447FA">
        <w:rPr>
          <w:b/>
        </w:rPr>
        <w:t xml:space="preserve"> Scope</w:t>
      </w:r>
    </w:p>
    <w:tbl>
      <w:tblPr>
        <w:tblStyle w:val="TableGrid"/>
        <w:tblW w:w="0" w:type="auto"/>
        <w:tblLook w:val="04A0" w:firstRow="1" w:lastRow="0" w:firstColumn="1" w:lastColumn="0" w:noHBand="0" w:noVBand="1"/>
      </w:tblPr>
      <w:tblGrid>
        <w:gridCol w:w="384"/>
        <w:gridCol w:w="4710"/>
        <w:gridCol w:w="4710"/>
        <w:gridCol w:w="4710"/>
      </w:tblGrid>
      <w:tr w:rsidR="00F8509B" w:rsidRPr="004F1AD0" w:rsidTr="002718EB">
        <w:tc>
          <w:tcPr>
            <w:tcW w:w="378" w:type="dxa"/>
          </w:tcPr>
          <w:p w:rsidR="00F8509B" w:rsidRPr="004F1AD0" w:rsidRDefault="00F8509B" w:rsidP="002718EB">
            <w:pPr>
              <w:rPr>
                <w:rFonts w:cstheme="minorHAnsi"/>
                <w:b/>
              </w:rPr>
            </w:pPr>
          </w:p>
        </w:tc>
        <w:tc>
          <w:tcPr>
            <w:tcW w:w="4710" w:type="dxa"/>
          </w:tcPr>
          <w:p w:rsidR="00F8509B" w:rsidRPr="004F1AD0" w:rsidRDefault="00F8509B" w:rsidP="002718EB">
            <w:pPr>
              <w:jc w:val="center"/>
              <w:rPr>
                <w:rFonts w:cstheme="minorHAnsi"/>
                <w:b/>
              </w:rPr>
            </w:pPr>
            <w:r w:rsidRPr="004F1AD0">
              <w:rPr>
                <w:rFonts w:cstheme="minorHAnsi"/>
                <w:b/>
              </w:rPr>
              <w:t>Approach</w:t>
            </w:r>
            <w:r>
              <w:rPr>
                <w:rFonts w:cstheme="minorHAnsi"/>
                <w:b/>
              </w:rPr>
              <w:t xml:space="preserve"> A</w:t>
            </w:r>
          </w:p>
        </w:tc>
        <w:tc>
          <w:tcPr>
            <w:tcW w:w="4710" w:type="dxa"/>
          </w:tcPr>
          <w:p w:rsidR="00F8509B" w:rsidRPr="004F1AD0" w:rsidRDefault="00F8509B" w:rsidP="002718EB">
            <w:pPr>
              <w:jc w:val="center"/>
              <w:rPr>
                <w:rFonts w:cstheme="minorHAnsi"/>
                <w:b/>
              </w:rPr>
            </w:pPr>
            <w:r w:rsidRPr="004F1AD0">
              <w:rPr>
                <w:rFonts w:cstheme="minorHAnsi"/>
                <w:b/>
              </w:rPr>
              <w:t>Approach</w:t>
            </w:r>
            <w:r>
              <w:rPr>
                <w:rFonts w:cstheme="minorHAnsi"/>
                <w:b/>
              </w:rPr>
              <w:t xml:space="preserve"> B</w:t>
            </w:r>
          </w:p>
        </w:tc>
        <w:tc>
          <w:tcPr>
            <w:tcW w:w="4710" w:type="dxa"/>
          </w:tcPr>
          <w:p w:rsidR="00F8509B" w:rsidRPr="004F1AD0" w:rsidRDefault="00F8509B" w:rsidP="002718EB">
            <w:pPr>
              <w:jc w:val="center"/>
              <w:rPr>
                <w:rFonts w:cstheme="minorHAnsi"/>
                <w:b/>
              </w:rPr>
            </w:pPr>
            <w:r w:rsidRPr="004F1AD0">
              <w:rPr>
                <w:rFonts w:cstheme="minorHAnsi"/>
                <w:b/>
              </w:rPr>
              <w:t>Approach</w:t>
            </w:r>
            <w:r>
              <w:rPr>
                <w:rFonts w:cstheme="minorHAnsi"/>
                <w:b/>
              </w:rPr>
              <w:t xml:space="preserve"> C</w:t>
            </w:r>
          </w:p>
        </w:tc>
      </w:tr>
      <w:tr w:rsidR="00F8509B" w:rsidRPr="004F1AD0" w:rsidTr="002718EB">
        <w:tc>
          <w:tcPr>
            <w:tcW w:w="378" w:type="dxa"/>
          </w:tcPr>
          <w:p w:rsidR="00F8509B" w:rsidRPr="004F1AD0" w:rsidRDefault="00F8509B" w:rsidP="002718EB">
            <w:pPr>
              <w:rPr>
                <w:rFonts w:cstheme="minorHAnsi"/>
              </w:rPr>
            </w:pPr>
            <w:r>
              <w:rPr>
                <w:rFonts w:cstheme="minorHAnsi"/>
              </w:rPr>
              <w:t>1.</w:t>
            </w:r>
          </w:p>
        </w:tc>
        <w:tc>
          <w:tcPr>
            <w:tcW w:w="4710" w:type="dxa"/>
          </w:tcPr>
          <w:p w:rsidR="00F8509B" w:rsidRPr="004F1AD0" w:rsidRDefault="00F8509B" w:rsidP="002718EB">
            <w:pPr>
              <w:rPr>
                <w:rFonts w:cstheme="minorHAnsi"/>
              </w:rPr>
            </w:pPr>
            <w:r w:rsidRPr="004F1AD0">
              <w:rPr>
                <w:rFonts w:cstheme="minorHAnsi"/>
              </w:rPr>
              <w:t>Assuming that we are staying in California, what are the ways of mitigating the issues like OFAC and such that other people experience so that they can accept that indeed, remaining in California works?  Perhaps there are some issues that do need mitigation that would make staying in California acceptable for the consensus.</w:t>
            </w:r>
          </w:p>
        </w:tc>
        <w:tc>
          <w:tcPr>
            <w:tcW w:w="4710" w:type="dxa"/>
          </w:tcPr>
          <w:p w:rsidR="00F8509B" w:rsidRPr="004F1AD0" w:rsidRDefault="00F8509B" w:rsidP="002718EB">
            <w:pPr>
              <w:rPr>
                <w:rFonts w:cstheme="minorHAnsi"/>
              </w:rPr>
            </w:pPr>
            <w:r w:rsidRPr="004F1AD0">
              <w:rPr>
                <w:rFonts w:cstheme="minorHAnsi"/>
              </w:rPr>
              <w:t>It's time to just say that the status quo is that ICANN's formation jurisdiction is in California, all the accountability mechanisms hang on that fact, and there is nothing in the basic documents here that requires us to undo Work Stream 1 accountability mechanisms.</w:t>
            </w:r>
          </w:p>
        </w:tc>
        <w:tc>
          <w:tcPr>
            <w:tcW w:w="4710" w:type="dxa"/>
          </w:tcPr>
          <w:p w:rsidR="009D23FE" w:rsidRPr="009D23FE" w:rsidRDefault="009D23FE" w:rsidP="002718EB">
            <w:pPr>
              <w:widowControl w:val="0"/>
              <w:autoSpaceDE w:val="0"/>
              <w:autoSpaceDN w:val="0"/>
              <w:adjustRightInd w:val="0"/>
              <w:rPr>
                <w:rFonts w:eastAsia="Times New Roman" w:cstheme="minorHAnsi"/>
              </w:rPr>
            </w:pPr>
            <w:r w:rsidRPr="009D23FE">
              <w:rPr>
                <w:rFonts w:eastAsia="Times New Roman" w:cstheme="minorHAnsi"/>
              </w:rPr>
              <w:t>We need to stick to the mandate given to the CCWG Workstream 2 by the Chartering Organizations.  The decision whether something is in or out of scope should be based on that mandate, should be considered in light of the specific facts of the case, and should be decided prima facie by the CCWG plenary.  The Subgroup may reach ex-post, i.e., case by case its own understanding vis-a-vis a given case where there would be a question of in/out scope, but I don't think we should lose time on developing an ex-ante position of the Subgroup in general terms.</w:t>
            </w:r>
          </w:p>
          <w:p w:rsidR="00F8509B" w:rsidRPr="004F1AD0" w:rsidRDefault="00F8509B" w:rsidP="002718EB">
            <w:pPr>
              <w:rPr>
                <w:rFonts w:cstheme="minorHAnsi"/>
              </w:rPr>
            </w:pPr>
          </w:p>
        </w:tc>
      </w:tr>
      <w:tr w:rsidR="00F8509B" w:rsidRPr="004F1AD0" w:rsidTr="002718EB">
        <w:tc>
          <w:tcPr>
            <w:tcW w:w="378" w:type="dxa"/>
          </w:tcPr>
          <w:p w:rsidR="00F8509B" w:rsidRPr="004F1AD0" w:rsidRDefault="00F8509B" w:rsidP="002718EB">
            <w:pPr>
              <w:rPr>
                <w:rFonts w:cstheme="minorHAnsi"/>
              </w:rPr>
            </w:pPr>
            <w:r>
              <w:rPr>
                <w:rFonts w:cstheme="minorHAnsi"/>
              </w:rPr>
              <w:t>2.</w:t>
            </w:r>
          </w:p>
        </w:tc>
        <w:tc>
          <w:tcPr>
            <w:tcW w:w="4710" w:type="dxa"/>
          </w:tcPr>
          <w:p w:rsidR="00F8509B" w:rsidRPr="004F1AD0" w:rsidRDefault="00F8509B" w:rsidP="002718EB">
            <w:pPr>
              <w:rPr>
                <w:rFonts w:cstheme="minorHAnsi"/>
              </w:rPr>
            </w:pPr>
            <w:r w:rsidRPr="004F1AD0">
              <w:rPr>
                <w:rFonts w:cstheme="minorHAnsi"/>
              </w:rPr>
              <w:t>Assuming that the status quo is not changing, what can be done to mitigate the issues that have been raised within the Subgroup?</w:t>
            </w:r>
          </w:p>
        </w:tc>
        <w:tc>
          <w:tcPr>
            <w:tcW w:w="4710" w:type="dxa"/>
          </w:tcPr>
          <w:p w:rsidR="004F1AD0" w:rsidRPr="004F1AD0" w:rsidRDefault="004F1AD0" w:rsidP="002718EB">
            <w:pPr>
              <w:widowControl w:val="0"/>
              <w:autoSpaceDE w:val="0"/>
              <w:autoSpaceDN w:val="0"/>
              <w:adjustRightInd w:val="0"/>
              <w:rPr>
                <w:rFonts w:eastAsia="Times New Roman" w:cstheme="minorHAnsi"/>
              </w:rPr>
            </w:pPr>
            <w:r w:rsidRPr="004F1AD0">
              <w:rPr>
                <w:rFonts w:eastAsia="Times New Roman" w:cstheme="minorHAnsi"/>
              </w:rPr>
              <w:t>The formula is (Stay in California) + (look at remediation tools if any are needed)</w:t>
            </w:r>
          </w:p>
          <w:p w:rsidR="00F8509B" w:rsidRPr="004F1AD0" w:rsidRDefault="00F8509B" w:rsidP="002718EB">
            <w:pPr>
              <w:rPr>
                <w:rFonts w:cstheme="minorHAnsi"/>
              </w:rPr>
            </w:pPr>
          </w:p>
        </w:tc>
        <w:tc>
          <w:tcPr>
            <w:tcW w:w="4710" w:type="dxa"/>
          </w:tcPr>
          <w:p w:rsidR="00F8509B" w:rsidRPr="004F1AD0" w:rsidRDefault="00F8509B" w:rsidP="002718EB">
            <w:pPr>
              <w:rPr>
                <w:rFonts w:cstheme="minorHAnsi"/>
              </w:rPr>
            </w:pPr>
            <w:r w:rsidRPr="00A96EA9">
              <w:rPr>
                <w:rFonts w:cstheme="minorHAnsi"/>
              </w:rPr>
              <w:t xml:space="preserve">We don't have to assume anything at this </w:t>
            </w:r>
            <w:proofErr w:type="gramStart"/>
            <w:r w:rsidRPr="00A96EA9">
              <w:rPr>
                <w:rFonts w:cstheme="minorHAnsi"/>
              </w:rPr>
              <w:t>point,</w:t>
            </w:r>
            <w:proofErr w:type="gramEnd"/>
            <w:r w:rsidRPr="00A96EA9">
              <w:rPr>
                <w:rFonts w:cstheme="minorHAnsi"/>
              </w:rPr>
              <w:t xml:space="preserve"> we have to identify the issues.</w:t>
            </w:r>
          </w:p>
        </w:tc>
      </w:tr>
      <w:tr w:rsidR="00F8509B" w:rsidRPr="004F1AD0" w:rsidTr="002718EB">
        <w:tc>
          <w:tcPr>
            <w:tcW w:w="378" w:type="dxa"/>
          </w:tcPr>
          <w:p w:rsidR="00F8509B" w:rsidRPr="004F1AD0" w:rsidRDefault="00F8509B" w:rsidP="002718EB">
            <w:pPr>
              <w:spacing w:after="120"/>
              <w:rPr>
                <w:rFonts w:cstheme="minorHAnsi"/>
              </w:rPr>
            </w:pPr>
            <w:r>
              <w:rPr>
                <w:rFonts w:cstheme="minorHAnsi"/>
              </w:rPr>
              <w:t>3.</w:t>
            </w:r>
          </w:p>
        </w:tc>
        <w:tc>
          <w:tcPr>
            <w:tcW w:w="4710" w:type="dxa"/>
          </w:tcPr>
          <w:p w:rsidR="00F8509B" w:rsidRPr="004F1AD0" w:rsidRDefault="00F8509B" w:rsidP="002718EB">
            <w:pPr>
              <w:spacing w:after="120"/>
              <w:rPr>
                <w:rFonts w:cstheme="minorHAnsi"/>
              </w:rPr>
            </w:pPr>
            <w:r w:rsidRPr="004F1AD0">
              <w:rPr>
                <w:rFonts w:cstheme="minorHAnsi"/>
              </w:rPr>
              <w:t>Proceed with the assumption that this group will not recommend any changes to ICANN's status as a not</w:t>
            </w:r>
            <w:r w:rsidRPr="004F1AD0">
              <w:rPr>
                <w:rFonts w:cstheme="minorHAnsi"/>
              </w:rPr>
              <w:noBreakHyphen/>
              <w:t>for</w:t>
            </w:r>
            <w:r w:rsidRPr="004F1AD0">
              <w:rPr>
                <w:rFonts w:cstheme="minorHAnsi"/>
              </w:rPr>
              <w:noBreakHyphen/>
              <w:t>profit California corporation</w:t>
            </w:r>
            <w:r w:rsidR="005447FA">
              <w:rPr>
                <w:rFonts w:cstheme="minorHAnsi"/>
              </w:rPr>
              <w:t xml:space="preserve"> (including jurisdiction of incorporation, headquarters location or immunity)</w:t>
            </w:r>
            <w:r w:rsidRPr="004F1AD0">
              <w:rPr>
                <w:rFonts w:cstheme="minorHAnsi"/>
              </w:rPr>
              <w:t>.  Once we do that, we can deal with making improvements or recommending improvements to the situation that we have in front of us.  If we can put that to bed, once and for all, we can really discuss the issues and resolutions given California status.</w:t>
            </w:r>
          </w:p>
        </w:tc>
        <w:tc>
          <w:tcPr>
            <w:tcW w:w="4710" w:type="dxa"/>
          </w:tcPr>
          <w:p w:rsidR="00F8509B" w:rsidRPr="004F1AD0" w:rsidRDefault="00F8509B" w:rsidP="002718EB">
            <w:pPr>
              <w:rPr>
                <w:rFonts w:cstheme="minorHAnsi"/>
              </w:rPr>
            </w:pPr>
          </w:p>
        </w:tc>
        <w:tc>
          <w:tcPr>
            <w:tcW w:w="4710" w:type="dxa"/>
          </w:tcPr>
          <w:p w:rsidR="00F8509B" w:rsidRPr="004F1AD0" w:rsidRDefault="00F8509B" w:rsidP="002718EB">
            <w:pPr>
              <w:rPr>
                <w:rFonts w:cstheme="minorHAnsi"/>
              </w:rPr>
            </w:pPr>
          </w:p>
        </w:tc>
      </w:tr>
      <w:tr w:rsidR="00F8509B" w:rsidRPr="004F1AD0" w:rsidTr="002718EB">
        <w:tc>
          <w:tcPr>
            <w:tcW w:w="378" w:type="dxa"/>
          </w:tcPr>
          <w:p w:rsidR="00F8509B" w:rsidRPr="004F1AD0" w:rsidRDefault="00F8509B" w:rsidP="002718EB">
            <w:pPr>
              <w:rPr>
                <w:rFonts w:cstheme="minorHAnsi"/>
              </w:rPr>
            </w:pPr>
            <w:r>
              <w:rPr>
                <w:rFonts w:cstheme="minorHAnsi"/>
              </w:rPr>
              <w:t>4.</w:t>
            </w:r>
          </w:p>
        </w:tc>
        <w:tc>
          <w:tcPr>
            <w:tcW w:w="4710" w:type="dxa"/>
          </w:tcPr>
          <w:p w:rsidR="00F8509B" w:rsidRPr="004F1AD0" w:rsidRDefault="00F8509B" w:rsidP="002718EB">
            <w:pPr>
              <w:rPr>
                <w:rFonts w:cstheme="minorHAnsi"/>
              </w:rPr>
            </w:pPr>
            <w:r w:rsidRPr="004F1AD0">
              <w:rPr>
                <w:rFonts w:cstheme="minorHAnsi"/>
              </w:rPr>
              <w:t>Say that we have decided to proceed with our work by assuming that California will remain the jurisdiction of incorporation, and that if that is to be reconsidered, it will be reconsidered in some other forum and that our report is not meant to prejudge that, but rather simply to begin with that as an assumption, and assess accountability within that.</w:t>
            </w:r>
          </w:p>
        </w:tc>
        <w:tc>
          <w:tcPr>
            <w:tcW w:w="4710" w:type="dxa"/>
          </w:tcPr>
          <w:p w:rsidR="00F8509B" w:rsidRPr="004F1AD0" w:rsidRDefault="00F8509B" w:rsidP="002718EB">
            <w:pPr>
              <w:rPr>
                <w:rFonts w:cstheme="minorHAnsi"/>
              </w:rPr>
            </w:pPr>
          </w:p>
        </w:tc>
        <w:tc>
          <w:tcPr>
            <w:tcW w:w="4710" w:type="dxa"/>
          </w:tcPr>
          <w:p w:rsidR="00F8509B" w:rsidRPr="004F1AD0" w:rsidRDefault="00F8509B" w:rsidP="002718EB">
            <w:pPr>
              <w:rPr>
                <w:rFonts w:cstheme="minorHAnsi"/>
              </w:rPr>
            </w:pPr>
          </w:p>
        </w:tc>
      </w:tr>
      <w:tr w:rsidR="00F8509B" w:rsidRPr="004F1AD0" w:rsidTr="002718EB">
        <w:tc>
          <w:tcPr>
            <w:tcW w:w="378" w:type="dxa"/>
          </w:tcPr>
          <w:p w:rsidR="00F8509B" w:rsidRPr="004F1AD0" w:rsidRDefault="00F8509B" w:rsidP="002718EB">
            <w:pPr>
              <w:rPr>
                <w:rFonts w:cstheme="minorHAnsi"/>
              </w:rPr>
            </w:pPr>
            <w:r>
              <w:rPr>
                <w:rFonts w:cstheme="minorHAnsi"/>
              </w:rPr>
              <w:t>5.</w:t>
            </w:r>
          </w:p>
        </w:tc>
        <w:tc>
          <w:tcPr>
            <w:tcW w:w="4710" w:type="dxa"/>
          </w:tcPr>
          <w:p w:rsidR="00F8509B" w:rsidRPr="004F1AD0" w:rsidRDefault="00F8509B" w:rsidP="002718EB">
            <w:pPr>
              <w:spacing w:after="120"/>
              <w:rPr>
                <w:rFonts w:cstheme="minorHAnsi"/>
              </w:rPr>
            </w:pPr>
            <w:r w:rsidRPr="00743ACB">
              <w:rPr>
                <w:rFonts w:cstheme="minorHAnsi"/>
              </w:rPr>
              <w:t xml:space="preserve">The most straightforward approach and the usual practice in Workstream 2 subgroups is to have </w:t>
            </w:r>
            <w:r w:rsidRPr="00743ACB">
              <w:rPr>
                <w:rFonts w:cstheme="minorHAnsi"/>
              </w:rPr>
              <w:lastRenderedPageBreak/>
              <w:t>this group test (through the rapporteur) the different approaches discussed, see which of the models gets the most traction, and present that result to the plenary. If the plenary feels entirely different then it might be the subject for review.</w:t>
            </w:r>
            <w:r>
              <w:rPr>
                <w:rFonts w:cstheme="minorHAnsi"/>
              </w:rPr>
              <w:t xml:space="preserve">  </w:t>
            </w:r>
            <w:r w:rsidRPr="000668A5">
              <w:rPr>
                <w:rFonts w:cstheme="minorHAnsi"/>
              </w:rPr>
              <w:t xml:space="preserve">By the looks of it, it seems like </w:t>
            </w:r>
            <w:r>
              <w:rPr>
                <w:rFonts w:cstheme="minorHAnsi"/>
              </w:rPr>
              <w:t xml:space="preserve">the concept getting the most traction is to assume continued </w:t>
            </w:r>
            <w:r w:rsidRPr="000668A5">
              <w:rPr>
                <w:rFonts w:cstheme="minorHAnsi"/>
              </w:rPr>
              <w:t>incorporation in Calif</w:t>
            </w:r>
            <w:r>
              <w:rPr>
                <w:rFonts w:cstheme="minorHAnsi"/>
              </w:rPr>
              <w:t>ornia, and not to further pursue</w:t>
            </w:r>
            <w:r w:rsidRPr="000668A5">
              <w:rPr>
                <w:rFonts w:cstheme="minorHAnsi"/>
              </w:rPr>
              <w:t xml:space="preserve"> the immunity question</w:t>
            </w:r>
            <w:r>
              <w:rPr>
                <w:rFonts w:cstheme="minorHAnsi"/>
              </w:rPr>
              <w:t>.</w:t>
            </w:r>
          </w:p>
        </w:tc>
        <w:tc>
          <w:tcPr>
            <w:tcW w:w="4710" w:type="dxa"/>
          </w:tcPr>
          <w:p w:rsidR="00F8509B" w:rsidRPr="004F1AD0" w:rsidRDefault="00F8509B" w:rsidP="002718EB">
            <w:pPr>
              <w:rPr>
                <w:rFonts w:cstheme="minorHAnsi"/>
              </w:rPr>
            </w:pPr>
          </w:p>
        </w:tc>
        <w:tc>
          <w:tcPr>
            <w:tcW w:w="4710" w:type="dxa"/>
          </w:tcPr>
          <w:p w:rsidR="00F8509B" w:rsidRPr="004F1AD0" w:rsidRDefault="00F8509B" w:rsidP="002718EB">
            <w:pPr>
              <w:rPr>
                <w:rFonts w:cstheme="minorHAnsi"/>
              </w:rPr>
            </w:pPr>
          </w:p>
        </w:tc>
      </w:tr>
    </w:tbl>
    <w:p w:rsidR="00385CD3" w:rsidRPr="005447FA" w:rsidRDefault="005447FA">
      <w:pPr>
        <w:rPr>
          <w:b/>
        </w:rPr>
      </w:pPr>
      <w:r w:rsidRPr="005447FA">
        <w:rPr>
          <w:b/>
        </w:rPr>
        <w:lastRenderedPageBreak/>
        <w:t xml:space="preserve">II. Focus of </w:t>
      </w:r>
      <w:r>
        <w:rPr>
          <w:b/>
        </w:rPr>
        <w:t>the Subgroup’s</w:t>
      </w:r>
      <w:r w:rsidRPr="005447FA">
        <w:rPr>
          <w:b/>
        </w:rPr>
        <w:t xml:space="preserve"> work</w:t>
      </w:r>
    </w:p>
    <w:tbl>
      <w:tblPr>
        <w:tblStyle w:val="TableGrid"/>
        <w:tblW w:w="0" w:type="auto"/>
        <w:tblLook w:val="04A0" w:firstRow="1" w:lastRow="0" w:firstColumn="1" w:lastColumn="0" w:noHBand="0" w:noVBand="1"/>
      </w:tblPr>
      <w:tblGrid>
        <w:gridCol w:w="384"/>
        <w:gridCol w:w="4678"/>
        <w:gridCol w:w="4768"/>
        <w:gridCol w:w="4786"/>
      </w:tblGrid>
      <w:tr w:rsidR="00967EE2" w:rsidTr="00385CD3">
        <w:tc>
          <w:tcPr>
            <w:tcW w:w="378" w:type="dxa"/>
          </w:tcPr>
          <w:p w:rsidR="00967EE2" w:rsidRDefault="00967EE2"/>
        </w:tc>
        <w:tc>
          <w:tcPr>
            <w:tcW w:w="4680"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A</w:t>
            </w:r>
          </w:p>
        </w:tc>
        <w:tc>
          <w:tcPr>
            <w:tcW w:w="4770"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B</w:t>
            </w:r>
          </w:p>
        </w:tc>
        <w:tc>
          <w:tcPr>
            <w:tcW w:w="4788" w:type="dxa"/>
          </w:tcPr>
          <w:p w:rsidR="00967EE2" w:rsidRPr="004F1AD0" w:rsidRDefault="00967EE2" w:rsidP="002718EB">
            <w:pPr>
              <w:jc w:val="center"/>
              <w:rPr>
                <w:rFonts w:cstheme="minorHAnsi"/>
                <w:b/>
              </w:rPr>
            </w:pPr>
            <w:r w:rsidRPr="004F1AD0">
              <w:rPr>
                <w:rFonts w:cstheme="minorHAnsi"/>
                <w:b/>
              </w:rPr>
              <w:t>Approach</w:t>
            </w:r>
            <w:r>
              <w:rPr>
                <w:rFonts w:cstheme="minorHAnsi"/>
                <w:b/>
              </w:rPr>
              <w:t xml:space="preserve"> C</w:t>
            </w:r>
          </w:p>
        </w:tc>
      </w:tr>
      <w:tr w:rsidR="00385CD3" w:rsidTr="00385CD3">
        <w:tc>
          <w:tcPr>
            <w:tcW w:w="378" w:type="dxa"/>
          </w:tcPr>
          <w:p w:rsidR="00385CD3" w:rsidRDefault="00967EE2">
            <w:r>
              <w:t>1.</w:t>
            </w:r>
          </w:p>
        </w:tc>
        <w:tc>
          <w:tcPr>
            <w:tcW w:w="4680" w:type="dxa"/>
          </w:tcPr>
          <w:p w:rsidR="00385CD3" w:rsidRPr="00385CD3" w:rsidRDefault="00385CD3" w:rsidP="002718EB">
            <w:pPr>
              <w:widowControl w:val="0"/>
              <w:autoSpaceDE w:val="0"/>
              <w:autoSpaceDN w:val="0"/>
              <w:adjustRightInd w:val="0"/>
              <w:rPr>
                <w:rFonts w:eastAsia="Times New Roman" w:cstheme="minorHAnsi"/>
              </w:rPr>
            </w:pPr>
            <w:r w:rsidRPr="00385CD3">
              <w:rPr>
                <w:rFonts w:eastAsia="Times New Roman" w:cstheme="minorHAnsi"/>
              </w:rPr>
              <w:t>We should discuss what would be the potential impact as far as jurisdiction is concerned if the office continues to remain in California – we can discuss what will be the impact of being in California from the jurisdictional point of view.</w:t>
            </w:r>
          </w:p>
          <w:p w:rsidR="00385CD3" w:rsidRDefault="00385CD3" w:rsidP="002718EB"/>
        </w:tc>
        <w:tc>
          <w:tcPr>
            <w:tcW w:w="4770" w:type="dxa"/>
          </w:tcPr>
          <w:p w:rsidR="00385CD3" w:rsidRDefault="00385CD3">
            <w:r w:rsidRPr="00385CD3">
              <w:t>At that time of Work Stream 1, as we discussed everything, it was based on the views of the lawyers saying that the models worked “according to California law.” So, Work Stream 1 is totally based on that scope and nothing else. If you want to remove or propose to remove ICANN from California to elsewhere we have to see whether or not we need to redo Work Stream 1.  That is the situation.  We could, with the agreement of the Co-Chairs of the CCWG-accountability, raise the question to the legal advisors, asking in the event there is a situation where it is decided to move ICANN from California to elsewhere, what would be the impact on the entire Work Stream 1, the new Bylaws and all of elements of the transition.</w:t>
            </w:r>
          </w:p>
        </w:tc>
        <w:tc>
          <w:tcPr>
            <w:tcW w:w="4788" w:type="dxa"/>
          </w:tcPr>
          <w:p w:rsidR="004F1AD0" w:rsidRPr="004F1AD0" w:rsidRDefault="00967EE2" w:rsidP="004F1AD0">
            <w:r>
              <w:t>W</w:t>
            </w:r>
            <w:r w:rsidR="004F1AD0" w:rsidRPr="004F1AD0">
              <w:t>e should look to solve the problems ICANN jurisdiction raise.</w:t>
            </w:r>
          </w:p>
          <w:p w:rsidR="00385CD3" w:rsidRDefault="00385CD3"/>
        </w:tc>
      </w:tr>
      <w:tr w:rsidR="00385CD3" w:rsidTr="00385CD3">
        <w:tc>
          <w:tcPr>
            <w:tcW w:w="378" w:type="dxa"/>
          </w:tcPr>
          <w:p w:rsidR="00385CD3" w:rsidRDefault="00967EE2">
            <w:r>
              <w:t>2.</w:t>
            </w:r>
          </w:p>
        </w:tc>
        <w:tc>
          <w:tcPr>
            <w:tcW w:w="4680" w:type="dxa"/>
          </w:tcPr>
          <w:p w:rsidR="00385CD3" w:rsidRDefault="00385CD3" w:rsidP="002718EB">
            <w:r w:rsidRPr="00385CD3">
              <w:t>At this stage, we are only discussing and examining the impact, or legal impact, of ICANN remaining in California on jurisdictional issues</w:t>
            </w:r>
          </w:p>
        </w:tc>
        <w:tc>
          <w:tcPr>
            <w:tcW w:w="4770" w:type="dxa"/>
          </w:tcPr>
          <w:p w:rsidR="00385CD3" w:rsidRDefault="004F1AD0" w:rsidP="004F1AD0">
            <w:r w:rsidRPr="004F1AD0">
              <w:t>That's all.  If you want to raise the question, the consequence of moving that on Work Stream 1, you can put that question. What I said is exactly what Thomas said, and this was also said sometime in</w:t>
            </w:r>
            <w:r w:rsidR="00967EE2">
              <w:t xml:space="preserve"> an e</w:t>
            </w:r>
            <w:r w:rsidRPr="004F1AD0">
              <w:t>mail by Mathieu some time ago. That redoing the Work Stream 1 would be horrible and would be impractical and so on and so forth, two years and some thousands [unclear] would be non</w:t>
            </w:r>
            <w:r>
              <w:t>-</w:t>
            </w:r>
            <w:r w:rsidRPr="004F1AD0">
              <w:t xml:space="preserve">implementable, </w:t>
            </w:r>
            <w:proofErr w:type="gramStart"/>
            <w:r w:rsidRPr="004F1AD0">
              <w:t>maybe</w:t>
            </w:r>
            <w:proofErr w:type="gramEnd"/>
            <w:r w:rsidRPr="004F1AD0">
              <w:t xml:space="preserve"> the whole transition will be question.  </w:t>
            </w:r>
          </w:p>
        </w:tc>
        <w:tc>
          <w:tcPr>
            <w:tcW w:w="4788" w:type="dxa"/>
          </w:tcPr>
          <w:p w:rsidR="00385CD3" w:rsidRDefault="00385CD3"/>
        </w:tc>
      </w:tr>
      <w:tr w:rsidR="00385CD3" w:rsidTr="00385CD3">
        <w:tc>
          <w:tcPr>
            <w:tcW w:w="378" w:type="dxa"/>
          </w:tcPr>
          <w:p w:rsidR="00385CD3" w:rsidRPr="00385CD3" w:rsidRDefault="00967EE2">
            <w:r>
              <w:t>3.</w:t>
            </w:r>
          </w:p>
        </w:tc>
        <w:tc>
          <w:tcPr>
            <w:tcW w:w="4680" w:type="dxa"/>
          </w:tcPr>
          <w:p w:rsidR="00385CD3" w:rsidRDefault="004F1AD0">
            <w:r w:rsidRPr="004F1AD0">
              <w:t xml:space="preserve">The suggestion that I have made at this stage is to limit ourselves to study and examine the </w:t>
            </w:r>
            <w:r w:rsidRPr="004F1AD0">
              <w:lastRenderedPageBreak/>
              <w:t xml:space="preserve">potential impact from the jurisdictional point of view of ICANN continuing to remain in California.  </w:t>
            </w:r>
          </w:p>
        </w:tc>
        <w:tc>
          <w:tcPr>
            <w:tcW w:w="4770" w:type="dxa"/>
          </w:tcPr>
          <w:p w:rsidR="00385CD3" w:rsidRDefault="000668A5">
            <w:r w:rsidRPr="000668A5">
              <w:lastRenderedPageBreak/>
              <w:t xml:space="preserve">It is better that we do not discuss in this Subgroup whether or not ICANN’s headquarters office stays </w:t>
            </w:r>
            <w:r w:rsidRPr="000668A5">
              <w:lastRenderedPageBreak/>
              <w:t>in California or United States or outside that.  Being or not being in California was something that was decided in Work Stream 1 and at this stage no one proposes to redo Work Stream 1.</w:t>
            </w:r>
          </w:p>
        </w:tc>
        <w:tc>
          <w:tcPr>
            <w:tcW w:w="4788" w:type="dxa"/>
          </w:tcPr>
          <w:p w:rsidR="00385CD3" w:rsidRDefault="00385CD3"/>
        </w:tc>
      </w:tr>
      <w:tr w:rsidR="004F1AD0" w:rsidTr="00385CD3">
        <w:tc>
          <w:tcPr>
            <w:tcW w:w="378" w:type="dxa"/>
          </w:tcPr>
          <w:p w:rsidR="004F1AD0" w:rsidRPr="00385CD3" w:rsidRDefault="004F1AD0"/>
        </w:tc>
        <w:tc>
          <w:tcPr>
            <w:tcW w:w="4680" w:type="dxa"/>
          </w:tcPr>
          <w:p w:rsidR="004F1AD0" w:rsidRPr="004F1AD0" w:rsidRDefault="004F1AD0">
            <w:r w:rsidRPr="004F1AD0">
              <w:t>Let us take a pragmatic and practical way; impact, only study the impact.  Thank you.</w:t>
            </w:r>
          </w:p>
        </w:tc>
        <w:tc>
          <w:tcPr>
            <w:tcW w:w="4770" w:type="dxa"/>
          </w:tcPr>
          <w:p w:rsidR="004F1AD0" w:rsidRDefault="004F1AD0"/>
        </w:tc>
        <w:tc>
          <w:tcPr>
            <w:tcW w:w="4788" w:type="dxa"/>
          </w:tcPr>
          <w:p w:rsidR="004F1AD0" w:rsidRDefault="004F1AD0"/>
        </w:tc>
      </w:tr>
    </w:tbl>
    <w:p w:rsidR="005447FA" w:rsidRPr="005447FA" w:rsidRDefault="005447FA">
      <w:pPr>
        <w:rPr>
          <w:b/>
        </w:rPr>
      </w:pPr>
      <w:r w:rsidRPr="005447FA">
        <w:rPr>
          <w:b/>
        </w:rPr>
        <w:t xml:space="preserve">III. Immunity </w:t>
      </w:r>
    </w:p>
    <w:tbl>
      <w:tblPr>
        <w:tblStyle w:val="TableGrid"/>
        <w:tblW w:w="0" w:type="auto"/>
        <w:tblLook w:val="04A0" w:firstRow="1" w:lastRow="0" w:firstColumn="1" w:lastColumn="0" w:noHBand="0" w:noVBand="1"/>
      </w:tblPr>
      <w:tblGrid>
        <w:gridCol w:w="378"/>
        <w:gridCol w:w="4746"/>
        <w:gridCol w:w="4746"/>
        <w:gridCol w:w="4746"/>
      </w:tblGrid>
      <w:tr w:rsidR="003A5D8F" w:rsidTr="003A5D8F">
        <w:tc>
          <w:tcPr>
            <w:tcW w:w="378" w:type="dxa"/>
          </w:tcPr>
          <w:p w:rsidR="003A5D8F" w:rsidRDefault="003A5D8F"/>
        </w:tc>
        <w:tc>
          <w:tcPr>
            <w:tcW w:w="4746" w:type="dxa"/>
          </w:tcPr>
          <w:p w:rsidR="003A5D8F" w:rsidRPr="004F1AD0" w:rsidRDefault="003A5D8F" w:rsidP="002718EB">
            <w:pPr>
              <w:jc w:val="center"/>
              <w:rPr>
                <w:rFonts w:cstheme="minorHAnsi"/>
                <w:b/>
              </w:rPr>
            </w:pPr>
            <w:r w:rsidRPr="004F1AD0">
              <w:rPr>
                <w:rFonts w:cstheme="minorHAnsi"/>
                <w:b/>
              </w:rPr>
              <w:t>Approach</w:t>
            </w:r>
            <w:r>
              <w:rPr>
                <w:rFonts w:cstheme="minorHAnsi"/>
                <w:b/>
              </w:rPr>
              <w:t xml:space="preserve"> A</w:t>
            </w:r>
          </w:p>
        </w:tc>
        <w:tc>
          <w:tcPr>
            <w:tcW w:w="4746" w:type="dxa"/>
          </w:tcPr>
          <w:p w:rsidR="003A5D8F" w:rsidRPr="004F1AD0" w:rsidRDefault="003A5D8F" w:rsidP="002718EB">
            <w:pPr>
              <w:jc w:val="center"/>
              <w:rPr>
                <w:rFonts w:cstheme="minorHAnsi"/>
                <w:b/>
              </w:rPr>
            </w:pPr>
            <w:r w:rsidRPr="004F1AD0">
              <w:rPr>
                <w:rFonts w:cstheme="minorHAnsi"/>
                <w:b/>
              </w:rPr>
              <w:t>Approach</w:t>
            </w:r>
            <w:r>
              <w:rPr>
                <w:rFonts w:cstheme="minorHAnsi"/>
                <w:b/>
              </w:rPr>
              <w:t xml:space="preserve"> B</w:t>
            </w:r>
          </w:p>
        </w:tc>
        <w:tc>
          <w:tcPr>
            <w:tcW w:w="4746" w:type="dxa"/>
          </w:tcPr>
          <w:p w:rsidR="003A5D8F" w:rsidRPr="004F1AD0" w:rsidRDefault="003A5D8F" w:rsidP="002718EB">
            <w:pPr>
              <w:jc w:val="center"/>
              <w:rPr>
                <w:rFonts w:cstheme="minorHAnsi"/>
                <w:b/>
              </w:rPr>
            </w:pPr>
            <w:r w:rsidRPr="004F1AD0">
              <w:rPr>
                <w:rFonts w:cstheme="minorHAnsi"/>
                <w:b/>
              </w:rPr>
              <w:t>Approach</w:t>
            </w:r>
            <w:r>
              <w:rPr>
                <w:rFonts w:cstheme="minorHAnsi"/>
                <w:b/>
              </w:rPr>
              <w:t xml:space="preserve"> C</w:t>
            </w:r>
          </w:p>
        </w:tc>
      </w:tr>
      <w:tr w:rsidR="003A5D8F" w:rsidTr="003A5D8F">
        <w:tc>
          <w:tcPr>
            <w:tcW w:w="378" w:type="dxa"/>
          </w:tcPr>
          <w:p w:rsidR="003A5D8F" w:rsidRDefault="003A5D8F"/>
        </w:tc>
        <w:tc>
          <w:tcPr>
            <w:tcW w:w="4746" w:type="dxa"/>
          </w:tcPr>
          <w:p w:rsidR="003A5D8F" w:rsidRDefault="003A5D8F" w:rsidP="003A5D8F">
            <w:r>
              <w:t>W</w:t>
            </w:r>
            <w:r w:rsidRPr="003A5D8F">
              <w:t>h</w:t>
            </w:r>
            <w:r>
              <w:t>y</w:t>
            </w:r>
            <w:r w:rsidRPr="003A5D8F">
              <w:t xml:space="preserve"> not pursue the i</w:t>
            </w:r>
            <w:r>
              <w:t>m</w:t>
            </w:r>
            <w:r w:rsidRPr="003A5D8F">
              <w:t>munity question, at le</w:t>
            </w:r>
            <w:r>
              <w:t>ast a partial immunity question?</w:t>
            </w:r>
            <w:r w:rsidRPr="003A5D8F">
              <w:t xml:space="preserve">  </w:t>
            </w:r>
            <w:r>
              <w:t>I</w:t>
            </w:r>
            <w:r w:rsidRPr="003A5D8F">
              <w:t>sn't that one possible mitigation path?</w:t>
            </w:r>
          </w:p>
        </w:tc>
        <w:tc>
          <w:tcPr>
            <w:tcW w:w="4746" w:type="dxa"/>
          </w:tcPr>
          <w:p w:rsidR="003A5D8F" w:rsidRDefault="003A5D8F">
            <w:r w:rsidRPr="003A5D8F">
              <w:t>I think the immunity and related questions are for another forum – WS2 is meant to focus on following up on the accountability steps adopted in WS1</w:t>
            </w:r>
          </w:p>
        </w:tc>
        <w:tc>
          <w:tcPr>
            <w:tcW w:w="4746" w:type="dxa"/>
          </w:tcPr>
          <w:p w:rsidR="005447FA" w:rsidRDefault="005447FA" w:rsidP="005447FA">
            <w:r>
              <w:t xml:space="preserve">Final Proposal, </w:t>
            </w:r>
            <w:r>
              <w:t xml:space="preserve">Appendix E1, “Inventory of Existing ICANN Accountability Mechanisms.”  The location of ICANN’s headquarters and its incorporation in California is listed as one of the “existing ICANN accountability mechanisms.”  It describes the following attributes of this accountability mechanism: </w:t>
            </w:r>
          </w:p>
          <w:p w:rsidR="005447FA" w:rsidRDefault="005447FA" w:rsidP="005447FA">
            <w:r>
              <w:t>•</w:t>
            </w:r>
            <w:r>
              <w:tab/>
              <w:t>“ICANN, as a California Not-for-Profit Public Benefit Corporation, is obligated to follow the laws of the State of California.”</w:t>
            </w:r>
          </w:p>
          <w:p w:rsidR="005447FA" w:rsidRDefault="005447FA" w:rsidP="005447FA">
            <w:r>
              <w:t>•</w:t>
            </w:r>
            <w:r>
              <w:tab/>
              <w:t xml:space="preserve">“ICANN is also subject to both California and U.S. laws and regulations regarding ICANN's tax-exempt, public benefit status” which “require ICANN to act in furtherance of its stated public benefit purposes.” </w:t>
            </w:r>
          </w:p>
          <w:p w:rsidR="005447FA" w:rsidRDefault="005447FA" w:rsidP="005447FA">
            <w:r>
              <w:t>•</w:t>
            </w:r>
            <w:r>
              <w:tab/>
              <w:t xml:space="preserve">Under these laws, “all ICANN Directors hold a fiduciary duty to act in the best interests of ICANN, and not for their own personal (or business) benefit.” </w:t>
            </w:r>
          </w:p>
          <w:p w:rsidR="003A5D8F" w:rsidRDefault="005447FA" w:rsidP="005447FA">
            <w:r>
              <w:t>•</w:t>
            </w:r>
            <w:r>
              <w:tab/>
              <w:t>Also under these laws, “ICANN has the ability to sue and be sued for its actions and to be held responsible in a court of proper jurisdiction for its dealings with the global community.</w:t>
            </w:r>
          </w:p>
          <w:p w:rsidR="001777B9" w:rsidRPr="008F7F16" w:rsidRDefault="001777B9" w:rsidP="001777B9">
            <w:pPr>
              <w:tabs>
                <w:tab w:val="left" w:pos="0"/>
              </w:tabs>
              <w:spacing w:after="60"/>
              <w:ind w:right="432"/>
              <w:textAlignment w:val="baseline"/>
              <w:rPr>
                <w:rFonts w:ascii="Calibri" w:eastAsia="Arial" w:hAnsi="Calibri" w:cs="Calibri"/>
                <w:color w:val="0C2F62"/>
              </w:rPr>
            </w:pPr>
            <w:r w:rsidRPr="008F7F16">
              <w:rPr>
                <w:rFonts w:ascii="Calibri" w:eastAsia="Arial" w:hAnsi="Calibri" w:cs="Calibri"/>
                <w:b/>
                <w:i/>
                <w:color w:val="000000"/>
              </w:rPr>
              <w:t>Annex 14</w:t>
            </w:r>
            <w:r>
              <w:rPr>
                <w:rFonts w:ascii="Calibri" w:eastAsia="Arial" w:hAnsi="Calibri" w:cs="Calibri"/>
                <w:b/>
                <w:i/>
                <w:color w:val="000000"/>
              </w:rPr>
              <w:t>:</w:t>
            </w:r>
            <w:r w:rsidRPr="008F7F16">
              <w:rPr>
                <w:rFonts w:ascii="Calibri" w:eastAsia="Arial" w:hAnsi="Calibri" w:cs="Calibri"/>
                <w:i/>
                <w:color w:val="000000"/>
              </w:rPr>
              <w:t xml:space="preserve"> </w:t>
            </w:r>
            <w:r>
              <w:rPr>
                <w:rFonts w:ascii="Calibri" w:eastAsia="Arial" w:hAnsi="Calibri" w:cs="Calibri"/>
                <w:i/>
                <w:color w:val="000000"/>
              </w:rPr>
              <w:t xml:space="preserve">The </w:t>
            </w:r>
            <w:r w:rsidRPr="008F7F16">
              <w:rPr>
                <w:rFonts w:ascii="Calibri" w:eastAsia="Arial" w:hAnsi="Calibri" w:cs="Calibri"/>
                <w:i/>
                <w:color w:val="000000"/>
              </w:rPr>
              <w:t xml:space="preserve">Final Proposal satisfies the </w:t>
            </w:r>
            <w:r>
              <w:rPr>
                <w:rFonts w:ascii="Calibri" w:eastAsia="Arial" w:hAnsi="Calibri" w:cs="Calibri"/>
                <w:i/>
                <w:color w:val="000000"/>
              </w:rPr>
              <w:t xml:space="preserve">NTIA </w:t>
            </w:r>
            <w:r w:rsidRPr="008F7F16">
              <w:rPr>
                <w:rFonts w:ascii="Calibri" w:eastAsia="Arial" w:hAnsi="Calibri" w:cs="Calibri"/>
                <w:i/>
                <w:color w:val="000000"/>
              </w:rPr>
              <w:t>criterion of “</w:t>
            </w:r>
            <w:r w:rsidRPr="00191B22">
              <w:rPr>
                <w:rFonts w:ascii="Calibri" w:eastAsia="Arial" w:hAnsi="Calibri" w:cs="Calibri"/>
                <w:color w:val="000000"/>
              </w:rPr>
              <w:t>Meet the needs and expectation of the global customers and partners of the IANA services</w:t>
            </w:r>
            <w:r w:rsidRPr="008F7F16">
              <w:rPr>
                <w:rFonts w:ascii="Calibri" w:eastAsia="Arial" w:hAnsi="Calibri" w:cs="Calibri"/>
                <w:color w:val="0C2F62"/>
              </w:rPr>
              <w:t xml:space="preserve">” </w:t>
            </w:r>
            <w:r w:rsidRPr="008F7F16">
              <w:rPr>
                <w:rFonts w:ascii="Calibri" w:eastAsia="Arial" w:hAnsi="Calibri" w:cs="Calibri"/>
                <w:i/>
                <w:color w:val="0C2F62"/>
              </w:rPr>
              <w:t>in two ways:</w:t>
            </w:r>
          </w:p>
          <w:p w:rsidR="001777B9" w:rsidRDefault="001777B9" w:rsidP="001777B9">
            <w:pPr>
              <w:numPr>
                <w:ilvl w:val="0"/>
                <w:numId w:val="1"/>
              </w:numPr>
              <w:tabs>
                <w:tab w:val="left" w:pos="720"/>
              </w:tabs>
              <w:spacing w:after="60"/>
              <w:ind w:left="1224" w:hanging="864"/>
              <w:textAlignment w:val="baseline"/>
            </w:pPr>
            <w:r w:rsidRPr="008F7F16">
              <w:rPr>
                <w:rFonts w:ascii="Calibri" w:eastAsia="Arial" w:hAnsi="Calibri" w:cs="Calibri"/>
                <w:color w:val="000000"/>
              </w:rPr>
              <w:t>Legally enforceable powers.…</w:t>
            </w:r>
          </w:p>
        </w:tc>
      </w:tr>
    </w:tbl>
    <w:p w:rsidR="00967EE2" w:rsidRDefault="00967EE2">
      <w:bookmarkStart w:id="0" w:name="_GoBack"/>
      <w:bookmarkEnd w:id="0"/>
    </w:p>
    <w:sectPr w:rsidR="00967EE2" w:rsidSect="00385CD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3AAF"/>
    <w:multiLevelType w:val="multilevel"/>
    <w:tmpl w:val="0922D6C4"/>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23"/>
    <w:rsid w:val="000668A5"/>
    <w:rsid w:val="001777B9"/>
    <w:rsid w:val="00385CD3"/>
    <w:rsid w:val="00386B1D"/>
    <w:rsid w:val="003A5D8F"/>
    <w:rsid w:val="004F1AD0"/>
    <w:rsid w:val="005447FA"/>
    <w:rsid w:val="00967EE2"/>
    <w:rsid w:val="009A4923"/>
    <w:rsid w:val="009D23FE"/>
    <w:rsid w:val="00A96EA9"/>
    <w:rsid w:val="00D41A4B"/>
    <w:rsid w:val="00E245BC"/>
    <w:rsid w:val="00F8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dcterms:created xsi:type="dcterms:W3CDTF">2017-06-12T04:46:00Z</dcterms:created>
  <dcterms:modified xsi:type="dcterms:W3CDTF">2017-06-12T05:57:00Z</dcterms:modified>
</cp:coreProperties>
</file>