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43CD" w:rsidRDefault="000C1B9D">
      <w:pPr>
        <w:jc w:val="center"/>
      </w:pPr>
      <w:bookmarkStart w:id="0" w:name="_gjdgxs" w:colFirst="0" w:colLast="0"/>
      <w:bookmarkStart w:id="1" w:name="_GoBack"/>
      <w:bookmarkEnd w:id="0"/>
      <w:bookmarkEnd w:id="1"/>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Court/Venue:</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Choice of Law/Governing Law:</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Date Case Began:</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Issues Presented:</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Preliminary Relief?:</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Outcome:</w:t>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Was Jurisdiction Contested?</w:t>
            </w:r>
            <w:r>
              <w:rPr>
                <w:sz w:val="24"/>
                <w:szCs w:val="24"/>
                <w:vertAlign w:val="superscript"/>
              </w:rPr>
              <w:footnoteReference w:id="2"/>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Effect on our Work:</w:t>
            </w:r>
            <w:r>
              <w:rPr>
                <w:sz w:val="24"/>
                <w:szCs w:val="24"/>
                <w:vertAlign w:val="superscript"/>
              </w:rPr>
              <w:footnoteReference w:id="3"/>
            </w:r>
          </w:p>
        </w:tc>
        <w:tc>
          <w:tcPr>
            <w:tcW w:w="9378" w:type="dxa"/>
          </w:tcPr>
          <w:p w:rsidR="00BB43CD" w:rsidRDefault="00BB43CD">
            <w:pPr>
              <w:contextualSpacing w:val="0"/>
            </w:pPr>
          </w:p>
        </w:tc>
      </w:tr>
      <w:tr w:rsidR="00BB43CD">
        <w:tc>
          <w:tcPr>
            <w:tcW w:w="3798" w:type="dxa"/>
          </w:tcPr>
          <w:p w:rsidR="00BB43CD" w:rsidRDefault="000C1B9D">
            <w:pPr>
              <w:contextualSpacing w:val="0"/>
            </w:pPr>
            <w:r>
              <w:rPr>
                <w:sz w:val="24"/>
                <w:szCs w:val="24"/>
              </w:rPr>
              <w:t>Key Documents:</w:t>
            </w:r>
          </w:p>
        </w:tc>
        <w:tc>
          <w:tcPr>
            <w:tcW w:w="9378" w:type="dxa"/>
          </w:tcPr>
          <w:p w:rsidR="00BB43CD" w:rsidRDefault="00BB43CD">
            <w:pPr>
              <w:contextualSpacing w:val="0"/>
            </w:pPr>
          </w:p>
        </w:tc>
      </w:tr>
    </w:tbl>
    <w:p w:rsidR="00BB43CD" w:rsidRDefault="00BB43CD"/>
    <w:sectPr w:rsidR="00BB43CD">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1B9D">
      <w:pPr>
        <w:spacing w:after="0" w:line="240" w:lineRule="auto"/>
      </w:pPr>
      <w:r>
        <w:separator/>
      </w:r>
    </w:p>
  </w:endnote>
  <w:endnote w:type="continuationSeparator" w:id="0">
    <w:p w:rsidR="00000000" w:rsidRDefault="000C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1B9D">
      <w:pPr>
        <w:spacing w:after="0" w:line="240" w:lineRule="auto"/>
      </w:pPr>
      <w:r>
        <w:separator/>
      </w:r>
    </w:p>
  </w:footnote>
  <w:footnote w:type="continuationSeparator" w:id="0">
    <w:p w:rsidR="00000000" w:rsidRDefault="000C1B9D">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Indicate whether each party is Plaintiff (P) or Defe</w:t>
      </w:r>
      <w:r>
        <w:t xml:space="preserve">ndant (D), or other status.  Please also list non-party participants, such as  Amicus Curiae (AC). </w:t>
      </w:r>
    </w:p>
  </w:footnote>
  <w:footnote w:id="2">
    <w:p w:rsidR="00BB43CD" w:rsidRDefault="000C1B9D">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BB43CD" w:rsidRDefault="000C1B9D">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B43CD"/>
    <w:rsid w:val="000C1B9D"/>
    <w:rsid w:val="00BB4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C1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B9D"/>
  </w:style>
  <w:style w:type="paragraph" w:styleId="Footer">
    <w:name w:val="footer"/>
    <w:basedOn w:val="Normal"/>
    <w:link w:val="FooterChar"/>
    <w:uiPriority w:val="99"/>
    <w:unhideWhenUsed/>
    <w:rsid w:val="000C1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C1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B9D"/>
  </w:style>
  <w:style w:type="paragraph" w:styleId="Footer">
    <w:name w:val="footer"/>
    <w:basedOn w:val="Normal"/>
    <w:link w:val="FooterChar"/>
    <w:uiPriority w:val="99"/>
    <w:unhideWhenUsed/>
    <w:rsid w:val="000C1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Gregory S. Shatan</cp:lastModifiedBy>
  <cp:revision>2</cp:revision>
  <dcterms:created xsi:type="dcterms:W3CDTF">2017-01-24T19:47:00Z</dcterms:created>
  <dcterms:modified xsi:type="dcterms:W3CDTF">2017-01-24T19:47:00Z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