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9A" w:rsidRPr="000F529A" w:rsidRDefault="000F529A" w:rsidP="000F529A">
      <w:pPr>
        <w:spacing w:after="150" w:line="240" w:lineRule="auto"/>
        <w:textAlignment w:val="baseline"/>
        <w:outlineLvl w:val="0"/>
        <w:rPr>
          <w:rFonts w:ascii="Arial" w:eastAsia="Times New Roman" w:hAnsi="Arial" w:cs="Arial"/>
          <w:bCs/>
          <w:color w:val="444444"/>
          <w:kern w:val="36"/>
          <w:sz w:val="24"/>
          <w:szCs w:val="24"/>
        </w:rPr>
      </w:pPr>
      <w:r>
        <w:rPr>
          <w:rFonts w:ascii="Arial" w:eastAsia="Times New Roman" w:hAnsi="Arial" w:cs="Arial"/>
          <w:bCs/>
          <w:color w:val="444444"/>
          <w:kern w:val="36"/>
          <w:sz w:val="24"/>
          <w:szCs w:val="24"/>
        </w:rPr>
        <w:fldChar w:fldCharType="begin"/>
      </w:r>
      <w:r>
        <w:rPr>
          <w:rFonts w:ascii="Arial" w:eastAsia="Times New Roman" w:hAnsi="Arial" w:cs="Arial"/>
          <w:bCs/>
          <w:color w:val="444444"/>
          <w:kern w:val="36"/>
          <w:sz w:val="24"/>
          <w:szCs w:val="24"/>
        </w:rPr>
        <w:instrText xml:space="preserve"> HYPERLINK "</w:instrText>
      </w:r>
      <w:r w:rsidRPr="000F529A">
        <w:rPr>
          <w:rFonts w:ascii="Arial" w:eastAsia="Times New Roman" w:hAnsi="Arial" w:cs="Arial"/>
          <w:bCs/>
          <w:color w:val="444444"/>
          <w:kern w:val="36"/>
          <w:sz w:val="24"/>
          <w:szCs w:val="24"/>
        </w:rPr>
        <w:instrText>https://www.law360.com/articles/262952/4-steps-toward-ofac-sanctions-compliance</w:instrText>
      </w:r>
      <w:r>
        <w:rPr>
          <w:rFonts w:ascii="Arial" w:eastAsia="Times New Roman" w:hAnsi="Arial" w:cs="Arial"/>
          <w:bCs/>
          <w:color w:val="444444"/>
          <w:kern w:val="36"/>
          <w:sz w:val="24"/>
          <w:szCs w:val="24"/>
        </w:rPr>
        <w:instrText xml:space="preserve">" </w:instrText>
      </w:r>
      <w:r>
        <w:rPr>
          <w:rFonts w:ascii="Arial" w:eastAsia="Times New Roman" w:hAnsi="Arial" w:cs="Arial"/>
          <w:bCs/>
          <w:color w:val="444444"/>
          <w:kern w:val="36"/>
          <w:sz w:val="24"/>
          <w:szCs w:val="24"/>
        </w:rPr>
        <w:fldChar w:fldCharType="separate"/>
      </w:r>
      <w:r w:rsidRPr="009B547C">
        <w:rPr>
          <w:rStyle w:val="Hyperlink"/>
          <w:rFonts w:ascii="Arial" w:eastAsia="Times New Roman" w:hAnsi="Arial" w:cs="Arial"/>
          <w:bCs/>
          <w:kern w:val="36"/>
          <w:sz w:val="24"/>
          <w:szCs w:val="24"/>
        </w:rPr>
        <w:t>https://www.law360.com/articles/262952/4-steps-toward-ofac-sanctions-compliance</w:t>
      </w:r>
      <w:r>
        <w:rPr>
          <w:rFonts w:ascii="Arial" w:eastAsia="Times New Roman" w:hAnsi="Arial" w:cs="Arial"/>
          <w:bCs/>
          <w:color w:val="444444"/>
          <w:kern w:val="36"/>
          <w:sz w:val="24"/>
          <w:szCs w:val="24"/>
        </w:rPr>
        <w:fldChar w:fldCharType="end"/>
      </w:r>
      <w:r>
        <w:rPr>
          <w:rFonts w:ascii="Arial" w:eastAsia="Times New Roman" w:hAnsi="Arial" w:cs="Arial"/>
          <w:bCs/>
          <w:color w:val="444444"/>
          <w:kern w:val="36"/>
          <w:sz w:val="24"/>
          <w:szCs w:val="24"/>
        </w:rPr>
        <w:t xml:space="preserve"> </w:t>
      </w:r>
      <w:bookmarkStart w:id="0" w:name="_GoBack"/>
      <w:bookmarkEnd w:id="0"/>
    </w:p>
    <w:p w:rsidR="000F529A" w:rsidRPr="000F529A" w:rsidRDefault="000F529A" w:rsidP="000F529A">
      <w:pPr>
        <w:spacing w:after="150" w:line="240" w:lineRule="auto"/>
        <w:textAlignment w:val="baseline"/>
        <w:outlineLvl w:val="0"/>
        <w:rPr>
          <w:rFonts w:ascii="Arial" w:eastAsia="Times New Roman" w:hAnsi="Arial" w:cs="Arial"/>
          <w:b/>
          <w:bCs/>
          <w:color w:val="444444"/>
          <w:kern w:val="36"/>
          <w:sz w:val="45"/>
          <w:szCs w:val="45"/>
        </w:rPr>
      </w:pPr>
      <w:r w:rsidRPr="000F529A">
        <w:rPr>
          <w:rFonts w:ascii="Arial" w:eastAsia="Times New Roman" w:hAnsi="Arial" w:cs="Arial"/>
          <w:b/>
          <w:bCs/>
          <w:color w:val="444444"/>
          <w:kern w:val="36"/>
          <w:sz w:val="45"/>
          <w:szCs w:val="45"/>
        </w:rPr>
        <w:t xml:space="preserve">4 Steps </w:t>
      </w:r>
      <w:proofErr w:type="gramStart"/>
      <w:r w:rsidRPr="000F529A">
        <w:rPr>
          <w:rFonts w:ascii="Arial" w:eastAsia="Times New Roman" w:hAnsi="Arial" w:cs="Arial"/>
          <w:b/>
          <w:bCs/>
          <w:color w:val="444444"/>
          <w:kern w:val="36"/>
          <w:sz w:val="45"/>
          <w:szCs w:val="45"/>
        </w:rPr>
        <w:t>Toward</w:t>
      </w:r>
      <w:proofErr w:type="gramEnd"/>
      <w:r w:rsidRPr="000F529A">
        <w:rPr>
          <w:rFonts w:ascii="Arial" w:eastAsia="Times New Roman" w:hAnsi="Arial" w:cs="Arial"/>
          <w:b/>
          <w:bCs/>
          <w:color w:val="444444"/>
          <w:kern w:val="36"/>
          <w:sz w:val="45"/>
          <w:szCs w:val="45"/>
        </w:rPr>
        <w:t xml:space="preserve"> OFAC Sanctions Compliance</w:t>
      </w:r>
    </w:p>
    <w:p w:rsidR="000F529A" w:rsidRPr="000F529A" w:rsidRDefault="000F529A" w:rsidP="000F529A">
      <w:pPr>
        <w:pBdr>
          <w:top w:val="single" w:sz="6" w:space="4" w:color="EAEAEA"/>
          <w:bottom w:val="single" w:sz="6" w:space="4" w:color="EAEAEA"/>
        </w:pBdr>
        <w:spacing w:after="0" w:line="240" w:lineRule="atLeast"/>
        <w:textAlignment w:val="baseline"/>
        <w:rPr>
          <w:rFonts w:ascii="Arial" w:eastAsia="Times New Roman" w:hAnsi="Arial" w:cs="Arial"/>
          <w:color w:val="444444"/>
          <w:sz w:val="18"/>
          <w:szCs w:val="18"/>
        </w:rPr>
      </w:pPr>
      <w:r w:rsidRPr="000F529A">
        <w:rPr>
          <w:rFonts w:ascii="Arial" w:eastAsia="Times New Roman" w:hAnsi="Arial" w:cs="Arial"/>
          <w:color w:val="444444"/>
          <w:sz w:val="18"/>
          <w:szCs w:val="18"/>
          <w:bdr w:val="none" w:sz="0" w:space="0" w:color="auto" w:frame="1"/>
        </w:rPr>
        <w:t> August 12, 2011, 10:53 AM EDT</w:t>
      </w:r>
    </w:p>
    <w:p w:rsidR="000F529A" w:rsidRPr="000F529A" w:rsidRDefault="000F529A" w:rsidP="000F529A">
      <w:pPr>
        <w:spacing w:after="0" w:line="360" w:lineRule="atLeast"/>
        <w:textAlignment w:val="baseline"/>
        <w:rPr>
          <w:rFonts w:ascii="Arial" w:eastAsia="Times New Roman" w:hAnsi="Arial" w:cs="Arial"/>
          <w:color w:val="444444"/>
          <w:sz w:val="23"/>
          <w:szCs w:val="23"/>
        </w:rPr>
      </w:pPr>
      <w:r w:rsidRPr="000F529A">
        <w:rPr>
          <w:rFonts w:ascii="Arial" w:eastAsia="Times New Roman" w:hAnsi="Arial" w:cs="Arial"/>
          <w:color w:val="444444"/>
          <w:sz w:val="23"/>
          <w:szCs w:val="23"/>
        </w:rPr>
        <w:t>Law360, New York (August 12, 2011, 10:53 AM EDT) -- Your company may not be interested in the </w:t>
      </w:r>
      <w:hyperlink r:id="rId6" w:history="1">
        <w:r w:rsidRPr="000F529A">
          <w:rPr>
            <w:rFonts w:ascii="Arial" w:eastAsia="Times New Roman" w:hAnsi="Arial" w:cs="Arial"/>
            <w:color w:val="00427F"/>
            <w:sz w:val="23"/>
            <w:szCs w:val="23"/>
            <w:u w:val="single"/>
          </w:rPr>
          <w:t>Office of Foreign Assets Control</w:t>
        </w:r>
      </w:hyperlink>
      <w:r w:rsidRPr="000F529A">
        <w:rPr>
          <w:rFonts w:ascii="Arial" w:eastAsia="Times New Roman" w:hAnsi="Arial" w:cs="Arial"/>
          <w:color w:val="444444"/>
          <w:sz w:val="23"/>
          <w:szCs w:val="23"/>
        </w:rPr>
        <w:t> (OFAC), but recent statistics show that OFAC is increasingly interested in your company. Over the last several years, the number and monetary value of enforcement activities by OFAC have risen dramatically. In 2007, OFAC collected a total of $3.5 million in civil penalties and settlements. In 2009 and 2010, that cumulative number jumped to just under $1 billion. </w:t>
      </w:r>
      <w:r w:rsidRPr="000F529A">
        <w:rPr>
          <w:rFonts w:ascii="Arial" w:eastAsia="Times New Roman" w:hAnsi="Arial" w:cs="Arial"/>
          <w:color w:val="444444"/>
          <w:sz w:val="23"/>
          <w:szCs w:val="23"/>
        </w:rPr>
        <w:br/>
        <w:t>Criminal enforcement actions are on the rise as well. The unfortunate reality is that OFAC impacts companies in a wide variety of sectors — from financial institutions, to cargo, shipping, and freight-forwarding companies, to international conglomerates, to domestic companies with overseas vendors. All of these types of companies would be well served to take some inexpensive, basic affirmative steps now to avoid OFAC violations in the future.</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b/>
          <w:bCs/>
          <w:color w:val="444444"/>
          <w:sz w:val="24"/>
          <w:szCs w:val="24"/>
          <w:bdr w:val="none" w:sz="0" w:space="0" w:color="auto" w:frame="1"/>
        </w:rPr>
        <w:t>Overview of OFAC Enforcement</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OFAC is an office in the U.S. Department of Treasury responsible for administering and enforcing economic and trade sanctions and embargoes against individuals and countries. The sanctions are designed to advance the United States’ foreign policy and national security interests. The relevant OFAC regulations relating to these embargoes are found in Title 31 of the Code of Federal Regulations.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In October 2007, Congress enacted the International Emergency Economic Powers Enhancement Act. Pursuant to the act, the maximum civil penalties for violations of OFAC sanctions increased from a statutory maximum of $11,000 per violation to the greater of $250,000 or twice the value of the impermissible transaction per violation.</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Criminal violations of the regulations — which involve willful violations of the sanctions regulations — can lead to fines of up to $1 million and a 20-year prison sentence. Given that OFAC may find several violations associated with a single transaction — or identify several problematic transactions during the course of an investigation — a company can face significant liability. The enactment of the act in 2007 is likely one factor in the </w:t>
      </w:r>
      <w:r w:rsidRPr="000F529A">
        <w:rPr>
          <w:rFonts w:ascii="Arial" w:eastAsia="Times New Roman" w:hAnsi="Arial" w:cs="Arial"/>
          <w:color w:val="444444"/>
          <w:sz w:val="23"/>
          <w:szCs w:val="23"/>
        </w:rPr>
        <w:lastRenderedPageBreak/>
        <w:t>significant increase in OFAC penalties mentioned above.</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b/>
          <w:bCs/>
          <w:color w:val="444444"/>
          <w:sz w:val="24"/>
          <w:szCs w:val="24"/>
          <w:bdr w:val="none" w:sz="0" w:space="0" w:color="auto" w:frame="1"/>
        </w:rPr>
        <w:t>Summary of OFAC Sanctions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proofErr w:type="gramStart"/>
      <w:r w:rsidRPr="000F529A">
        <w:rPr>
          <w:rFonts w:ascii="Arial" w:eastAsia="Times New Roman" w:hAnsi="Arial" w:cs="Arial"/>
          <w:color w:val="444444"/>
          <w:sz w:val="23"/>
          <w:szCs w:val="23"/>
        </w:rPr>
        <w:t>There</w:t>
      </w:r>
      <w:proofErr w:type="gramEnd"/>
      <w:r w:rsidRPr="000F529A">
        <w:rPr>
          <w:rFonts w:ascii="Arial" w:eastAsia="Times New Roman" w:hAnsi="Arial" w:cs="Arial"/>
          <w:color w:val="444444"/>
          <w:sz w:val="23"/>
          <w:szCs w:val="23"/>
        </w:rPr>
        <w:t xml:space="preserve"> are two general categories of OFAC sanctions: country-based sanctions programs and list-based sanctions programs. The country-based programs have broad, country-wide sanctions against four countries: Burma, Cuba, Iran and Sudan.[1] The prohibitions in the relevant regulations vary somewhat on a country-to-country basis, but the relevant regulations generally prohibit United States persons (both juristic and natural) from doing business with or in the targeted countries absent a license from OFAC.[2]</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The regulations do, however, contain various exemptions permitting certain transactions that would otherwise be prohibited. For example, personal communications and humanitarian donations to relieve human suffering activities are permitted under all of the country-based sanctions</w:t>
      </w:r>
      <w:proofErr w:type="gramStart"/>
      <w:r w:rsidRPr="000F529A">
        <w:rPr>
          <w:rFonts w:ascii="Arial" w:eastAsia="Times New Roman" w:hAnsi="Arial" w:cs="Arial"/>
          <w:color w:val="444444"/>
          <w:sz w:val="23"/>
          <w:szCs w:val="23"/>
        </w:rPr>
        <w:t>.[</w:t>
      </w:r>
      <w:proofErr w:type="gramEnd"/>
      <w:r w:rsidRPr="000F529A">
        <w:rPr>
          <w:rFonts w:ascii="Arial" w:eastAsia="Times New Roman" w:hAnsi="Arial" w:cs="Arial"/>
          <w:color w:val="444444"/>
          <w:sz w:val="23"/>
          <w:szCs w:val="23"/>
        </w:rPr>
        <w:t>3]</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By contrast, OFAC’s list-based sanctions prohibit transactions between U.S. persons and individuals and entities expressly identified by the treasury or listed in an executive order. The list-based sanctions apply to these blocked persons in specific countries (e.g., Belarus, Ivory Coast, </w:t>
      </w:r>
      <w:proofErr w:type="gramStart"/>
      <w:r w:rsidRPr="000F529A">
        <w:rPr>
          <w:rFonts w:ascii="Arial" w:eastAsia="Times New Roman" w:hAnsi="Arial" w:cs="Arial"/>
          <w:color w:val="444444"/>
          <w:sz w:val="23"/>
          <w:szCs w:val="23"/>
        </w:rPr>
        <w:t>Zimbabwe</w:t>
      </w:r>
      <w:proofErr w:type="gramEnd"/>
      <w:r w:rsidRPr="000F529A">
        <w:rPr>
          <w:rFonts w:ascii="Arial" w:eastAsia="Times New Roman" w:hAnsi="Arial" w:cs="Arial"/>
          <w:color w:val="444444"/>
          <w:sz w:val="23"/>
          <w:szCs w:val="23"/>
        </w:rPr>
        <w:t>) as well as individuals and entities participating in certain activities (e.g., narcotics trafficking, terrorism and proliferation of weapons of mass destruction). OFAC maintains a list of specially designated nationals ("SDN") that includes all of the blocked persons that are targeted by the list-based sanctions.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b/>
          <w:bCs/>
          <w:color w:val="444444"/>
          <w:sz w:val="24"/>
          <w:szCs w:val="24"/>
          <w:bdr w:val="none" w:sz="0" w:space="0" w:color="auto" w:frame="1"/>
        </w:rPr>
        <w:t xml:space="preserve">Steps Companies Should </w:t>
      </w:r>
      <w:proofErr w:type="gramStart"/>
      <w:r w:rsidRPr="000F529A">
        <w:rPr>
          <w:rFonts w:ascii="Arial" w:eastAsia="Times New Roman" w:hAnsi="Arial" w:cs="Arial"/>
          <w:b/>
          <w:bCs/>
          <w:color w:val="444444"/>
          <w:sz w:val="24"/>
          <w:szCs w:val="24"/>
          <w:bdr w:val="none" w:sz="0" w:space="0" w:color="auto" w:frame="1"/>
        </w:rPr>
        <w:t>Take</w:t>
      </w:r>
      <w:proofErr w:type="gramEnd"/>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Given the recent uptick in enforcement and the severe penalties associated with noncompliance, American companies should consider implementing policies to avoid possible OFAC problems and minimize their potential liability. As a threshold step, all companies should assess their risk for violating OFAC sanctions. Second, companies with potential risk should consider purchasing interdiction software that allows them to check their employees, vendors and customers against OFAC’s SDN list.</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Third, these companies should provide OFAC training to employees in foreign offices that pose the greatest risk of violating applicable sanctions. Finally, all companies should adopt clear internal policies that prohibit all trade with countries subject to the country-based </w:t>
      </w:r>
      <w:r w:rsidRPr="000F529A">
        <w:rPr>
          <w:rFonts w:ascii="Arial" w:eastAsia="Times New Roman" w:hAnsi="Arial" w:cs="Arial"/>
          <w:color w:val="444444"/>
          <w:sz w:val="23"/>
          <w:szCs w:val="23"/>
        </w:rPr>
        <w:lastRenderedPageBreak/>
        <w:t>sanction programs. Each step is discussed in greater detail below.</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b/>
          <w:bCs/>
          <w:color w:val="444444"/>
          <w:sz w:val="24"/>
          <w:szCs w:val="24"/>
          <w:bdr w:val="none" w:sz="0" w:space="0" w:color="auto" w:frame="1"/>
        </w:rPr>
        <w:t>1) Assess OFAC Risk</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proofErr w:type="gramStart"/>
      <w:r w:rsidRPr="000F529A">
        <w:rPr>
          <w:rFonts w:ascii="Arial" w:eastAsia="Times New Roman" w:hAnsi="Arial" w:cs="Arial"/>
          <w:color w:val="444444"/>
          <w:sz w:val="23"/>
          <w:szCs w:val="23"/>
        </w:rPr>
        <w:t>Not</w:t>
      </w:r>
      <w:proofErr w:type="gramEnd"/>
      <w:r w:rsidRPr="000F529A">
        <w:rPr>
          <w:rFonts w:ascii="Arial" w:eastAsia="Times New Roman" w:hAnsi="Arial" w:cs="Arial"/>
          <w:color w:val="444444"/>
          <w:sz w:val="23"/>
          <w:szCs w:val="23"/>
        </w:rPr>
        <w:t xml:space="preserve"> all companies face the same level of OFAC risk. For example, companies that are involved in international shipping and freight-forwarding as well as corporations that provide financial services overseas are on the high-risk end of the spectrum. By contrast, companies that operate exclusively in the United States with no vendors, employees or customers overseas are less likely to run afoul of OFAC’s regulations.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Most companies, of course, will be somewhere between these two extremes. Indeed, for certain types of businesses — the securities industry and charitable organizations — OFAC has provided risk matrixes to help companies assess their risk profile. To the extent that your company fits into one of these categories, the risk matrixes provide useful guidance on factors to consider for assessing potential liability.</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Companies in sectors for which OFAC has not published risk matrixes should consider several factors when assessing their potential OFAC risk. Industries involved in trade and exporting U.S. goods pose a high risk of noncompliance. The parts of the world in which a company operates can also be illustrative of the potential risk involved.</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For example, foreign branches in the United Kingdom are probably less likely to violate OFAC sanctions than an affiliate in a non-Western country that has different political culture and foreign policy ideology. A company’s vendors and customers can be indicative of potential compliance risks as well. More details about potentially risky areas are discussed below.</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b/>
          <w:bCs/>
          <w:color w:val="444444"/>
          <w:sz w:val="24"/>
          <w:szCs w:val="24"/>
          <w:bdr w:val="none" w:sz="0" w:space="0" w:color="auto" w:frame="1"/>
        </w:rPr>
        <w:t>2) Consider Purchasing Interdiction Software</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If a company determines that it is at risk of violating OFAC </w:t>
      </w:r>
      <w:proofErr w:type="gramStart"/>
      <w:r w:rsidRPr="000F529A">
        <w:rPr>
          <w:rFonts w:ascii="Arial" w:eastAsia="Times New Roman" w:hAnsi="Arial" w:cs="Arial"/>
          <w:color w:val="444444"/>
          <w:sz w:val="23"/>
          <w:szCs w:val="23"/>
        </w:rPr>
        <w:t>sanctions,</w:t>
      </w:r>
      <w:proofErr w:type="gramEnd"/>
      <w:r w:rsidRPr="000F529A">
        <w:rPr>
          <w:rFonts w:ascii="Arial" w:eastAsia="Times New Roman" w:hAnsi="Arial" w:cs="Arial"/>
          <w:color w:val="444444"/>
          <w:sz w:val="23"/>
          <w:szCs w:val="23"/>
        </w:rPr>
        <w:t xml:space="preserve"> it should consider acquiring interdiction software to minimize the possibility of OFAC violations. This type of software allows companies to check their employees, vendors, customers and other relevant parties against the SDN list and other restricted party lists (e.g., the </w:t>
      </w:r>
      <w:hyperlink r:id="rId7" w:history="1">
        <w:r w:rsidRPr="000F529A">
          <w:rPr>
            <w:rFonts w:ascii="Arial" w:eastAsia="Times New Roman" w:hAnsi="Arial" w:cs="Arial"/>
            <w:color w:val="00427F"/>
            <w:sz w:val="23"/>
            <w:szCs w:val="23"/>
            <w:u w:val="single"/>
          </w:rPr>
          <w:t>Bureau of Industry and Security</w:t>
        </w:r>
      </w:hyperlink>
      <w:r w:rsidRPr="000F529A">
        <w:rPr>
          <w:rFonts w:ascii="Arial" w:eastAsia="Times New Roman" w:hAnsi="Arial" w:cs="Arial"/>
          <w:color w:val="444444"/>
          <w:sz w:val="23"/>
          <w:szCs w:val="23"/>
        </w:rPr>
        <w:t>'s Denied Persons List, State Department Debarred List, etc.).</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All interdiction software serves the same general function: to help a company confirm that it </w:t>
      </w:r>
      <w:r w:rsidRPr="000F529A">
        <w:rPr>
          <w:rFonts w:ascii="Arial" w:eastAsia="Times New Roman" w:hAnsi="Arial" w:cs="Arial"/>
          <w:color w:val="444444"/>
          <w:sz w:val="23"/>
          <w:szCs w:val="23"/>
        </w:rPr>
        <w:lastRenderedPageBreak/>
        <w:t>does not become involved with the wrong people or entities. The best interdiction software for a company will depend on its industry, current computer system and the way in which it intends to use the software.</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For example, companies that plan on using the software daily to confirm that no parties involved with an international shipping transaction are blocked may prefer a more customizable type of software, while a company that plans to use the interdiction software sporadically to confirm the status of new employees or vendors may be able to use a more standard version. Given the relatively low cost of the software and the high cost of violating OFAC regulations, purchasing and implementing interdiction software if often a good investment for companies.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b/>
          <w:bCs/>
          <w:color w:val="444444"/>
          <w:sz w:val="24"/>
          <w:szCs w:val="24"/>
          <w:bdr w:val="none" w:sz="0" w:space="0" w:color="auto" w:frame="1"/>
        </w:rPr>
        <w:t>3) Implement OFAC Training</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proofErr w:type="gramStart"/>
      <w:r w:rsidRPr="000F529A">
        <w:rPr>
          <w:rFonts w:ascii="Arial" w:eastAsia="Times New Roman" w:hAnsi="Arial" w:cs="Arial"/>
          <w:color w:val="444444"/>
          <w:sz w:val="23"/>
          <w:szCs w:val="23"/>
        </w:rPr>
        <w:t>The</w:t>
      </w:r>
      <w:proofErr w:type="gramEnd"/>
      <w:r w:rsidRPr="000F529A">
        <w:rPr>
          <w:rFonts w:ascii="Arial" w:eastAsia="Times New Roman" w:hAnsi="Arial" w:cs="Arial"/>
          <w:color w:val="444444"/>
          <w:sz w:val="23"/>
          <w:szCs w:val="23"/>
        </w:rPr>
        <w:t xml:space="preserve"> best — and only — way for companies to comply successfully with OFAC sanctions is for its employees to be familiar with the relevant prohibitions and understand the deleterious effects violations can have on the company. Education is best accomplished through live training followed by testing to ensure that employees sufficiently understand the material presented.</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Initiating training and testing programs, however, are expensive endeavors, especially for large multinational corporations with employees working in offices across the world. A company’s decision whether or not to institute OFAC training — like all compliance measures — involves weighing the costs of remedial programs against the potential liabilities that could accrue through noncompliance.</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In light of this reality, companies with an international presence would be well served to evaluate their existing compliance programs to determine if their personnel have received adequate training on OFAC issues. If additional training would be beneficial, then companies should prioritize training employees in offices most at risk of violating the sanctions.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Offices in certain countries are disproportionately likely to engage in prohibited transactions due to their culture, past history, or an unawareness of the United States’ foreign policy. Facts that suggest an office may pose a greater compliance risk include</w:t>
      </w:r>
      <w:proofErr w:type="gramStart"/>
      <w:r w:rsidRPr="000F529A">
        <w:rPr>
          <w:rFonts w:ascii="Arial" w:eastAsia="Times New Roman" w:hAnsi="Arial" w:cs="Arial"/>
          <w:color w:val="444444"/>
          <w:sz w:val="23"/>
          <w:szCs w:val="23"/>
        </w:rPr>
        <w:t>:</w:t>
      </w:r>
      <w:proofErr w:type="gramEnd"/>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i/>
          <w:iCs/>
          <w:color w:val="444444"/>
          <w:sz w:val="23"/>
          <w:szCs w:val="23"/>
          <w:bdr w:val="none" w:sz="0" w:space="0" w:color="auto" w:frame="1"/>
        </w:rPr>
        <w:lastRenderedPageBreak/>
        <w:t>Spanish-Speaking Countries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Employees in Spanish-speaking countries might present a higher risk of engaging in transactions with Cuba given the similar cultures of the countries. A significant number of people in Spanish-speaking countries either have personally traveled to Cuba or know of relatives or friends who have traveled there. Given their familiarity with the country, they may be less likely to understand that transactions with Cuba are problematic pursuant to U.S. law.</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i/>
          <w:iCs/>
          <w:color w:val="444444"/>
          <w:sz w:val="23"/>
          <w:szCs w:val="23"/>
          <w:bdr w:val="none" w:sz="0" w:space="0" w:color="auto" w:frame="1"/>
        </w:rPr>
        <w:t>Former Communist Countries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Offices in former Communist countries might also be disproportionately likely to become involved with transactions to Cuba. These countries are former allies that have had normal diplomatic relations as well as significant trade history with Cuba. These factors all suggest that employees in these countries would view doing business with Cuba as normal.</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i/>
          <w:iCs/>
          <w:color w:val="444444"/>
          <w:sz w:val="23"/>
          <w:szCs w:val="23"/>
          <w:bdr w:val="none" w:sz="0" w:space="0" w:color="auto" w:frame="1"/>
        </w:rPr>
        <w:t>Countries in Close Proximity to Embargoed Countries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Employees working in countries that share a border or are in close proximity to an embargoed country are also likely at risk for facilitating shipments to those countries. Offices in Dubai and Turkey (because of their proximity to, and trade history with, Iran) and Kenya (because of its proximity to, and trade history with, Sudan) all pose special risks.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i/>
          <w:iCs/>
          <w:color w:val="444444"/>
          <w:sz w:val="23"/>
          <w:szCs w:val="23"/>
          <w:bdr w:val="none" w:sz="0" w:space="0" w:color="auto" w:frame="1"/>
        </w:rPr>
        <w:t>Countries That Do Not Share Aspects of America’s Foreign Policy</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Offices located in countries that do not view embargoed countries as international threats might present an elevated risk of noncompliance. For example, Turkey shares a border with Iran and may view comprehensive export embargoes on that country as unfair and harmful to its own citizens. Similarly, Spain historically has had a close relationship with Cuba, which increases the chances that Spanish citizens view the U.S. embargo on Cuba negatively.</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Employees in those countries may not perceive embargoed countries as a threat to international security or personally agree with the policy underlying America’s export regime. Accordingly, they may not view it as their responsibility to comply with U.S. sanctions.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lastRenderedPageBreak/>
        <w:br/>
      </w:r>
      <w:r w:rsidRPr="000F529A">
        <w:rPr>
          <w:rFonts w:ascii="Arial" w:eastAsia="Times New Roman" w:hAnsi="Arial" w:cs="Arial"/>
          <w:i/>
          <w:iCs/>
          <w:color w:val="444444"/>
          <w:sz w:val="23"/>
          <w:szCs w:val="23"/>
          <w:bdr w:val="none" w:sz="0" w:space="0" w:color="auto" w:frame="1"/>
        </w:rPr>
        <w:t>Countries with Low Corruption Perception Scores </w:t>
      </w:r>
      <w:r w:rsidRPr="000F529A">
        <w:rPr>
          <w:rFonts w:ascii="Arial" w:eastAsia="Times New Roman" w:hAnsi="Arial" w:cs="Arial"/>
          <w:color w:val="444444"/>
          <w:sz w:val="23"/>
          <w:szCs w:val="23"/>
        </w:rPr>
        <w:t>(i.e., high corruption risk</w:t>
      </w:r>
      <w:proofErr w:type="gramStart"/>
      <w:r w:rsidRPr="000F529A">
        <w:rPr>
          <w:rFonts w:ascii="Arial" w:eastAsia="Times New Roman" w:hAnsi="Arial" w:cs="Arial"/>
          <w:color w:val="444444"/>
          <w:sz w:val="23"/>
          <w:szCs w:val="23"/>
        </w:rPr>
        <w:t>)</w:t>
      </w:r>
      <w:proofErr w:type="gramEnd"/>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Offices located in countries with low corruption perception scores (e.g., Brazil, India, China and Russia) also pose an increased risk of violating OFAC sanctions as well as other U.S. laws.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After identifying high-risk offices, companies should provide training for employees in those offices before addressing lower-risk offices. The training should include a comprehensive review of OFAC sanctions and background on other relevant legal regimes (e.g., Foreign Corrupt Practices Act, BIS, anti-bribery, anti-boycott, anti-money laundering, etc.).</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b/>
          <w:bCs/>
          <w:color w:val="444444"/>
          <w:sz w:val="24"/>
          <w:szCs w:val="24"/>
          <w:bdr w:val="none" w:sz="0" w:space="0" w:color="auto" w:frame="1"/>
        </w:rPr>
        <w:t>4) Broad Prohibition on Trading with Embargoed Countries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Companies should also consider instituting a comprehensive ban on doing business with countries subject to country-based sanctions programs. While it may be permissible for foreign subsidiaries of U.S. parent companies to engage in transactions with the other countries in certain limited circumstances, the ambiguity of the applicable regulations and the lack of guidance from OFAC makes engaging in this type of business risky.</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The country-based sanctions generally prohibit “United States persons” from engaging in certain prohibited transactions. The Cuban sanctions are the most restrictive, prohibiting all travel and exports (without a license) by U.S. citizens, U.S. corporations, or an entity owned or controlled by U.S. persons, including foreign subsidiaries. The sanctions for Burma, Iran and Sudan are somewhat less severe and prohibit United States persons from exporting goods to or providing services to these countries.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United States persons are defined in the Burmese, Iranian and Sudanese regulations as including “foreign branches” of U.S. companies. The plain language of the regulations — apart from the Cuban sanctions — suggest that the prohibitions on exports do not apply to foreign-organized corporations or foreign entities owned and controlled by United States persons.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The fact that the regulations do not prohibit foreign subsidiaries from exporting to Burma, Iran and Sudan does not necessarily mean that transactions between foreign subsidiaries and these countries are permissible. The Burmese, Iranian and Sudanese regulations all </w:t>
      </w:r>
      <w:r w:rsidRPr="000F529A">
        <w:rPr>
          <w:rFonts w:ascii="Arial" w:eastAsia="Times New Roman" w:hAnsi="Arial" w:cs="Arial"/>
          <w:color w:val="444444"/>
          <w:sz w:val="23"/>
          <w:szCs w:val="23"/>
        </w:rPr>
        <w:lastRenderedPageBreak/>
        <w:t>prohibit the facilitation by United States persons of conduct by a foreign person that would be illegal if carried out by a United States person.</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For example, the Iranian Transaction Regulations provide that “no United States person, wherever located, may approve, finance, facilitate or guarantee any transaction by a foreign person when the transaction by that foreign person would be prohibited ... if performed by a United States person or within the United States.”[4] The Burmese and Sudanese regulations contain similar, but not identical, facilitation clauses.[5] The Cuban Asset Control Regulations do not expressly prohibit facilitation, but OFAC has taken the position that such activity is nevertheless prohibited.[6]</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The precise contours of the facilitation prohibition are not clear. The interpretative section of the Iranian Transaction Regulations explain that facilitation occurs when a United States person: (1) alters its operating policies or procedures to permit a foreign affiliate to do business with Iran without approval from a U.S. person where such transaction previously would have required such approval; (2) refers trade to Iran to a foreign subsidiary that would be prohibited if carried out by a United States person; or (3) changes the operating policies of a foreign affiliate to allow it to facilitate transactions that would be prohibited if performed by a United States person.[7]</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The Sudanese regulations define facilitation even more broadly, prohibiting any activity by a United States person that “assists or supports” prohibited transactions to Sudan.[8] The Sudanese regulations also expressly state that to avoid liability “a U.S. parent corporation must ensure that its foreign subsidiaries act independently of any U.S. person with respect to all transactions and activities” related to prohibited transactions including “business and legal planning; decision-making; designing, ordering or transporting goods; and financial, insurance, and other risks.”[9</w:t>
      </w:r>
      <w:proofErr w:type="gramStart"/>
      <w:r w:rsidRPr="000F529A">
        <w:rPr>
          <w:rFonts w:ascii="Arial" w:eastAsia="Times New Roman" w:hAnsi="Arial" w:cs="Arial"/>
          <w:color w:val="444444"/>
          <w:sz w:val="23"/>
          <w:szCs w:val="23"/>
        </w:rPr>
        <w:t>]</w:t>
      </w:r>
      <w:proofErr w:type="gramEnd"/>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The lack of clarity regarding facilitation makes it difficult for companies to determine whether a particular transaction with an embargoed country would be illegal. While assessing whether U.S. citizens were involved with any transaction may be straightforward, identifying whether any U.S. person facilitated a transaction is more complicated.</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The ambiguity on this issue raises the question of whether a U.S. parent company’s provision of seemingly tangential services to a foreign subsidiary — such as sharing an email server or supplying office space and phone lines —would violate the sanctions. </w:t>
      </w:r>
      <w:r w:rsidRPr="000F529A">
        <w:rPr>
          <w:rFonts w:ascii="Arial" w:eastAsia="Times New Roman" w:hAnsi="Arial" w:cs="Arial"/>
          <w:color w:val="444444"/>
          <w:sz w:val="23"/>
          <w:szCs w:val="23"/>
        </w:rPr>
        <w:lastRenderedPageBreak/>
        <w:t>Similarly, a foreign subsidiary’s reliance on its U.S. parent company’s compliance department for legal services and regulatory advice could show that the subsidiary was not truly independent.</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Given the complexity of the regulations, the only way a company can be sure that transactions with Burma, Iran and Sudan are permissible is to have American lawyers analyze the transactions before they occur. The involvement of America lawyers, however, could turn an otherwise permissible transaction into an illegal activity because the provision of legal advice by U.S. persons could be considered “facilitation.”</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To eliminate the facilitation concern, a company would have to remove oversight of foreign transactions from U.S. lawyers. Such an approach could lead to illegal transactions with embargoed countries because of the complexity of the regulations and also create a host of other compliance problems. Given this uncertainty and the high cost of violating the sanctions regime, the best approach is for companies is often to institute a bright-line prohibition on trading with all four countries subject to country-based sanctions.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In addition to preventing violations of OFAC sanctions, a bright-line prohibition on doing business with these countries would have other benefits as well. For example, a universal prohibition would put a company in a better position when responding to requests by the Office of Global Security Risk (OGS) at the </w:t>
      </w:r>
      <w:hyperlink r:id="rId8" w:history="1">
        <w:r w:rsidRPr="000F529A">
          <w:rPr>
            <w:rFonts w:ascii="Arial" w:eastAsia="Times New Roman" w:hAnsi="Arial" w:cs="Arial"/>
            <w:color w:val="00427F"/>
            <w:sz w:val="23"/>
            <w:szCs w:val="23"/>
            <w:u w:val="single"/>
          </w:rPr>
          <w:t>U.S. Securities and Exchange Commission</w:t>
        </w:r>
      </w:hyperlink>
      <w:r w:rsidRPr="000F529A">
        <w:rPr>
          <w:rFonts w:ascii="Arial" w:eastAsia="Times New Roman" w:hAnsi="Arial" w:cs="Arial"/>
          <w:color w:val="444444"/>
          <w:sz w:val="23"/>
          <w:szCs w:val="23"/>
        </w:rPr>
        <w:t>. The OGS is charged with “monitor[</w:t>
      </w:r>
      <w:proofErr w:type="spellStart"/>
      <w:r w:rsidRPr="000F529A">
        <w:rPr>
          <w:rFonts w:ascii="Arial" w:eastAsia="Times New Roman" w:hAnsi="Arial" w:cs="Arial"/>
          <w:color w:val="444444"/>
          <w:sz w:val="23"/>
          <w:szCs w:val="23"/>
        </w:rPr>
        <w:t>ing</w:t>
      </w:r>
      <w:proofErr w:type="spellEnd"/>
      <w:r w:rsidRPr="000F529A">
        <w:rPr>
          <w:rFonts w:ascii="Arial" w:eastAsia="Times New Roman" w:hAnsi="Arial" w:cs="Arial"/>
          <w:color w:val="444444"/>
          <w:sz w:val="23"/>
          <w:szCs w:val="23"/>
        </w:rPr>
        <w:t>] whether the documents public companies file with the SEC include disclosure of material information regarding global security risk-related issues.”[10</w:t>
      </w:r>
      <w:proofErr w:type="gramStart"/>
      <w:r w:rsidRPr="000F529A">
        <w:rPr>
          <w:rFonts w:ascii="Arial" w:eastAsia="Times New Roman" w:hAnsi="Arial" w:cs="Arial"/>
          <w:color w:val="444444"/>
          <w:sz w:val="23"/>
          <w:szCs w:val="23"/>
        </w:rPr>
        <w:t>]</w:t>
      </w:r>
      <w:proofErr w:type="gramEnd"/>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Recently, the OGS has shown particular interest in ensuring companies disclose material information to investors about business it does with certain countries, particularly Iran, Syria and Sudan. If the OGS makes such an inquiry, a company would be able to respond quickly and confidently that it has not engaged in any business with these countries if it has a bright-line prohibition in place.</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b/>
          <w:bCs/>
          <w:color w:val="444444"/>
          <w:sz w:val="24"/>
          <w:szCs w:val="24"/>
          <w:bdr w:val="none" w:sz="0" w:space="0" w:color="auto" w:frame="1"/>
        </w:rPr>
        <w:t>Conclusion</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OFAC enforcement of sanctions violations is on the rise, and American companies need to be aware of how to effectively comply with the U.S. export regime in order to avoid civil liability and possibly even criminal penalties. By taking the four steps described above, </w:t>
      </w:r>
      <w:r w:rsidRPr="000F529A">
        <w:rPr>
          <w:rFonts w:ascii="Arial" w:eastAsia="Times New Roman" w:hAnsi="Arial" w:cs="Arial"/>
          <w:color w:val="444444"/>
          <w:sz w:val="23"/>
          <w:szCs w:val="23"/>
        </w:rPr>
        <w:lastRenderedPageBreak/>
        <w:t>companies will be able to feel more confident that they are complying with the law.</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--By Zachary </w:t>
      </w:r>
      <w:proofErr w:type="spellStart"/>
      <w:r w:rsidRPr="000F529A">
        <w:rPr>
          <w:rFonts w:ascii="Arial" w:eastAsia="Times New Roman" w:hAnsi="Arial" w:cs="Arial"/>
          <w:color w:val="444444"/>
          <w:sz w:val="23"/>
          <w:szCs w:val="23"/>
        </w:rPr>
        <w:t>Brez</w:t>
      </w:r>
      <w:proofErr w:type="spellEnd"/>
      <w:r w:rsidRPr="000F529A">
        <w:rPr>
          <w:rFonts w:ascii="Arial" w:eastAsia="Times New Roman" w:hAnsi="Arial" w:cs="Arial"/>
          <w:color w:val="444444"/>
          <w:sz w:val="23"/>
          <w:szCs w:val="23"/>
        </w:rPr>
        <w:t xml:space="preserve"> (pictured) and Michael Casey, </w:t>
      </w:r>
      <w:hyperlink r:id="rId9" w:history="1">
        <w:r w:rsidRPr="000F529A">
          <w:rPr>
            <w:rFonts w:ascii="Arial" w:eastAsia="Times New Roman" w:hAnsi="Arial" w:cs="Arial"/>
            <w:color w:val="00427F"/>
            <w:sz w:val="23"/>
            <w:szCs w:val="23"/>
            <w:u w:val="single"/>
          </w:rPr>
          <w:t>Ropes &amp; Gray LLP</w:t>
        </w:r>
      </w:hyperlink>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hyperlink r:id="rId10" w:history="1">
        <w:r w:rsidRPr="000F529A">
          <w:rPr>
            <w:rFonts w:ascii="Arial" w:eastAsia="Times New Roman" w:hAnsi="Arial" w:cs="Arial"/>
            <w:i/>
            <w:iCs/>
            <w:color w:val="00427F"/>
            <w:sz w:val="23"/>
            <w:szCs w:val="23"/>
            <w:u w:val="single"/>
            <w:bdr w:val="none" w:sz="0" w:space="0" w:color="auto" w:frame="1"/>
          </w:rPr>
          <w:t>Zach Brez</w:t>
        </w:r>
      </w:hyperlink>
      <w:r w:rsidRPr="000F529A">
        <w:rPr>
          <w:rFonts w:ascii="Arial" w:eastAsia="Times New Roman" w:hAnsi="Arial" w:cs="Arial"/>
          <w:i/>
          <w:iCs/>
          <w:color w:val="444444"/>
          <w:sz w:val="23"/>
          <w:szCs w:val="23"/>
          <w:bdr w:val="none" w:sz="0" w:space="0" w:color="auto" w:frame="1"/>
        </w:rPr>
        <w:t> is a partner in the New York office of Ropes &amp; Gray. </w:t>
      </w:r>
      <w:hyperlink r:id="rId11" w:history="1">
        <w:r w:rsidRPr="000F529A">
          <w:rPr>
            <w:rFonts w:ascii="Arial" w:eastAsia="Times New Roman" w:hAnsi="Arial" w:cs="Arial"/>
            <w:i/>
            <w:iCs/>
            <w:color w:val="00427F"/>
            <w:sz w:val="23"/>
            <w:szCs w:val="23"/>
            <w:u w:val="single"/>
            <w:bdr w:val="none" w:sz="0" w:space="0" w:color="auto" w:frame="1"/>
          </w:rPr>
          <w:t>Mike Casey</w:t>
        </w:r>
      </w:hyperlink>
      <w:r w:rsidRPr="000F529A">
        <w:rPr>
          <w:rFonts w:ascii="Arial" w:eastAsia="Times New Roman" w:hAnsi="Arial" w:cs="Arial"/>
          <w:i/>
          <w:iCs/>
          <w:color w:val="444444"/>
          <w:sz w:val="23"/>
          <w:szCs w:val="23"/>
          <w:bdr w:val="none" w:sz="0" w:space="0" w:color="auto" w:frame="1"/>
        </w:rPr>
        <w:t> is an associate in the firm's Washington, D.C., office.</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r>
      <w:r w:rsidRPr="000F529A">
        <w:rPr>
          <w:rFonts w:ascii="Arial" w:eastAsia="Times New Roman" w:hAnsi="Arial" w:cs="Arial"/>
          <w:i/>
          <w:iCs/>
          <w:color w:val="444444"/>
          <w:sz w:val="23"/>
          <w:szCs w:val="23"/>
          <w:bdr w:val="none" w:sz="0" w:space="0" w:color="auto" w:frame="1"/>
        </w:rPr>
        <w:t>The opinions expressed are those of the authors and do not necessarily reflect the views of the firm, its clients, or Portfolio Media, publisher of Law360. This article is for general information purposes and is not intended to be and should not be taken as legal advice.</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[1] OFAC has issued guidance explaining that the Sudanese Sanctions Regulations will not apply to the new state of the Republic of South Sudan that succeeded from Sudan on July 9, 2011. OFAC, Guidance Regarding the Application of the Sudanese Sanctions Regulations to the New State to be Formed by the Secession of Southern Sudan at 1 (April 12, 2011), </w:t>
      </w:r>
      <w:hyperlink r:id="rId12" w:history="1">
        <w:r w:rsidRPr="000F529A">
          <w:rPr>
            <w:rFonts w:ascii="Arial" w:eastAsia="Times New Roman" w:hAnsi="Arial" w:cs="Arial"/>
            <w:color w:val="00427F"/>
            <w:sz w:val="23"/>
            <w:szCs w:val="23"/>
            <w:u w:val="single"/>
          </w:rPr>
          <w:t>http://www.treasury.gov/resource-center/sanctions/Programs/Documents/sudan_secede_guide.pdf</w:t>
        </w:r>
      </w:hyperlink>
      <w:r w:rsidRPr="000F529A">
        <w:rPr>
          <w:rFonts w:ascii="Arial" w:eastAsia="Times New Roman" w:hAnsi="Arial" w:cs="Arial"/>
          <w:color w:val="444444"/>
          <w:sz w:val="23"/>
          <w:szCs w:val="23"/>
        </w:rPr>
        <w:t>.</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[2] Syria and North Korea are two countries that have historically been associated with OFAC’s sanctions. Syria is not subject to comprehensive country-based sanctions, but there are list-based sanctions that block property of persons involved in: Syria’s provision of safe haven to terrorists, Syria’s military and security presence in Lebanon, Syria’s military and security presence in Lebanon, Syria’s development of weapons of mass destruction, or Syria’s efforts to undermine the stabilization of Iraq. </w:t>
      </w:r>
      <w:proofErr w:type="gramStart"/>
      <w:r w:rsidRPr="000F529A">
        <w:rPr>
          <w:rFonts w:ascii="Arial" w:eastAsia="Times New Roman" w:hAnsi="Arial" w:cs="Arial"/>
          <w:color w:val="444444"/>
          <w:sz w:val="23"/>
          <w:szCs w:val="23"/>
        </w:rPr>
        <w:t>31 C.F.R. § 542.201.</w:t>
      </w:r>
      <w:proofErr w:type="gramEnd"/>
      <w:r w:rsidRPr="000F529A">
        <w:rPr>
          <w:rFonts w:ascii="Arial" w:eastAsia="Times New Roman" w:hAnsi="Arial" w:cs="Arial"/>
          <w:color w:val="444444"/>
          <w:sz w:val="23"/>
          <w:szCs w:val="23"/>
        </w:rPr>
        <w:t xml:space="preserve"> Persons that have been designated by Treasury as meeting any of these criteria are included on the SDN list. Additionally, the government of Syria is subject to the Terrorism List Government Sanctions Regulations. Finally, companies must acquire licenses from the Commerce Department for all items subject to the Export Administration Regulations exported and re-exported to Syria, except for food and medicine not on the Commerce Control List. </w:t>
      </w:r>
      <w:proofErr w:type="gramStart"/>
      <w:r w:rsidRPr="000F529A">
        <w:rPr>
          <w:rFonts w:ascii="Arial" w:eastAsia="Times New Roman" w:hAnsi="Arial" w:cs="Arial"/>
          <w:color w:val="444444"/>
          <w:sz w:val="23"/>
          <w:szCs w:val="23"/>
        </w:rPr>
        <w:t>Bureau of Industry and Security, U.S. Dep’t of Commerce, Syria Web Guidance, FAQ 1, </w:t>
      </w:r>
      <w:hyperlink r:id="rId13" w:history="1">
        <w:r w:rsidRPr="000F529A">
          <w:rPr>
            <w:rFonts w:ascii="Arial" w:eastAsia="Times New Roman" w:hAnsi="Arial" w:cs="Arial"/>
            <w:color w:val="00427F"/>
            <w:sz w:val="23"/>
            <w:szCs w:val="23"/>
            <w:u w:val="single"/>
          </w:rPr>
          <w:t>http://www.bis.doc.gov/policiesandregulations/syriaguidance8_07_09.htm</w:t>
        </w:r>
      </w:hyperlink>
      <w:r w:rsidRPr="000F529A">
        <w:rPr>
          <w:rFonts w:ascii="Arial" w:eastAsia="Times New Roman" w:hAnsi="Arial" w:cs="Arial"/>
          <w:color w:val="444444"/>
          <w:sz w:val="23"/>
          <w:szCs w:val="23"/>
        </w:rPr>
        <w:t> (last visited Aug. 4, 2011).</w:t>
      </w:r>
      <w:proofErr w:type="gramEnd"/>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North Korea was subject to a country-based sanctions regime for approximately fifty years. </w:t>
      </w:r>
      <w:proofErr w:type="gramStart"/>
      <w:r w:rsidRPr="000F529A">
        <w:rPr>
          <w:rFonts w:ascii="Arial" w:eastAsia="Times New Roman" w:hAnsi="Arial" w:cs="Arial"/>
          <w:color w:val="444444"/>
          <w:sz w:val="23"/>
          <w:szCs w:val="23"/>
        </w:rPr>
        <w:t>15 Fed.</w:t>
      </w:r>
      <w:proofErr w:type="gramEnd"/>
      <w:r w:rsidRPr="000F529A">
        <w:rPr>
          <w:rFonts w:ascii="Arial" w:eastAsia="Times New Roman" w:hAnsi="Arial" w:cs="Arial"/>
          <w:color w:val="444444"/>
          <w:sz w:val="23"/>
          <w:szCs w:val="23"/>
        </w:rPr>
        <w:t xml:space="preserve"> Reg. 9040 (Dec. 19, 1950). The comprehensive sanctions, however, have been replaced with a list-based program blocking assets of persons involved in facilitating North </w:t>
      </w:r>
      <w:r w:rsidRPr="000F529A">
        <w:rPr>
          <w:rFonts w:ascii="Arial" w:eastAsia="Times New Roman" w:hAnsi="Arial" w:cs="Arial"/>
          <w:color w:val="444444"/>
          <w:sz w:val="23"/>
          <w:szCs w:val="23"/>
        </w:rPr>
        <w:lastRenderedPageBreak/>
        <w:t xml:space="preserve">Korean trafficking in arms and related materiel, facilitating North Korean procurement of luxury goods, or engaging in illicit activities that involve or support the Government of North Korea or its senior officials. </w:t>
      </w:r>
      <w:proofErr w:type="gramStart"/>
      <w:r w:rsidRPr="000F529A">
        <w:rPr>
          <w:rFonts w:ascii="Arial" w:eastAsia="Times New Roman" w:hAnsi="Arial" w:cs="Arial"/>
          <w:color w:val="444444"/>
          <w:sz w:val="23"/>
          <w:szCs w:val="23"/>
        </w:rPr>
        <w:t>Exec.</w:t>
      </w:r>
      <w:proofErr w:type="gramEnd"/>
      <w:r w:rsidRPr="000F529A">
        <w:rPr>
          <w:rFonts w:ascii="Arial" w:eastAsia="Times New Roman" w:hAnsi="Arial" w:cs="Arial"/>
          <w:color w:val="444444"/>
          <w:sz w:val="23"/>
          <w:szCs w:val="23"/>
        </w:rPr>
        <w:t xml:space="preserve"> Order No. 13466 (June 26, 2008); 31 C.F.R. § 510.201 Additionally, U.S. persons are prohibited from registering vessels in North Korea and owning, leasing, operating, or insuring any vessel flagged by North Korea. </w:t>
      </w:r>
      <w:proofErr w:type="gramStart"/>
      <w:r w:rsidRPr="000F529A">
        <w:rPr>
          <w:rFonts w:ascii="Arial" w:eastAsia="Times New Roman" w:hAnsi="Arial" w:cs="Arial"/>
          <w:color w:val="444444"/>
          <w:sz w:val="23"/>
          <w:szCs w:val="23"/>
        </w:rPr>
        <w:t>Exec.</w:t>
      </w:r>
      <w:proofErr w:type="gramEnd"/>
      <w:r w:rsidRPr="000F529A">
        <w:rPr>
          <w:rFonts w:ascii="Arial" w:eastAsia="Times New Roman" w:hAnsi="Arial" w:cs="Arial"/>
          <w:color w:val="444444"/>
          <w:sz w:val="23"/>
          <w:szCs w:val="23"/>
        </w:rPr>
        <w:t xml:space="preserve"> Order No. 13466. Apart from the prohibition on exporting to blocked individuals, there are no other OFAC prohibitions on exporting to North Korea. A person is required to obtain a license for all items subject to the Export Administration Regulations that are sent to North Korea, except for food and medicine. 15 C.F.R. §§ 742.19(a</w:t>
      </w:r>
      <w:proofErr w:type="gramStart"/>
      <w:r w:rsidRPr="000F529A">
        <w:rPr>
          <w:rFonts w:ascii="Arial" w:eastAsia="Times New Roman" w:hAnsi="Arial" w:cs="Arial"/>
          <w:color w:val="444444"/>
          <w:sz w:val="23"/>
          <w:szCs w:val="23"/>
        </w:rPr>
        <w:t>)(</w:t>
      </w:r>
      <w:proofErr w:type="gramEnd"/>
      <w:r w:rsidRPr="000F529A">
        <w:rPr>
          <w:rFonts w:ascii="Arial" w:eastAsia="Times New Roman" w:hAnsi="Arial" w:cs="Arial"/>
          <w:color w:val="444444"/>
          <w:sz w:val="23"/>
          <w:szCs w:val="23"/>
        </w:rPr>
        <w:t>1), 746.4(a).</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[3] Sudanese Sanctions Regulations, 31 C.F.R. § 538.212; Iranian Transaction Regulations, 31 C.F.R. § 560.210; Cuban Assets Control Regulations, 31 C.F.R. § 515.206 (only permitting transactions involving informational materials).</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[4] Iranian Transaction Regulations, 31 C.F.R. § 560.208.</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[5] Burmese Sanctions Regulations, 31 C.F.R. § 537.205; Sudanese Sanctions Regulations, id. § 538.206.</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 xml:space="preserve">[6] In May 2008, OFAC announced that it imposed a civil penalty on Journey Corp. Travel Management for violating the Cuban Assets Control Regulations by facilitating the purchase or airline tickets to Cuba on behalf of a U.S. person. </w:t>
      </w:r>
      <w:proofErr w:type="gramStart"/>
      <w:r w:rsidRPr="000F529A">
        <w:rPr>
          <w:rFonts w:ascii="Arial" w:eastAsia="Times New Roman" w:hAnsi="Arial" w:cs="Arial"/>
          <w:color w:val="444444"/>
          <w:sz w:val="23"/>
          <w:szCs w:val="23"/>
        </w:rPr>
        <w:t>In re Journey Corp. Travel Management (May 2, 2008) (found at </w:t>
      </w:r>
      <w:hyperlink r:id="rId14" w:history="1">
        <w:r w:rsidRPr="000F529A">
          <w:rPr>
            <w:rFonts w:ascii="Arial" w:eastAsia="Times New Roman" w:hAnsi="Arial" w:cs="Arial"/>
            <w:color w:val="00427F"/>
            <w:sz w:val="23"/>
            <w:szCs w:val="23"/>
            <w:u w:val="single"/>
          </w:rPr>
          <w:t>http://www.treasury.gov/resource-center/sanctions/OFAC-Enforcement/Documents/05292008.pdf</w:t>
        </w:r>
      </w:hyperlink>
      <w:r w:rsidRPr="000F529A">
        <w:rPr>
          <w:rFonts w:ascii="Arial" w:eastAsia="Times New Roman" w:hAnsi="Arial" w:cs="Arial"/>
          <w:color w:val="444444"/>
          <w:sz w:val="23"/>
          <w:szCs w:val="23"/>
        </w:rPr>
        <w:t>).</w:t>
      </w:r>
      <w:proofErr w:type="gramEnd"/>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[7] Iranian Transaction Regulations, 31 C.F.R. § 560.417.</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[8] Sudanese Sanctions Regulations, 31 C.F.R. § 538.407.</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[9] Id.</w:t>
      </w:r>
      <w:r w:rsidRPr="000F529A">
        <w:rPr>
          <w:rFonts w:ascii="Arial" w:eastAsia="Times New Roman" w:hAnsi="Arial" w:cs="Arial"/>
          <w:color w:val="444444"/>
          <w:sz w:val="23"/>
          <w:szCs w:val="23"/>
        </w:rPr>
        <w:br/>
      </w:r>
      <w:r w:rsidRPr="000F529A">
        <w:rPr>
          <w:rFonts w:ascii="Arial" w:eastAsia="Times New Roman" w:hAnsi="Arial" w:cs="Arial"/>
          <w:color w:val="444444"/>
          <w:sz w:val="23"/>
          <w:szCs w:val="23"/>
        </w:rPr>
        <w:br/>
        <w:t>[10] U.S. Securities and Exchange Commission, Office of Global Security Risk Home Page, </w:t>
      </w:r>
      <w:hyperlink r:id="rId15" w:history="1">
        <w:r w:rsidRPr="000F529A">
          <w:rPr>
            <w:rFonts w:ascii="Arial" w:eastAsia="Times New Roman" w:hAnsi="Arial" w:cs="Arial"/>
            <w:color w:val="00427F"/>
            <w:sz w:val="23"/>
            <w:szCs w:val="23"/>
            <w:u w:val="single"/>
          </w:rPr>
          <w:t>http://www.sec.gov/divisions/corpfin/globalsecrisk.htm</w:t>
        </w:r>
      </w:hyperlink>
      <w:r w:rsidRPr="000F529A">
        <w:rPr>
          <w:rFonts w:ascii="Arial" w:eastAsia="Times New Roman" w:hAnsi="Arial" w:cs="Arial"/>
          <w:color w:val="444444"/>
          <w:sz w:val="23"/>
          <w:szCs w:val="23"/>
        </w:rPr>
        <w:t> (last visited Aug. 4, 2011).</w:t>
      </w:r>
    </w:p>
    <w:sectPr w:rsidR="000F529A" w:rsidRPr="000F5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5E53"/>
    <w:multiLevelType w:val="multilevel"/>
    <w:tmpl w:val="D64C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67C70"/>
    <w:multiLevelType w:val="multilevel"/>
    <w:tmpl w:val="49F2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5606D"/>
    <w:multiLevelType w:val="multilevel"/>
    <w:tmpl w:val="026A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97ACE"/>
    <w:multiLevelType w:val="multilevel"/>
    <w:tmpl w:val="29E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5307FD"/>
    <w:multiLevelType w:val="multilevel"/>
    <w:tmpl w:val="3DC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29A"/>
    <w:rsid w:val="000F529A"/>
    <w:rsid w:val="00B9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9A"/>
    <w:rPr>
      <w:rFonts w:ascii="Tahoma" w:hAnsi="Tahoma" w:cs="Tahoma"/>
      <w:sz w:val="16"/>
      <w:szCs w:val="16"/>
    </w:rPr>
  </w:style>
  <w:style w:type="character" w:styleId="Hyperlink">
    <w:name w:val="Hyperlink"/>
    <w:basedOn w:val="DefaultParagraphFont"/>
    <w:uiPriority w:val="99"/>
    <w:unhideWhenUsed/>
    <w:rsid w:val="000F5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9A"/>
    <w:rPr>
      <w:rFonts w:ascii="Tahoma" w:hAnsi="Tahoma" w:cs="Tahoma"/>
      <w:sz w:val="16"/>
      <w:szCs w:val="16"/>
    </w:rPr>
  </w:style>
  <w:style w:type="character" w:styleId="Hyperlink">
    <w:name w:val="Hyperlink"/>
    <w:basedOn w:val="DefaultParagraphFont"/>
    <w:uiPriority w:val="99"/>
    <w:unhideWhenUsed/>
    <w:rsid w:val="000F5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59511">
      <w:bodyDiv w:val="1"/>
      <w:marLeft w:val="0"/>
      <w:marRight w:val="0"/>
      <w:marTop w:val="0"/>
      <w:marBottom w:val="0"/>
      <w:divBdr>
        <w:top w:val="none" w:sz="0" w:space="0" w:color="auto"/>
        <w:left w:val="none" w:sz="0" w:space="0" w:color="auto"/>
        <w:bottom w:val="none" w:sz="0" w:space="0" w:color="auto"/>
        <w:right w:val="none" w:sz="0" w:space="0" w:color="auto"/>
      </w:divBdr>
      <w:divsChild>
        <w:div w:id="1711684014">
          <w:marLeft w:val="0"/>
          <w:marRight w:val="0"/>
          <w:marTop w:val="0"/>
          <w:marBottom w:val="0"/>
          <w:divBdr>
            <w:top w:val="none" w:sz="0" w:space="0" w:color="auto"/>
            <w:left w:val="none" w:sz="0" w:space="0" w:color="auto"/>
            <w:bottom w:val="none" w:sz="0" w:space="0" w:color="auto"/>
            <w:right w:val="none" w:sz="0" w:space="0" w:color="auto"/>
          </w:divBdr>
        </w:div>
        <w:div w:id="865170393">
          <w:marLeft w:val="0"/>
          <w:marRight w:val="0"/>
          <w:marTop w:val="0"/>
          <w:marBottom w:val="0"/>
          <w:divBdr>
            <w:top w:val="none" w:sz="0" w:space="0" w:color="auto"/>
            <w:left w:val="none" w:sz="0" w:space="0" w:color="auto"/>
            <w:bottom w:val="none" w:sz="0" w:space="0" w:color="auto"/>
            <w:right w:val="none" w:sz="0" w:space="0" w:color="auto"/>
          </w:divBdr>
          <w:divsChild>
            <w:div w:id="808596116">
              <w:marLeft w:val="0"/>
              <w:marRight w:val="0"/>
              <w:marTop w:val="0"/>
              <w:marBottom w:val="300"/>
              <w:divBdr>
                <w:top w:val="single" w:sz="6" w:space="0" w:color="CCCCCC"/>
                <w:left w:val="single" w:sz="6" w:space="0" w:color="CCCCCC"/>
                <w:bottom w:val="single" w:sz="6" w:space="0" w:color="CCCCCC"/>
                <w:right w:val="single" w:sz="6" w:space="15" w:color="CCCCCC"/>
              </w:divBdr>
              <w:divsChild>
                <w:div w:id="249507327">
                  <w:marLeft w:val="150"/>
                  <w:marRight w:val="0"/>
                  <w:marTop w:val="150"/>
                  <w:marBottom w:val="150"/>
                  <w:divBdr>
                    <w:top w:val="none" w:sz="0" w:space="0" w:color="auto"/>
                    <w:left w:val="none" w:sz="0" w:space="0" w:color="auto"/>
                    <w:bottom w:val="none" w:sz="0" w:space="0" w:color="auto"/>
                    <w:right w:val="none" w:sz="0" w:space="0" w:color="auto"/>
                  </w:divBdr>
                </w:div>
              </w:divsChild>
            </w:div>
            <w:div w:id="912356111">
              <w:marLeft w:val="0"/>
              <w:marRight w:val="0"/>
              <w:marTop w:val="0"/>
              <w:marBottom w:val="450"/>
              <w:divBdr>
                <w:top w:val="none" w:sz="0" w:space="0" w:color="auto"/>
                <w:left w:val="none" w:sz="0" w:space="0" w:color="auto"/>
                <w:bottom w:val="none" w:sz="0" w:space="0" w:color="auto"/>
                <w:right w:val="none" w:sz="0" w:space="0" w:color="auto"/>
              </w:divBdr>
              <w:divsChild>
                <w:div w:id="23218665">
                  <w:marLeft w:val="0"/>
                  <w:marRight w:val="0"/>
                  <w:marTop w:val="0"/>
                  <w:marBottom w:val="0"/>
                  <w:divBdr>
                    <w:top w:val="none" w:sz="0" w:space="0" w:color="auto"/>
                    <w:left w:val="none" w:sz="0" w:space="0" w:color="auto"/>
                    <w:bottom w:val="none" w:sz="0" w:space="0" w:color="auto"/>
                    <w:right w:val="none" w:sz="0" w:space="0" w:color="auto"/>
                  </w:divBdr>
                </w:div>
                <w:div w:id="153692544">
                  <w:marLeft w:val="0"/>
                  <w:marRight w:val="0"/>
                  <w:marTop w:val="225"/>
                  <w:marBottom w:val="0"/>
                  <w:divBdr>
                    <w:top w:val="none" w:sz="0" w:space="0" w:color="auto"/>
                    <w:left w:val="none" w:sz="0" w:space="0" w:color="auto"/>
                    <w:bottom w:val="none" w:sz="0" w:space="0" w:color="auto"/>
                    <w:right w:val="none" w:sz="0" w:space="0" w:color="auto"/>
                  </w:divBdr>
                </w:div>
              </w:divsChild>
            </w:div>
            <w:div w:id="2025666238">
              <w:marLeft w:val="0"/>
              <w:marRight w:val="0"/>
              <w:marTop w:val="450"/>
              <w:marBottom w:val="0"/>
              <w:divBdr>
                <w:top w:val="single" w:sz="6" w:space="15" w:color="CCCCCC"/>
                <w:left w:val="single" w:sz="6" w:space="8" w:color="CCCCCC"/>
                <w:bottom w:val="single" w:sz="6" w:space="0" w:color="CCCCCC"/>
                <w:right w:val="single" w:sz="6" w:space="8"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360.com/agencies/securities-and-exchange-commission" TargetMode="External"/><Relationship Id="rId13" Type="http://schemas.openxmlformats.org/officeDocument/2006/relationships/hyperlink" Target="http://www.bis.doc.gov/policiesandregulations/syriaguidance8_07_09.htm" TargetMode="External"/><Relationship Id="rId3" Type="http://schemas.microsoft.com/office/2007/relationships/stylesWithEffects" Target="stylesWithEffects.xml"/><Relationship Id="rId7" Type="http://schemas.openxmlformats.org/officeDocument/2006/relationships/hyperlink" Target="https://www.law360.com/agencies/bureau-of-industry-and-security" TargetMode="External"/><Relationship Id="rId12" Type="http://schemas.openxmlformats.org/officeDocument/2006/relationships/hyperlink" Target="http://www.treasury.gov/resource-center/sanctions/Programs/Documents/sudan_secede_guid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aw360.com/agencies/office-of-foreign-assets-control" TargetMode="External"/><Relationship Id="rId11" Type="http://schemas.openxmlformats.org/officeDocument/2006/relationships/hyperlink" Target="http://www.ropesgray.com/michaelcasey/" TargetMode="External"/><Relationship Id="rId5" Type="http://schemas.openxmlformats.org/officeDocument/2006/relationships/webSettings" Target="webSettings.xml"/><Relationship Id="rId15" Type="http://schemas.openxmlformats.org/officeDocument/2006/relationships/hyperlink" Target="http://www.sec.gov/divisions/corpfin/globalsecrisk.htm" TargetMode="External"/><Relationship Id="rId10" Type="http://schemas.openxmlformats.org/officeDocument/2006/relationships/hyperlink" Target="http://www.ropesgray.com/zacharybrez/" TargetMode="External"/><Relationship Id="rId4" Type="http://schemas.openxmlformats.org/officeDocument/2006/relationships/settings" Target="settings.xml"/><Relationship Id="rId9" Type="http://schemas.openxmlformats.org/officeDocument/2006/relationships/hyperlink" Target="https://www.law360.com/firms/ropes-gray" TargetMode="External"/><Relationship Id="rId14" Type="http://schemas.openxmlformats.org/officeDocument/2006/relationships/hyperlink" Target="http://www.treasury.gov/resource-center/sanctions/OFAC-Enforcement/Documents/0529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1</cp:revision>
  <dcterms:created xsi:type="dcterms:W3CDTF">2017-07-31T06:25:00Z</dcterms:created>
  <dcterms:modified xsi:type="dcterms:W3CDTF">2017-07-31T06:27:00Z</dcterms:modified>
</cp:coreProperties>
</file>