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1F558F" w:rsidP="007A72B4">
      <w:pPr>
        <w:pStyle w:val="BodyText"/>
        <w:jc w:val="center"/>
        <w:rPr>
          <w:rFonts w:asciiTheme="minorHAnsi" w:hAnsiTheme="minorHAnsi"/>
          <w:b/>
        </w:rPr>
      </w:pPr>
      <w:bookmarkStart w:id="0" w:name="_GoBack"/>
      <w:bookmarkEnd w:id="0"/>
      <w:r>
        <w:rPr>
          <w:rFonts w:asciiTheme="minorHAnsi" w:hAnsiTheme="minorHAnsi"/>
          <w:b/>
        </w:rPr>
        <w:t>PROPOSED CHANGES</w:t>
      </w:r>
      <w:r w:rsidR="007A72B4">
        <w:rPr>
          <w:rFonts w:asciiTheme="minorHAnsi" w:hAnsiTheme="minorHAnsi"/>
          <w:b/>
        </w:rPr>
        <w:t xml:space="preserve"> IN 2/27 DRAFT JURISDICTION SUBGROUP REPORT (v1.2.6)</w:t>
      </w:r>
    </w:p>
    <w:tbl>
      <w:tblPr>
        <w:tblStyle w:val="TableGrid"/>
        <w:tblW w:w="13135" w:type="dxa"/>
        <w:tblLayout w:type="fixed"/>
        <w:tblCellMar>
          <w:top w:w="115" w:type="dxa"/>
          <w:left w:w="115" w:type="dxa"/>
          <w:bottom w:w="115" w:type="dxa"/>
          <w:right w:w="115" w:type="dxa"/>
        </w:tblCellMar>
        <w:tblLook w:val="04A0"/>
      </w:tblPr>
      <w:tblGrid>
        <w:gridCol w:w="895"/>
        <w:gridCol w:w="5670"/>
        <w:gridCol w:w="6570"/>
      </w:tblGrid>
      <w:tr w:rsidTr="00C87A60">
        <w:tblPrEx>
          <w:tblW w:w="13135" w:type="dxa"/>
          <w:tblLayout w:type="fixed"/>
          <w:tblCellMar>
            <w:top w:w="115" w:type="dxa"/>
            <w:left w:w="115" w:type="dxa"/>
            <w:bottom w:w="115" w:type="dxa"/>
            <w:right w:w="115" w:type="dxa"/>
          </w:tblCellMar>
          <w:tblLook w:val="04A0"/>
        </w:tblPrEx>
        <w:trPr>
          <w:cantSplit/>
          <w:tblHeader/>
        </w:trPr>
        <w:tc>
          <w:tcPr>
            <w:tcW w:w="895" w:type="dxa"/>
            <w:shd w:val="clear" w:color="auto" w:fill="B8CCE4" w:themeFill="accent1" w:themeFillTint="66"/>
          </w:tcPr>
          <w:p w:rsidR="005D4D41" w:rsidRPr="005D4D41" w:rsidP="005D4D41">
            <w:pPr>
              <w:pStyle w:val="BodyText"/>
              <w:spacing w:after="0"/>
              <w:jc w:val="center"/>
              <w:rPr>
                <w:rFonts w:asciiTheme="minorHAnsi" w:hAnsiTheme="minorHAnsi"/>
                <w:b/>
                <w:i/>
              </w:rPr>
            </w:pPr>
            <w:r w:rsidRPr="005D4D41">
              <w:rPr>
                <w:rFonts w:asciiTheme="minorHAnsi" w:hAnsiTheme="minorHAnsi"/>
                <w:b/>
                <w:i/>
              </w:rPr>
              <w:t>NOTE</w:t>
            </w:r>
          </w:p>
        </w:tc>
        <w:tc>
          <w:tcPr>
            <w:tcW w:w="5670" w:type="dxa"/>
            <w:shd w:val="clear" w:color="auto" w:fill="B8CCE4" w:themeFill="accent1" w:themeFillTint="66"/>
          </w:tcPr>
          <w:p w:rsidR="005D4D41" w:rsidRPr="005D4D41" w:rsidP="009C20F8">
            <w:pPr>
              <w:pStyle w:val="BodyText"/>
              <w:spacing w:after="0"/>
              <w:jc w:val="center"/>
              <w:rPr>
                <w:rFonts w:asciiTheme="minorHAnsi" w:hAnsiTheme="minorHAnsi"/>
                <w:b/>
                <w:i/>
              </w:rPr>
            </w:pPr>
            <w:r w:rsidRPr="005D4D41">
              <w:rPr>
                <w:rFonts w:asciiTheme="minorHAnsi" w:hAnsiTheme="minorHAnsi"/>
                <w:b/>
                <w:i/>
              </w:rPr>
              <w:t>PROPOSED CHANGE</w:t>
            </w:r>
          </w:p>
        </w:tc>
        <w:tc>
          <w:tcPr>
            <w:tcW w:w="6570" w:type="dxa"/>
            <w:shd w:val="clear" w:color="auto" w:fill="B8CCE4" w:themeFill="accent1" w:themeFillTint="66"/>
          </w:tcPr>
          <w:p w:rsidR="005D4D41" w:rsidRPr="005D4D41" w:rsidP="005D4D41">
            <w:pPr>
              <w:pStyle w:val="BodyText"/>
              <w:spacing w:after="0"/>
              <w:jc w:val="center"/>
              <w:rPr>
                <w:rFonts w:asciiTheme="minorHAnsi" w:hAnsiTheme="minorHAnsi"/>
                <w:b/>
                <w:i/>
              </w:rPr>
            </w:pPr>
            <w:r>
              <w:rPr>
                <w:rFonts w:asciiTheme="minorHAnsi" w:hAnsiTheme="minorHAnsi"/>
                <w:b/>
                <w:i/>
              </w:rPr>
              <w:t>ADDITIONAL INFORMATION</w:t>
            </w:r>
          </w:p>
        </w:tc>
      </w:tr>
      <w:tr w:rsidTr="00C87A60">
        <w:tblPrEx>
          <w:tblW w:w="13135" w:type="dxa"/>
          <w:tblLayout w:type="fixed"/>
          <w:tblCellMar>
            <w:top w:w="115" w:type="dxa"/>
            <w:left w:w="115" w:type="dxa"/>
            <w:bottom w:w="115" w:type="dxa"/>
            <w:right w:w="115" w:type="dxa"/>
          </w:tblCellMar>
          <w:tblLook w:val="04A0"/>
        </w:tblPrEx>
        <w:trPr>
          <w:cantSplit/>
        </w:trPr>
        <w:tc>
          <w:tcPr>
            <w:tcW w:w="895" w:type="dxa"/>
            <w:shd w:val="clear" w:color="auto" w:fill="B8CCE4" w:themeFill="accent1" w:themeFillTint="66"/>
          </w:tcPr>
          <w:p w:rsidR="005D4D41" w:rsidP="007A72B4">
            <w:pPr>
              <w:pStyle w:val="BodyText"/>
              <w:rPr>
                <w:rFonts w:asciiTheme="minorHAnsi" w:hAnsiTheme="minorHAnsi"/>
                <w:b/>
              </w:rPr>
            </w:pPr>
            <w:r>
              <w:rPr>
                <w:rFonts w:asciiTheme="minorHAnsi" w:hAnsiTheme="minorHAnsi"/>
                <w:b/>
              </w:rPr>
              <w:t>1</w:t>
            </w:r>
          </w:p>
        </w:tc>
        <w:tc>
          <w:tcPr>
            <w:tcW w:w="5670" w:type="dxa"/>
          </w:tcPr>
          <w:p w:rsidR="005D4D41" w:rsidRPr="003F3095" w:rsidP="00DA4498">
            <w:pPr>
              <w:pStyle w:val="BodyText"/>
              <w:rPr>
                <w:rFonts w:asciiTheme="minorHAnsi" w:hAnsiTheme="minorHAnsi"/>
              </w:rPr>
            </w:pPr>
            <w:r>
              <w:rPr>
                <w:rFonts w:asciiTheme="minorHAnsi" w:hAnsiTheme="minorHAnsi"/>
              </w:rPr>
              <w:t xml:space="preserve">Revised text added </w:t>
            </w:r>
            <w:r w:rsidR="00DA4498">
              <w:rPr>
                <w:rFonts w:asciiTheme="minorHAnsi" w:hAnsiTheme="minorHAnsi"/>
              </w:rPr>
              <w:t xml:space="preserve">and moved to footnote, </w:t>
            </w:r>
            <w:r>
              <w:rPr>
                <w:rFonts w:asciiTheme="minorHAnsi" w:hAnsiTheme="minorHAnsi"/>
              </w:rPr>
              <w:t>stating “</w:t>
            </w:r>
            <w:r w:rsidRPr="007A72B4">
              <w:rPr>
                <w:rFonts w:asciiTheme="minorHAnsi" w:hAnsiTheme="minorHAnsi"/>
              </w:rPr>
              <w:t>In the future, if ICANN is subject to other similar sanctions (e.g., similar in scope, type and effect and with similar methods of relief for entities not specifically sanctioned), the spirit of these recommendations should guide ICANN’s approach.</w:t>
            </w:r>
            <w:r>
              <w:rPr>
                <w:rFonts w:asciiTheme="minorHAnsi" w:hAnsiTheme="minorHAnsi"/>
              </w:rPr>
              <w:t>”</w:t>
            </w:r>
          </w:p>
        </w:tc>
        <w:tc>
          <w:tcPr>
            <w:tcW w:w="6570" w:type="dxa"/>
          </w:tcPr>
          <w:p w:rsidR="005D4D41" w:rsidP="00DA4498">
            <w:pPr>
              <w:pStyle w:val="BodyText"/>
              <w:spacing w:after="0"/>
              <w:rPr>
                <w:rFonts w:asciiTheme="minorHAnsi" w:hAnsiTheme="minorHAnsi"/>
                <w:b/>
              </w:rPr>
            </w:pPr>
            <w:r>
              <w:rPr>
                <w:rFonts w:asciiTheme="minorHAnsi" w:hAnsiTheme="minorHAnsi"/>
                <w:i/>
              </w:rPr>
              <w:t xml:space="preserve">This is a more measured version of text in the prior draft, which essentially </w:t>
            </w:r>
            <w:r w:rsidR="00DA4498">
              <w:rPr>
                <w:rFonts w:asciiTheme="minorHAnsi" w:hAnsiTheme="minorHAnsi"/>
                <w:i/>
              </w:rPr>
              <w:t xml:space="preserve">stated </w:t>
            </w:r>
            <w:r>
              <w:rPr>
                <w:rFonts w:asciiTheme="minorHAnsi" w:hAnsiTheme="minorHAnsi"/>
                <w:i/>
              </w:rPr>
              <w:t>that ICANN was obligated to seek a license, waiver or other relief if an applicant was barred by sanctions, regardless of the reason or type of sanction or the method of obtaining relief.</w:t>
            </w:r>
            <w:r w:rsidR="00DA4498">
              <w:rPr>
                <w:rFonts w:asciiTheme="minorHAnsi" w:hAnsiTheme="minorHAnsi"/>
                <w:i/>
              </w:rPr>
              <w:t xml:space="preserve">  Given the variety of possible sanctions and methods of obtaining relief, this appeared too inflexible to be stated as an obligation.</w:t>
            </w:r>
          </w:p>
        </w:tc>
      </w:tr>
      <w:tr w:rsidTr="00C87A60">
        <w:tblPrEx>
          <w:tblW w:w="13135" w:type="dxa"/>
          <w:tblLayout w:type="fixed"/>
          <w:tblCellMar>
            <w:top w:w="115" w:type="dxa"/>
            <w:left w:w="115" w:type="dxa"/>
            <w:bottom w:w="115" w:type="dxa"/>
            <w:right w:w="115" w:type="dxa"/>
          </w:tblCellMar>
          <w:tblLook w:val="04A0"/>
        </w:tblPrEx>
        <w:trPr>
          <w:cantSplit/>
        </w:trPr>
        <w:tc>
          <w:tcPr>
            <w:tcW w:w="895" w:type="dxa"/>
            <w:shd w:val="clear" w:color="auto" w:fill="B8CCE4" w:themeFill="accent1" w:themeFillTint="66"/>
          </w:tcPr>
          <w:p w:rsidR="005D4D41" w:rsidP="007A72B4">
            <w:pPr>
              <w:pStyle w:val="BodyText"/>
              <w:rPr>
                <w:rFonts w:asciiTheme="minorHAnsi" w:hAnsiTheme="minorHAnsi"/>
                <w:b/>
              </w:rPr>
            </w:pPr>
            <w:r>
              <w:rPr>
                <w:rFonts w:asciiTheme="minorHAnsi" w:hAnsiTheme="minorHAnsi"/>
                <w:b/>
              </w:rPr>
              <w:t>2</w:t>
            </w:r>
          </w:p>
        </w:tc>
        <w:tc>
          <w:tcPr>
            <w:tcW w:w="5670" w:type="dxa"/>
          </w:tcPr>
          <w:p w:rsidR="005D4D41" w:rsidRPr="003F3095" w:rsidP="009C20F8">
            <w:pPr>
              <w:rPr>
                <w:rFonts w:ascii="Calibri" w:eastAsia="Calibri" w:hAnsi="Calibri"/>
              </w:rPr>
            </w:pPr>
            <w:r>
              <w:rPr>
                <w:rFonts w:ascii="Calibri" w:eastAsia="Calibri" w:hAnsi="Calibri"/>
                <w:sz w:val="22"/>
                <w:szCs w:val="22"/>
              </w:rPr>
              <w:t>T</w:t>
            </w:r>
            <w:r w:rsidRPr="000C584B">
              <w:rPr>
                <w:rFonts w:ascii="Calibri" w:eastAsia="Calibri" w:hAnsi="Calibri"/>
              </w:rPr>
              <w:t>he Report</w:t>
            </w:r>
            <w:r>
              <w:rPr>
                <w:rFonts w:ascii="Calibri" w:eastAsia="Calibri" w:hAnsi="Calibri"/>
              </w:rPr>
              <w:t xml:space="preserve"> </w:t>
            </w:r>
            <w:r w:rsidR="009C20F8">
              <w:rPr>
                <w:rFonts w:ascii="Calibri" w:eastAsia="Calibri" w:hAnsi="Calibri"/>
              </w:rPr>
              <w:t>has been changed to</w:t>
            </w:r>
            <w:r w:rsidRPr="000C584B">
              <w:rPr>
                <w:rFonts w:ascii="Calibri" w:eastAsia="Calibri" w:hAnsi="Calibri"/>
              </w:rPr>
              <w:t xml:space="preserve"> recommend that the Registry (or Registrar) choose from among the choice of law options on the “menu,” i.e., the choice would not be negotiated with ICANN. </w:t>
            </w:r>
          </w:p>
        </w:tc>
        <w:tc>
          <w:tcPr>
            <w:tcW w:w="6570" w:type="dxa"/>
          </w:tcPr>
          <w:p w:rsidR="005D4D41" w:rsidP="00DA4498">
            <w:pPr>
              <w:pStyle w:val="BodyText"/>
              <w:spacing w:after="0"/>
              <w:rPr>
                <w:rFonts w:asciiTheme="minorHAnsi" w:hAnsiTheme="minorHAnsi"/>
                <w:b/>
              </w:rPr>
            </w:pPr>
            <w:r>
              <w:rPr>
                <w:rFonts w:asciiTheme="minorHAnsi" w:hAnsiTheme="minorHAnsi"/>
                <w:i/>
                <w:szCs w:val="24"/>
              </w:rPr>
              <w:t>The Public Comment draft mentioned two options: contracted party choice and negotiations with ICANN, but gave no opinion on which option would be preferable.</w:t>
            </w:r>
          </w:p>
        </w:tc>
      </w:tr>
      <w:tr w:rsidTr="00C87A60">
        <w:tblPrEx>
          <w:tblW w:w="13135" w:type="dxa"/>
          <w:tblLayout w:type="fixed"/>
          <w:tblCellMar>
            <w:top w:w="115" w:type="dxa"/>
            <w:left w:w="115" w:type="dxa"/>
            <w:bottom w:w="115" w:type="dxa"/>
            <w:right w:w="115" w:type="dxa"/>
          </w:tblCellMar>
          <w:tblLook w:val="04A0"/>
        </w:tblPrEx>
        <w:trPr>
          <w:cantSplit/>
        </w:trPr>
        <w:tc>
          <w:tcPr>
            <w:tcW w:w="895" w:type="dxa"/>
            <w:shd w:val="clear" w:color="auto" w:fill="B8CCE4" w:themeFill="accent1" w:themeFillTint="66"/>
          </w:tcPr>
          <w:p w:rsidR="005D4D41" w:rsidP="007A72B4">
            <w:pPr>
              <w:pStyle w:val="BodyText"/>
              <w:rPr>
                <w:rFonts w:asciiTheme="minorHAnsi" w:hAnsiTheme="minorHAnsi"/>
                <w:b/>
              </w:rPr>
            </w:pPr>
            <w:r>
              <w:rPr>
                <w:rFonts w:asciiTheme="minorHAnsi" w:hAnsiTheme="minorHAnsi"/>
                <w:b/>
              </w:rPr>
              <w:t>3</w:t>
            </w:r>
          </w:p>
        </w:tc>
        <w:tc>
          <w:tcPr>
            <w:tcW w:w="5670" w:type="dxa"/>
          </w:tcPr>
          <w:p w:rsidR="005D4D41" w:rsidRPr="003F3095" w:rsidP="00DA4498">
            <w:pPr>
              <w:pStyle w:val="BodyText"/>
              <w:spacing w:after="0"/>
              <w:rPr>
                <w:rFonts w:asciiTheme="minorHAnsi" w:hAnsiTheme="minorHAnsi"/>
                <w:i/>
                <w:szCs w:val="24"/>
              </w:rPr>
            </w:pPr>
            <w:r>
              <w:rPr>
                <w:rFonts w:asciiTheme="minorHAnsi" w:hAnsiTheme="minorHAnsi"/>
                <w:szCs w:val="24"/>
              </w:rPr>
              <w:t>This is a general note that section describing the work of the Subgroup after the draft was submitted to the plenary for the Abu Dhabi meeting has now been “accepted” into the document.</w:t>
            </w:r>
          </w:p>
        </w:tc>
        <w:tc>
          <w:tcPr>
            <w:tcW w:w="6570" w:type="dxa"/>
          </w:tcPr>
          <w:p w:rsidR="005D4D41" w:rsidP="00DA4498">
            <w:pPr>
              <w:pStyle w:val="BodyText"/>
              <w:spacing w:after="0"/>
              <w:rPr>
                <w:rFonts w:asciiTheme="minorHAnsi" w:hAnsiTheme="minorHAnsi"/>
                <w:b/>
              </w:rPr>
            </w:pPr>
            <w:r>
              <w:rPr>
                <w:rFonts w:asciiTheme="minorHAnsi" w:hAnsiTheme="minorHAnsi"/>
                <w:i/>
                <w:szCs w:val="24"/>
              </w:rPr>
              <w:t>This is noted for anyone who may not recall that this was in “suggest” mode for last week’s call.  This section is further revised by Note 4, below.</w:t>
            </w:r>
          </w:p>
        </w:tc>
      </w:tr>
      <w:tr w:rsidTr="00C87A60">
        <w:tblPrEx>
          <w:tblW w:w="13135" w:type="dxa"/>
          <w:tblLayout w:type="fixed"/>
          <w:tblCellMar>
            <w:top w:w="115" w:type="dxa"/>
            <w:left w:w="115" w:type="dxa"/>
            <w:bottom w:w="115" w:type="dxa"/>
            <w:right w:w="115" w:type="dxa"/>
          </w:tblCellMar>
          <w:tblLook w:val="04A0"/>
        </w:tblPrEx>
        <w:trPr>
          <w:cantSplit/>
        </w:trPr>
        <w:tc>
          <w:tcPr>
            <w:tcW w:w="895" w:type="dxa"/>
            <w:shd w:val="clear" w:color="auto" w:fill="B8CCE4" w:themeFill="accent1" w:themeFillTint="66"/>
          </w:tcPr>
          <w:p w:rsidR="005D4D41" w:rsidP="007A72B4">
            <w:pPr>
              <w:pStyle w:val="BodyText"/>
              <w:rPr>
                <w:rFonts w:asciiTheme="minorHAnsi" w:hAnsiTheme="minorHAnsi"/>
                <w:b/>
              </w:rPr>
            </w:pPr>
            <w:r>
              <w:rPr>
                <w:rFonts w:asciiTheme="minorHAnsi" w:hAnsiTheme="minorHAnsi"/>
                <w:b/>
              </w:rPr>
              <w:t>4</w:t>
            </w:r>
          </w:p>
        </w:tc>
        <w:tc>
          <w:tcPr>
            <w:tcW w:w="5670" w:type="dxa"/>
          </w:tcPr>
          <w:p w:rsidR="005D4D41" w:rsidRPr="00497B03" w:rsidP="003F3095">
            <w:pPr>
              <w:rPr>
                <w:rFonts w:ascii="Calibri" w:eastAsia="Calibri" w:hAnsi="Calibri"/>
              </w:rPr>
            </w:pPr>
            <w:r w:rsidRPr="00497B03">
              <w:rPr>
                <w:rFonts w:ascii="Calibri" w:eastAsia="Calibri" w:hAnsi="Calibri"/>
              </w:rPr>
              <w:t xml:space="preserve">In the “Overview of the Work of the Subgroup,” the following has been added: </w:t>
            </w:r>
          </w:p>
          <w:p w:rsidR="005D4D41" w:rsidP="003F3095">
            <w:pPr>
              <w:rPr>
                <w:rFonts w:asciiTheme="minorHAnsi" w:hAnsiTheme="minorHAnsi"/>
                <w:b/>
              </w:rPr>
            </w:pPr>
            <w:r w:rsidRPr="00497B03">
              <w:rPr>
                <w:rFonts w:ascii="Calibri" w:eastAsia="Calibri" w:hAnsi="Calibri"/>
              </w:rPr>
              <w:t>As a result of these discussions [in Abu Dhabi], the section “Further Discussions of Jurisdiction-Related Concerns” was added the draft Report, suggesting a path forward for these concerns beyond the CCWG-Accountability through a further other multistakeholder process.</w:t>
            </w:r>
          </w:p>
        </w:tc>
        <w:tc>
          <w:tcPr>
            <w:tcW w:w="6570" w:type="dxa"/>
          </w:tcPr>
          <w:p w:rsidR="005D4D41" w:rsidRPr="00D42630" w:rsidP="007A72B4">
            <w:pPr>
              <w:pStyle w:val="BodyText"/>
              <w:rPr>
                <w:rFonts w:asciiTheme="minorHAnsi" w:hAnsiTheme="minorHAnsi"/>
                <w:i/>
              </w:rPr>
            </w:pPr>
            <w:r>
              <w:rPr>
                <w:rFonts w:asciiTheme="minorHAnsi" w:hAnsiTheme="minorHAnsi"/>
                <w:i/>
              </w:rPr>
              <w:t>This is in response to a suggestion by Thiago Jardim</w:t>
            </w:r>
            <w:r w:rsidR="00DA4498">
              <w:rPr>
                <w:rFonts w:asciiTheme="minorHAnsi" w:hAnsiTheme="minorHAnsi"/>
                <w:i/>
              </w:rPr>
              <w:t>, in order to reflect that this section was not in the document submitted to the Plenary, but rather that it was added in response to the discussion in the F2F plenary meeting in Abu Dhabi</w:t>
            </w:r>
            <w:r>
              <w:rPr>
                <w:rFonts w:asciiTheme="minorHAnsi" w:hAnsiTheme="minorHAnsi"/>
                <w:i/>
              </w:rPr>
              <w:t>.</w:t>
            </w:r>
          </w:p>
        </w:tc>
      </w:tr>
      <w:tr w:rsidTr="00C87A60">
        <w:tblPrEx>
          <w:tblW w:w="13135" w:type="dxa"/>
          <w:tblLayout w:type="fixed"/>
          <w:tblCellMar>
            <w:top w:w="115" w:type="dxa"/>
            <w:left w:w="115" w:type="dxa"/>
            <w:bottom w:w="115" w:type="dxa"/>
            <w:right w:w="115" w:type="dxa"/>
          </w:tblCellMar>
          <w:tblLook w:val="04A0"/>
        </w:tblPrEx>
        <w:trPr>
          <w:cantSplit/>
        </w:trPr>
        <w:tc>
          <w:tcPr>
            <w:tcW w:w="895" w:type="dxa"/>
            <w:shd w:val="clear" w:color="auto" w:fill="B8CCE4" w:themeFill="accent1" w:themeFillTint="66"/>
          </w:tcPr>
          <w:p w:rsidR="005D4D41" w:rsidP="007A72B4">
            <w:pPr>
              <w:pStyle w:val="BodyText"/>
              <w:rPr>
                <w:rFonts w:asciiTheme="minorHAnsi" w:hAnsiTheme="minorHAnsi"/>
                <w:b/>
              </w:rPr>
            </w:pPr>
            <w:r>
              <w:rPr>
                <w:rFonts w:asciiTheme="minorHAnsi" w:hAnsiTheme="minorHAnsi"/>
                <w:b/>
              </w:rPr>
              <w:t>4.1</w:t>
            </w:r>
          </w:p>
        </w:tc>
        <w:tc>
          <w:tcPr>
            <w:tcW w:w="5670" w:type="dxa"/>
          </w:tcPr>
          <w:p w:rsidR="005D4D41" w:rsidP="003F3095">
            <w:pPr>
              <w:rPr>
                <w:rFonts w:ascii="Calibri" w:eastAsia="Calibri" w:hAnsi="Calibri"/>
              </w:rPr>
            </w:pPr>
            <w:r>
              <w:rPr>
                <w:rFonts w:ascii="Calibri" w:eastAsia="Calibri" w:hAnsi="Calibri"/>
              </w:rPr>
              <w:t xml:space="preserve">This suggestion has evolved somewhat. </w:t>
            </w:r>
            <w:r w:rsidRPr="00497B03">
              <w:rPr>
                <w:rFonts w:ascii="Calibri" w:eastAsia="Calibri" w:hAnsi="Calibri"/>
              </w:rPr>
              <w:t>Th</w:t>
            </w:r>
            <w:r>
              <w:rPr>
                <w:rFonts w:ascii="Calibri" w:eastAsia="Calibri" w:hAnsi="Calibri"/>
              </w:rPr>
              <w:t xml:space="preserve">iago earlier suggested that “Comments by other countries </w:t>
            </w:r>
            <w:r w:rsidRPr="00497B03">
              <w:rPr>
                <w:rFonts w:ascii="Calibri" w:eastAsia="Calibri" w:hAnsi="Calibri"/>
              </w:rPr>
              <w:t>in support for the further jurisdiction-related discussions, in particular immunities, shoul</w:t>
            </w:r>
            <w:r>
              <w:rPr>
                <w:rFonts w:ascii="Calibri" w:eastAsia="Calibri" w:hAnsi="Calibri"/>
              </w:rPr>
              <w:t>d be specifically referenced."</w:t>
            </w:r>
          </w:p>
          <w:p w:rsidR="005D4D41" w:rsidP="003F3095">
            <w:pPr>
              <w:rPr>
                <w:rFonts w:ascii="Calibri" w:eastAsia="Calibri" w:hAnsi="Calibri"/>
              </w:rPr>
            </w:pPr>
          </w:p>
          <w:p w:rsidR="005D4D41" w:rsidP="003F3095">
            <w:pPr>
              <w:rPr>
                <w:rFonts w:ascii="Calibri" w:eastAsia="Calibri" w:hAnsi="Calibri"/>
              </w:rPr>
            </w:pPr>
            <w:r>
              <w:rPr>
                <w:rFonts w:ascii="Calibri" w:eastAsia="Calibri" w:hAnsi="Calibri"/>
              </w:rPr>
              <w:t>After further discussion, Thiago’s revised suggestion appears to be:</w:t>
            </w:r>
          </w:p>
          <w:p w:rsidR="005D4D41" w:rsidP="00CB6245">
            <w:pPr>
              <w:numPr>
                <w:ilvl w:val="0"/>
                <w:numId w:val="35"/>
              </w:numPr>
              <w:ind w:left="374"/>
              <w:rPr>
                <w:rFonts w:ascii="Calibri" w:eastAsia="Calibri" w:hAnsi="Calibri"/>
              </w:rPr>
            </w:pPr>
            <w:r>
              <w:rPr>
                <w:rFonts w:ascii="Calibri" w:eastAsia="Calibri" w:hAnsi="Calibri"/>
              </w:rPr>
              <w:t xml:space="preserve">Comments by other countries </w:t>
            </w:r>
            <w:r w:rsidRPr="00497B03">
              <w:rPr>
                <w:rFonts w:ascii="Calibri" w:eastAsia="Calibri" w:hAnsi="Calibri"/>
              </w:rPr>
              <w:t>in support for the further jurisdiction-related discussions, in particular immunities, shoul</w:t>
            </w:r>
            <w:r>
              <w:rPr>
                <w:rFonts w:ascii="Calibri" w:eastAsia="Calibri" w:hAnsi="Calibri"/>
              </w:rPr>
              <w:t>d be specifically referenced.</w:t>
            </w:r>
          </w:p>
          <w:p w:rsidR="005D4D41" w:rsidP="00CB6245">
            <w:pPr>
              <w:numPr>
                <w:ilvl w:val="0"/>
                <w:numId w:val="35"/>
              </w:numPr>
              <w:ind w:left="374"/>
              <w:rPr>
                <w:rFonts w:ascii="Calibri" w:eastAsia="Calibri" w:hAnsi="Calibri"/>
              </w:rPr>
            </w:pPr>
            <w:r w:rsidRPr="00497B03">
              <w:rPr>
                <w:rFonts w:ascii="Calibri" w:eastAsia="Calibri" w:hAnsi="Calibri"/>
              </w:rPr>
              <w:t>it would be fair to also explicitly give similar sati</w:t>
            </w:r>
            <w:r>
              <w:rPr>
                <w:rFonts w:ascii="Calibri" w:eastAsia="Calibri" w:hAnsi="Calibri"/>
              </w:rPr>
              <w:t>sfaction to the contrary voices</w:t>
            </w:r>
          </w:p>
          <w:p w:rsidR="005D4D41" w:rsidRPr="00497B03" w:rsidP="00CB6245">
            <w:pPr>
              <w:numPr>
                <w:ilvl w:val="0"/>
                <w:numId w:val="35"/>
              </w:numPr>
              <w:ind w:left="374"/>
              <w:rPr>
                <w:rFonts w:ascii="Calibri" w:eastAsia="Calibri" w:hAnsi="Calibri"/>
              </w:rPr>
            </w:pPr>
            <w:r>
              <w:rPr>
                <w:rFonts w:ascii="Calibri" w:eastAsia="Calibri" w:hAnsi="Calibri"/>
              </w:rPr>
              <w:t>T</w:t>
            </w:r>
            <w:r w:rsidRPr="00CB6245">
              <w:rPr>
                <w:rFonts w:ascii="Calibri" w:eastAsia="Calibri" w:hAnsi="Calibri"/>
              </w:rPr>
              <w:t>hese</w:t>
            </w:r>
            <w:r w:rsidRPr="00497B03">
              <w:rPr>
                <w:rFonts w:ascii="Calibri" w:eastAsia="Calibri" w:hAnsi="Calibri"/>
              </w:rPr>
              <w:t xml:space="preserve"> are not really contrary to Brazil’s dissent, which </w:t>
            </w:r>
            <w:r>
              <w:rPr>
                <w:rFonts w:ascii="Calibri" w:eastAsia="Calibri" w:hAnsi="Calibri"/>
              </w:rPr>
              <w:t>should</w:t>
            </w:r>
            <w:r w:rsidRPr="00497B03">
              <w:rPr>
                <w:rFonts w:ascii="Calibri" w:eastAsia="Calibri" w:hAnsi="Calibri"/>
              </w:rPr>
              <w:t xml:space="preserve"> be made explicit in the report as part of the subgroup’s response to the comments received.”</w:t>
            </w:r>
          </w:p>
          <w:p w:rsidR="005D4D41" w:rsidRPr="00497B03" w:rsidP="003F3095">
            <w:pPr>
              <w:rPr>
                <w:rFonts w:ascii="Calibri" w:eastAsia="Calibri" w:hAnsi="Calibri"/>
              </w:rPr>
            </w:pPr>
          </w:p>
          <w:p w:rsidR="005D4D41" w:rsidRPr="008C6555" w:rsidP="003F3095">
            <w:pPr>
              <w:rPr>
                <w:rFonts w:ascii="Calibri" w:eastAsia="Calibri" w:hAnsi="Calibri"/>
              </w:rPr>
            </w:pPr>
            <w:r w:rsidRPr="008C6555">
              <w:rPr>
                <w:rFonts w:ascii="Calibri" w:eastAsia="Calibri" w:hAnsi="Calibri"/>
              </w:rPr>
              <w:t>No change has been made to the Report based on this Note, as it unclear what the level of support for this plan.  The Subgroup needs to determine if this addition should be made and if so, how.</w:t>
            </w:r>
          </w:p>
        </w:tc>
        <w:tc>
          <w:tcPr>
            <w:tcW w:w="6570" w:type="dxa"/>
          </w:tcPr>
          <w:p w:rsidR="005D4D41" w:rsidP="00D42630">
            <w:pPr>
              <w:rPr>
                <w:rFonts w:ascii="Calibri" w:eastAsia="Calibri" w:hAnsi="Calibri"/>
                <w:i/>
              </w:rPr>
            </w:pPr>
            <w:r>
              <w:rPr>
                <w:rFonts w:ascii="Calibri" w:eastAsia="Calibri" w:hAnsi="Calibri"/>
                <w:i/>
              </w:rPr>
              <w:t xml:space="preserve">The 2/26 draft framed this as a suggestion that the comment from France should be specifically referenced. </w:t>
            </w:r>
            <w:r w:rsidR="00C87A60">
              <w:rPr>
                <w:rFonts w:ascii="Calibri" w:eastAsia="Calibri" w:hAnsi="Calibri"/>
                <w:i/>
              </w:rPr>
              <w:t>Steve DelB</w:t>
            </w:r>
            <w:r>
              <w:rPr>
                <w:rFonts w:ascii="Calibri" w:eastAsia="Calibri" w:hAnsi="Calibri"/>
                <w:i/>
              </w:rPr>
              <w:t>ianco responded that</w:t>
            </w:r>
            <w:r w:rsidRPr="00497B03">
              <w:rPr>
                <w:rFonts w:ascii="Calibri" w:eastAsia="Calibri" w:hAnsi="Calibri"/>
                <w:i/>
              </w:rPr>
              <w:t>: “I do not understand the justification to single-out one comment (that of France) among so many that we received and considered. Pending an explanation of that justification, I would not support a note that calls attention to just one comment.”</w:t>
            </w:r>
          </w:p>
          <w:p w:rsidR="005D4D41" w:rsidP="00D42630">
            <w:pPr>
              <w:rPr>
                <w:rFonts w:ascii="Calibri" w:eastAsia="Calibri" w:hAnsi="Calibri"/>
                <w:i/>
              </w:rPr>
            </w:pPr>
          </w:p>
          <w:p w:rsidR="005D4D41" w:rsidRPr="00497B03" w:rsidP="00D42630">
            <w:pPr>
              <w:rPr>
                <w:rFonts w:ascii="Calibri" w:eastAsia="Calibri" w:hAnsi="Calibri"/>
                <w:i/>
              </w:rPr>
            </w:pPr>
            <w:r w:rsidRPr="00497B03">
              <w:rPr>
                <w:rFonts w:ascii="Calibri" w:eastAsia="Calibri" w:hAnsi="Calibri"/>
                <w:i/>
              </w:rPr>
              <w:t>Thiago replied: “On Note 4, it is a fair point, and I do not wish to push it further. My main point was as I clarified, to add text reflecting the subsequent addition to the report of the “further discussions on jurisdiction-related concerns”, and not so much concerned with singling out any of the comments received. So, again, what appears as Note 4 is distinct and independent from what appears as Note 4.1.  Yet I would only suggest dropping point 4.1 if others believe that the report, as slightly revised in reaction to the public comments received, did respond at least in some fashion to the comments that joined their voices to Brazil’s dissent in asking for further discussions to ta</w:t>
            </w:r>
            <w:r>
              <w:rPr>
                <w:rFonts w:ascii="Calibri" w:eastAsia="Calibri" w:hAnsi="Calibri"/>
                <w:i/>
              </w:rPr>
              <w:t xml:space="preserve">ke place, notably on immunity. </w:t>
            </w:r>
            <w:r w:rsidRPr="00497B03">
              <w:rPr>
                <w:rFonts w:ascii="Calibri" w:eastAsia="Calibri" w:hAnsi="Calibri"/>
                <w:i/>
              </w:rPr>
              <w:t>This not being the case, I do believe – as Greg suggested</w:t>
            </w:r>
            <w:r w:rsidR="00C87A60">
              <w:rPr>
                <w:rFonts w:ascii="Calibri" w:eastAsia="Calibri" w:hAnsi="Calibri"/>
                <w:i/>
              </w:rPr>
              <w:t>*</w:t>
            </w:r>
            <w:r w:rsidRPr="00497B03">
              <w:rPr>
                <w:rFonts w:ascii="Calibri" w:eastAsia="Calibri" w:hAnsi="Calibri"/>
                <w:i/>
              </w:rPr>
              <w:t xml:space="preserve"> – it would be fair to also explicitly give similar satisfaction to the contrary voices, which however, as I clarified in our previous call, are not really contrary to Brazil’s dissent, which fact should in my view be made explicit in the report as part of the subgroup’s response to the comments received.”</w:t>
            </w:r>
          </w:p>
          <w:p w:rsidR="005D4D41" w:rsidP="00D42630">
            <w:pPr>
              <w:rPr>
                <w:rFonts w:ascii="Calibri" w:eastAsia="Calibri" w:hAnsi="Calibri"/>
                <w:i/>
              </w:rPr>
            </w:pPr>
          </w:p>
          <w:p w:rsidR="005D4D41" w:rsidP="00C87A60">
            <w:pPr>
              <w:rPr>
                <w:rFonts w:asciiTheme="minorHAnsi" w:hAnsiTheme="minorHAnsi"/>
                <w:b/>
              </w:rPr>
            </w:pPr>
            <w:r>
              <w:rPr>
                <w:rFonts w:ascii="Calibri" w:eastAsia="Calibri" w:hAnsi="Calibri"/>
                <w:i/>
              </w:rPr>
              <w:t>*Clarification from Greg:</w:t>
            </w:r>
            <w:r w:rsidRPr="008C6555">
              <w:rPr>
                <w:rFonts w:ascii="Calibri" w:eastAsia="Calibri" w:hAnsi="Calibri"/>
                <w:i/>
              </w:rPr>
              <w:t xml:space="preserve"> my suggestion (as </w:t>
            </w:r>
            <w:r>
              <w:rPr>
                <w:rFonts w:ascii="Calibri" w:eastAsia="Calibri" w:hAnsi="Calibri"/>
                <w:i/>
              </w:rPr>
              <w:t>cited</w:t>
            </w:r>
            <w:r w:rsidRPr="008C6555">
              <w:rPr>
                <w:rFonts w:ascii="Calibri" w:eastAsia="Calibri" w:hAnsi="Calibri"/>
                <w:i/>
              </w:rPr>
              <w:t xml:space="preserve"> above by Thiago) </w:t>
            </w:r>
            <w:r>
              <w:rPr>
                <w:rFonts w:ascii="Calibri" w:eastAsia="Calibri" w:hAnsi="Calibri"/>
                <w:i/>
              </w:rPr>
              <w:t>should not be construed as</w:t>
            </w:r>
            <w:r w:rsidRPr="008C6555">
              <w:rPr>
                <w:rFonts w:ascii="Calibri" w:eastAsia="Calibri" w:hAnsi="Calibri"/>
                <w:i/>
              </w:rPr>
              <w:t xml:space="preserve"> support </w:t>
            </w:r>
            <w:r>
              <w:rPr>
                <w:rFonts w:ascii="Calibri" w:eastAsia="Calibri" w:hAnsi="Calibri"/>
                <w:i/>
              </w:rPr>
              <w:t xml:space="preserve">for </w:t>
            </w:r>
            <w:r w:rsidRPr="008C6555">
              <w:rPr>
                <w:rFonts w:ascii="Calibri" w:eastAsia="Calibri" w:hAnsi="Calibri"/>
                <w:i/>
              </w:rPr>
              <w:t>that particular outcome.</w:t>
            </w:r>
          </w:p>
        </w:tc>
      </w:tr>
      <w:tr w:rsidTr="00C87A60">
        <w:tblPrEx>
          <w:tblW w:w="13135" w:type="dxa"/>
          <w:tblLayout w:type="fixed"/>
          <w:tblCellMar>
            <w:top w:w="115" w:type="dxa"/>
            <w:left w:w="115" w:type="dxa"/>
            <w:bottom w:w="115" w:type="dxa"/>
            <w:right w:w="115" w:type="dxa"/>
          </w:tblCellMar>
          <w:tblLook w:val="04A0"/>
        </w:tblPrEx>
        <w:trPr>
          <w:cantSplit/>
        </w:trPr>
        <w:tc>
          <w:tcPr>
            <w:tcW w:w="895" w:type="dxa"/>
            <w:shd w:val="clear" w:color="auto" w:fill="B8CCE4" w:themeFill="accent1" w:themeFillTint="66"/>
          </w:tcPr>
          <w:p w:rsidR="005D4D41" w:rsidP="007A72B4">
            <w:pPr>
              <w:pStyle w:val="BodyText"/>
              <w:rPr>
                <w:rFonts w:asciiTheme="minorHAnsi" w:hAnsiTheme="minorHAnsi"/>
                <w:b/>
              </w:rPr>
            </w:pPr>
            <w:r>
              <w:rPr>
                <w:rFonts w:asciiTheme="minorHAnsi" w:hAnsiTheme="minorHAnsi"/>
                <w:b/>
              </w:rPr>
              <w:t>5</w:t>
            </w:r>
          </w:p>
        </w:tc>
        <w:tc>
          <w:tcPr>
            <w:tcW w:w="5670" w:type="dxa"/>
          </w:tcPr>
          <w:p w:rsidR="005D4D41" w:rsidP="003F3095">
            <w:pPr>
              <w:rPr>
                <w:rFonts w:ascii="Calibri" w:eastAsia="Calibri" w:hAnsi="Calibri"/>
              </w:rPr>
            </w:pPr>
            <w:r>
              <w:rPr>
                <w:rFonts w:ascii="Calibri" w:eastAsia="Calibri" w:hAnsi="Calibri"/>
              </w:rPr>
              <w:t>This text is proposed to be added at</w:t>
            </w:r>
            <w:r>
              <w:rPr>
                <w:rFonts w:ascii="Calibri" w:eastAsia="Calibri" w:hAnsi="Calibri"/>
              </w:rPr>
              <w:t xml:space="preserve"> the end of the recommendations on sanctions: </w:t>
            </w:r>
          </w:p>
          <w:p w:rsidR="005D4D41" w:rsidP="003F3095">
            <w:pPr>
              <w:rPr>
                <w:rFonts w:ascii="Calibri" w:eastAsia="Calibri" w:hAnsi="Calibri"/>
              </w:rPr>
            </w:pPr>
          </w:p>
          <w:p w:rsidR="005D4D41" w:rsidRPr="003F3095" w:rsidP="003F3095">
            <w:pPr>
              <w:rPr>
                <w:rFonts w:ascii="Calibri" w:eastAsia="Calibri" w:hAnsi="Calibri"/>
              </w:rPr>
            </w:pPr>
            <w:r>
              <w:rPr>
                <w:rFonts w:ascii="Calibri" w:eastAsia="Calibri" w:hAnsi="Calibri"/>
              </w:rPr>
              <w:t>“</w:t>
            </w:r>
            <w:r w:rsidRPr="000547F1">
              <w:rPr>
                <w:rFonts w:ascii="Calibri" w:eastAsia="Calibri" w:hAnsi="Calibri"/>
              </w:rPr>
              <w:t>When implementing each of the recommendations in this section, their utmost importance to ICANN in carrying out its mission and facilitating global access to DNS should be considered.  Taking into account this importance, the implementation phase should start as soon as possible, but in no event later than six months after approval by the ICANN Board.</w:t>
            </w:r>
            <w:r>
              <w:rPr>
                <w:rFonts w:ascii="Calibri" w:eastAsia="Calibri" w:hAnsi="Calibri"/>
              </w:rPr>
              <w:t>”</w:t>
            </w:r>
          </w:p>
        </w:tc>
        <w:tc>
          <w:tcPr>
            <w:tcW w:w="6570" w:type="dxa"/>
          </w:tcPr>
          <w:p w:rsidR="005D4D41" w:rsidRPr="005D4D41" w:rsidP="007A72B4">
            <w:pPr>
              <w:pStyle w:val="BodyText"/>
              <w:rPr>
                <w:rFonts w:asciiTheme="minorHAnsi" w:hAnsiTheme="minorHAnsi"/>
                <w:i/>
              </w:rPr>
            </w:pPr>
            <w:r w:rsidRPr="005D4D41">
              <w:rPr>
                <w:rFonts w:asciiTheme="minorHAnsi" w:hAnsiTheme="minorHAnsi"/>
                <w:i/>
              </w:rPr>
              <w:t xml:space="preserve">At the 7 February subgroup meeting, the NCSG comments on this recommendation were discussed and NCSG members on the call were asked to propose possible edits to this text for consideration by the Subgroup. Draft language was submitted by Farzaneh Badii and Tatiana Tropina for the Subgroup's consideration; this proposed language </w:t>
            </w:r>
            <w:r>
              <w:rPr>
                <w:rFonts w:asciiTheme="minorHAnsi" w:hAnsiTheme="minorHAnsi"/>
                <w:i/>
              </w:rPr>
              <w:t>has now been edited for clarity.</w:t>
            </w:r>
          </w:p>
        </w:tc>
      </w:tr>
      <w:tr w:rsidTr="00C87A60">
        <w:tblPrEx>
          <w:tblW w:w="13135" w:type="dxa"/>
          <w:tblLayout w:type="fixed"/>
          <w:tblCellMar>
            <w:top w:w="115" w:type="dxa"/>
            <w:left w:w="115" w:type="dxa"/>
            <w:bottom w:w="115" w:type="dxa"/>
            <w:right w:w="115" w:type="dxa"/>
          </w:tblCellMar>
          <w:tblLook w:val="04A0"/>
        </w:tblPrEx>
        <w:trPr>
          <w:cantSplit/>
        </w:trPr>
        <w:tc>
          <w:tcPr>
            <w:tcW w:w="895" w:type="dxa"/>
            <w:shd w:val="clear" w:color="auto" w:fill="B8CCE4" w:themeFill="accent1" w:themeFillTint="66"/>
          </w:tcPr>
          <w:p w:rsidR="005D4D41" w:rsidP="007A72B4">
            <w:pPr>
              <w:pStyle w:val="BodyText"/>
              <w:rPr>
                <w:rFonts w:asciiTheme="minorHAnsi" w:hAnsiTheme="minorHAnsi"/>
                <w:b/>
              </w:rPr>
            </w:pPr>
            <w:r>
              <w:rPr>
                <w:rFonts w:asciiTheme="minorHAnsi" w:hAnsiTheme="minorHAnsi"/>
                <w:b/>
              </w:rPr>
              <w:t>6</w:t>
            </w:r>
          </w:p>
        </w:tc>
        <w:tc>
          <w:tcPr>
            <w:tcW w:w="5670" w:type="dxa"/>
          </w:tcPr>
          <w:p w:rsidR="005D4D41" w:rsidRPr="008C6555" w:rsidP="005D4D41">
            <w:pPr>
              <w:rPr>
                <w:rFonts w:ascii="Calibri" w:eastAsia="Calibri" w:hAnsi="Calibri"/>
              </w:rPr>
            </w:pPr>
            <w:r>
              <w:rPr>
                <w:rFonts w:ascii="Calibri" w:eastAsia="Calibri" w:hAnsi="Calibri"/>
              </w:rPr>
              <w:t>This is a general note that the Stress Tests have now been “accepted” into the Report document.</w:t>
            </w:r>
          </w:p>
        </w:tc>
        <w:tc>
          <w:tcPr>
            <w:tcW w:w="6570" w:type="dxa"/>
          </w:tcPr>
          <w:p w:rsidR="005D4D41" w:rsidP="005D4D41">
            <w:pPr>
              <w:pStyle w:val="BodyText"/>
              <w:spacing w:after="0"/>
              <w:rPr>
                <w:rFonts w:asciiTheme="minorHAnsi" w:hAnsiTheme="minorHAnsi"/>
                <w:b/>
              </w:rPr>
            </w:pPr>
            <w:r>
              <w:rPr>
                <w:rFonts w:asciiTheme="minorHAnsi" w:hAnsiTheme="minorHAnsi"/>
                <w:i/>
                <w:szCs w:val="24"/>
              </w:rPr>
              <w:t>This is noted for anyone who may not recall that this was in “suggest” mode for last week’s call.  This section is further revised by Note 7, below.</w:t>
            </w:r>
          </w:p>
        </w:tc>
      </w:tr>
      <w:tr w:rsidTr="00C87A60">
        <w:tblPrEx>
          <w:tblW w:w="13135" w:type="dxa"/>
          <w:tblLayout w:type="fixed"/>
          <w:tblCellMar>
            <w:top w:w="115" w:type="dxa"/>
            <w:left w:w="115" w:type="dxa"/>
            <w:bottom w:w="115" w:type="dxa"/>
            <w:right w:w="115" w:type="dxa"/>
          </w:tblCellMar>
          <w:tblLook w:val="04A0"/>
        </w:tblPrEx>
        <w:trPr>
          <w:cantSplit/>
        </w:trPr>
        <w:tc>
          <w:tcPr>
            <w:tcW w:w="895" w:type="dxa"/>
            <w:shd w:val="clear" w:color="auto" w:fill="B8CCE4" w:themeFill="accent1" w:themeFillTint="66"/>
          </w:tcPr>
          <w:p w:rsidR="005D4D41" w:rsidP="007A72B4">
            <w:pPr>
              <w:pStyle w:val="BodyText"/>
              <w:rPr>
                <w:rFonts w:asciiTheme="minorHAnsi" w:hAnsiTheme="minorHAnsi"/>
                <w:b/>
              </w:rPr>
            </w:pPr>
            <w:r>
              <w:rPr>
                <w:rFonts w:asciiTheme="minorHAnsi" w:hAnsiTheme="minorHAnsi"/>
                <w:b/>
              </w:rPr>
              <w:t>7</w:t>
            </w:r>
          </w:p>
        </w:tc>
        <w:tc>
          <w:tcPr>
            <w:tcW w:w="5670" w:type="dxa"/>
          </w:tcPr>
          <w:p w:rsidR="005D4D41" w:rsidRPr="008C6555" w:rsidP="003F3095">
            <w:pPr>
              <w:rPr>
                <w:rFonts w:ascii="Calibri" w:eastAsia="Calibri" w:hAnsi="Calibri"/>
              </w:rPr>
            </w:pPr>
            <w:r w:rsidRPr="00497B03">
              <w:rPr>
                <w:rFonts w:ascii="Calibri" w:eastAsia="Calibri" w:hAnsi="Calibri"/>
              </w:rPr>
              <w:t>A “friendly amendment” was made on last week’s call to Stress Test 1 in “Proposed Accountability Measures,” to clarify that any registrar’s ability to “accept domain registration requests from citizens of any country” is still “subject to limitations and obligations due to applicable law and registry restrictions.”</w:t>
            </w:r>
          </w:p>
        </w:tc>
        <w:tc>
          <w:tcPr>
            <w:tcW w:w="6570" w:type="dxa"/>
          </w:tcPr>
          <w:p w:rsidR="005D4D41" w:rsidRPr="008C6555" w:rsidP="007A72B4">
            <w:pPr>
              <w:pStyle w:val="BodyText"/>
              <w:rPr>
                <w:rFonts w:asciiTheme="minorHAnsi" w:hAnsiTheme="minorHAnsi"/>
              </w:rPr>
            </w:pPr>
            <w:r w:rsidRPr="008C6555">
              <w:rPr>
                <w:rFonts w:asciiTheme="minorHAnsi" w:hAnsiTheme="minorHAnsi"/>
                <w:i/>
              </w:rPr>
              <w:t>This change was inadvertently excluded from the prior draft, although it was agreed on the call without objection.</w:t>
            </w:r>
          </w:p>
        </w:tc>
      </w:tr>
    </w:tbl>
    <w:p w:rsidR="007A72B4" w:rsidRPr="00497B03" w:rsidP="007A72B4">
      <w:pPr>
        <w:pStyle w:val="BodyText"/>
        <w:rPr>
          <w:rFonts w:asciiTheme="minorHAnsi" w:hAnsiTheme="minorHAnsi"/>
          <w:szCs w:val="24"/>
        </w:rPr>
      </w:pPr>
    </w:p>
    <w:sectPr w:rsidSect="009C20F8">
      <w:footerReference w:type="default" r:id="rId5"/>
      <w:footerReference w:type="first" r:id="rId6"/>
      <w:pgSz w:w="15840" w:h="12240" w:orient="landscape"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FAE" w:rsidP="00177F64">
    <w:pPr>
      <w:pStyle w:val="Footer"/>
    </w:pPr>
    <w:r>
      <w:fldChar w:fldCharType="begin"/>
    </w:r>
    <w:r>
      <w:instrText xml:space="preserve"> DOCPROPERTY "DOCID" \* MERGEFORMAT </w:instrText>
    </w:r>
    <w:r>
      <w:fldChar w:fldCharType="separate"/>
    </w:r>
    <w:r w:rsidRPr="007A72B4" w:rsidR="007A72B4">
      <w:rPr>
        <w:rStyle w:val="DocID"/>
      </w:rPr>
      <w:t xml:space="preserve"> </w:t>
    </w:r>
    <w:r w:rsidRPr="007A72B4" w:rsidR="007A72B4">
      <w:rPr>
        <w:rStyle w:val="DocID"/>
      </w:rPr>
      <w:fldChar w:fldCharType="end"/>
    </w:r>
    <w:r w:rsidR="0081576D">
      <w:rPr>
        <w:rStyle w:val="DocID"/>
      </w:rPr>
      <w:t xml:space="preserve"> </w:t>
    </w: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D9" w:rsidRPr="000B2E46" w:rsidP="00177F64">
    <w:pPr>
      <w:pStyle w:val="Footer"/>
    </w:pPr>
    <w:r>
      <w:fldChar w:fldCharType="begin"/>
    </w:r>
    <w:r>
      <w:instrText xml:space="preserve"> DOCPROPERTY "DOCID" \* MERGEFORMAT </w:instrText>
    </w:r>
    <w:r>
      <w:fldChar w:fldCharType="separate"/>
    </w:r>
    <w:r w:rsidRPr="007A72B4" w:rsidR="007A72B4">
      <w:rPr>
        <w:rStyle w:val="DocID"/>
      </w:rPr>
      <w:t xml:space="preserve"> </w:t>
    </w:r>
    <w:r w:rsidRPr="007A72B4" w:rsidR="007A72B4">
      <w:rPr>
        <w:rStyle w:val="DocID"/>
      </w:rPr>
      <w:fldChar w:fldCharType="end"/>
    </w:r>
    <w:r w:rsidRPr="00177F64" w:rsidR="0081576D">
      <w:t xml:space="preserve"> </w:t>
    </w:r>
    <w:r>
      <w:ptab w:relativeTo="margin" w:alignment="center" w:leader="none"/>
    </w:r>
    <w:r>
      <w:ptab w:relativeTo="margin" w:alignment="right" w:leader="none"/>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753C13E8"/>
    <w:lvl w:ilvl="0">
      <w:start w:val="1"/>
      <w:numFmt w:val="decimal"/>
      <w:pStyle w:val="ListNumber3"/>
      <w:lvlText w:val="%1."/>
      <w:lvlJc w:val="left"/>
      <w:pPr>
        <w:tabs>
          <w:tab w:val="num" w:pos="1080"/>
        </w:tabs>
        <w:ind w:left="1080" w:hanging="360"/>
      </w:pPr>
      <w:rPr>
        <w:rFonts w:hint="default"/>
      </w:rPr>
    </w:lvl>
  </w:abstractNum>
  <w:abstractNum w:abstractNumId="1">
    <w:nsid w:val="FFFFFF7F"/>
    <w:multiLevelType w:val="singleLevel"/>
    <w:tmpl w:val="85C432C2"/>
    <w:lvl w:ilvl="0">
      <w:start w:val="1"/>
      <w:numFmt w:val="decimal"/>
      <w:pStyle w:val="ListNumber2"/>
      <w:lvlText w:val="%1."/>
      <w:lvlJc w:val="left"/>
      <w:pPr>
        <w:tabs>
          <w:tab w:val="num" w:pos="720"/>
        </w:tabs>
        <w:ind w:left="720" w:hanging="360"/>
      </w:pPr>
    </w:lvl>
  </w:abstractNum>
  <w:abstractNum w:abstractNumId="2">
    <w:nsid w:val="FFFFFF82"/>
    <w:multiLevelType w:val="singleLevel"/>
    <w:tmpl w:val="C9E2A1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FCADFF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A4C189A"/>
    <w:lvl w:ilvl="0">
      <w:start w:val="1"/>
      <w:numFmt w:val="decimal"/>
      <w:pStyle w:val="ListNumber"/>
      <w:lvlText w:val="%1."/>
      <w:lvlJc w:val="left"/>
      <w:pPr>
        <w:tabs>
          <w:tab w:val="num" w:pos="360"/>
        </w:tabs>
        <w:ind w:left="360" w:hanging="360"/>
      </w:pPr>
    </w:lvl>
  </w:abstractNum>
  <w:abstractNum w:abstractNumId="5">
    <w:nsid w:val="FFFFFF89"/>
    <w:multiLevelType w:val="singleLevel"/>
    <w:tmpl w:val="8E9C792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6887603B"/>
    <w:multiLevelType w:val="hybridMultilevel"/>
    <w:tmpl w:val="196EF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2"/>
  </w:num>
  <w:num w:numId="18">
    <w:abstractNumId w:val="4"/>
  </w:num>
  <w:num w:numId="19">
    <w:abstractNumId w:val="1"/>
  </w:num>
  <w:num w:numId="20">
    <w:abstractNumId w:val="0"/>
  </w:num>
  <w:num w:numId="21">
    <w:abstractNumId w:val="5"/>
  </w:num>
  <w:num w:numId="22">
    <w:abstractNumId w:val="3"/>
  </w:num>
  <w:num w:numId="23">
    <w:abstractNumId w:val="2"/>
  </w:num>
  <w:num w:numId="24">
    <w:abstractNumId w:val="4"/>
  </w:num>
  <w:num w:numId="25">
    <w:abstractNumId w:val="1"/>
  </w:num>
  <w:num w:numId="26">
    <w:abstractNumId w:val="0"/>
  </w:num>
  <w:num w:numId="27">
    <w:abstractNumId w:val="5"/>
  </w:num>
  <w:num w:numId="28">
    <w:abstractNumId w:val="5"/>
  </w:num>
  <w:num w:numId="29">
    <w:abstractNumId w:val="5"/>
  </w:num>
  <w:num w:numId="30">
    <w:abstractNumId w:val="3"/>
  </w:num>
  <w:num w:numId="31">
    <w:abstractNumId w:val="2"/>
  </w:num>
  <w:num w:numId="32">
    <w:abstractNumId w:val="4"/>
  </w:num>
  <w:num w:numId="33">
    <w:abstractNumId w:val="1"/>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uiPriority="1"/>
    <w:lsdException w:name="List Bullet 4" w:semiHidden="1" w:unhideWhenUsed="1"/>
    <w:lsdException w:name="List Bullet 5" w:semiHidden="1" w:unhideWhenUsed="1"/>
    <w:lsdException w:name="List Number 2" w:semiHidden="1" w:uiPriority="0" w:unhideWhenUsed="1"/>
    <w:lsdException w:name="List Number 3" w:uiPriority="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uiPriority="1"/>
    <w:lsdException w:name="List Continue 4" w:semiHidden="1" w:unhideWhenUsed="1"/>
    <w:lsdException w:name="List Continue 5" w:semiHidden="1" w:unhideWhenUsed="1"/>
    <w:lsdException w:name="Message Header" w:semiHidden="1" w:uiPriority="0" w:unhideWhenUsed="1"/>
    <w:lsdException w:name="Subtitle" w:uiPriority="5" w:qFormat="1"/>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latentStyles>
  <w:style w:type="paragraph" w:default="1" w:styleId="Normal">
    <w:name w:val="Normal"/>
    <w:uiPriority w:val="19"/>
    <w:qFormat/>
    <w:rsid w:val="0042581E"/>
    <w:pPr>
      <w:spacing w:after="0"/>
      <w:ind w:left="0" w:right="0" w:firstLine="0"/>
    </w:pPr>
    <w:rPr>
      <w:sz w:val="24"/>
      <w:szCs w:val="24"/>
    </w:rPr>
  </w:style>
  <w:style w:type="paragraph" w:styleId="Heading1">
    <w:name w:val="heading 1"/>
    <w:basedOn w:val="Normal"/>
    <w:next w:val="Normal"/>
    <w:link w:val="Heading1Char"/>
    <w:qFormat/>
    <w:rsid w:val="001F558F"/>
    <w:pPr>
      <w:keepNext/>
      <w:spacing w:after="240"/>
      <w:jc w:val="center"/>
      <w:outlineLvl w:val="0"/>
    </w:pPr>
    <w:rPr>
      <w:b/>
      <w:bCs/>
      <w:caps/>
      <w:kern w:val="32"/>
      <w:szCs w:val="32"/>
    </w:rPr>
  </w:style>
  <w:style w:type="paragraph" w:styleId="Heading2">
    <w:name w:val="heading 2"/>
    <w:basedOn w:val="Normal"/>
    <w:next w:val="Normal"/>
    <w:link w:val="Heading2Char"/>
    <w:qFormat/>
    <w:rsid w:val="001F558F"/>
    <w:pPr>
      <w:keepNext/>
      <w:spacing w:after="240"/>
      <w:jc w:val="center"/>
      <w:outlineLvl w:val="1"/>
    </w:pPr>
    <w:rPr>
      <w:b/>
      <w:bCs/>
      <w:iCs/>
      <w:szCs w:val="28"/>
      <w:u w:val="single"/>
    </w:rPr>
  </w:style>
  <w:style w:type="paragraph" w:styleId="Heading3">
    <w:name w:val="heading 3"/>
    <w:basedOn w:val="Normal"/>
    <w:next w:val="Normal"/>
    <w:link w:val="Heading3Char"/>
    <w:qFormat/>
    <w:rsid w:val="001F558F"/>
    <w:pPr>
      <w:keepNext/>
      <w:spacing w:after="240"/>
      <w:outlineLvl w:val="2"/>
    </w:pPr>
    <w:rPr>
      <w:b/>
      <w:bCs/>
      <w:szCs w:val="26"/>
      <w:u w:val="single"/>
    </w:rPr>
  </w:style>
  <w:style w:type="paragraph" w:styleId="Heading4">
    <w:name w:val="heading 4"/>
    <w:basedOn w:val="Normal"/>
    <w:next w:val="Normal"/>
    <w:link w:val="Heading4Char"/>
    <w:qFormat/>
    <w:rsid w:val="001F558F"/>
    <w:pPr>
      <w:keepNext/>
      <w:spacing w:after="240"/>
      <w:outlineLvl w:val="3"/>
    </w:pPr>
    <w:rPr>
      <w:b/>
      <w:bCs/>
      <w:i/>
      <w:szCs w:val="28"/>
      <w:u w:val="single"/>
    </w:rPr>
  </w:style>
  <w:style w:type="paragraph" w:styleId="Heading5">
    <w:name w:val="heading 5"/>
    <w:basedOn w:val="Normal"/>
    <w:next w:val="Normal"/>
    <w:link w:val="Heading5Char"/>
    <w:qFormat/>
    <w:rsid w:val="001F558F"/>
    <w:pPr>
      <w:keepNext/>
      <w:spacing w:after="240"/>
      <w:outlineLvl w:val="4"/>
    </w:pPr>
    <w:rPr>
      <w:b/>
      <w:bCs/>
      <w:iCs/>
      <w:szCs w:val="26"/>
    </w:rPr>
  </w:style>
  <w:style w:type="paragraph" w:styleId="Heading6">
    <w:name w:val="heading 6"/>
    <w:basedOn w:val="Normal"/>
    <w:next w:val="Normal"/>
    <w:link w:val="Heading6Char"/>
    <w:qFormat/>
    <w:rsid w:val="001F558F"/>
    <w:pPr>
      <w:keepNext/>
      <w:spacing w:after="240"/>
      <w:outlineLvl w:val="5"/>
    </w:pPr>
    <w:rPr>
      <w:bCs/>
      <w:i/>
      <w:szCs w:val="22"/>
    </w:rPr>
  </w:style>
  <w:style w:type="paragraph" w:styleId="Heading7">
    <w:name w:val="heading 7"/>
    <w:basedOn w:val="Normal"/>
    <w:next w:val="Normal"/>
    <w:link w:val="Heading7Char"/>
    <w:qFormat/>
    <w:rsid w:val="001F558F"/>
    <w:pPr>
      <w:keepNext/>
      <w:spacing w:after="240"/>
      <w:outlineLvl w:val="6"/>
    </w:pPr>
    <w:rPr>
      <w:u w:val="single"/>
    </w:rPr>
  </w:style>
  <w:style w:type="paragraph" w:styleId="Heading8">
    <w:name w:val="heading 8"/>
    <w:basedOn w:val="Normal"/>
    <w:next w:val="Normal"/>
    <w:link w:val="Heading8Char"/>
    <w:qFormat/>
    <w:rsid w:val="001F558F"/>
    <w:pPr>
      <w:keepNext/>
      <w:spacing w:after="240"/>
      <w:outlineLvl w:val="7"/>
    </w:pPr>
    <w:rPr>
      <w:i/>
      <w:iCs/>
      <w:u w:val="single"/>
    </w:rPr>
  </w:style>
  <w:style w:type="paragraph" w:styleId="Heading9">
    <w:name w:val="heading 9"/>
    <w:basedOn w:val="Normal"/>
    <w:next w:val="Normal"/>
    <w:link w:val="Heading9Char"/>
    <w:qFormat/>
    <w:rsid w:val="001F558F"/>
    <w:pPr>
      <w:keepNext/>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8F"/>
    <w:rPr>
      <w:b/>
      <w:bCs/>
      <w:caps/>
      <w:kern w:val="32"/>
      <w:sz w:val="24"/>
      <w:szCs w:val="32"/>
    </w:rPr>
  </w:style>
  <w:style w:type="character" w:customStyle="1" w:styleId="Heading2Char">
    <w:name w:val="Heading 2 Char"/>
    <w:link w:val="Heading2"/>
    <w:rsid w:val="001F558F"/>
    <w:rPr>
      <w:b/>
      <w:bCs/>
      <w:iCs/>
      <w:sz w:val="24"/>
      <w:szCs w:val="28"/>
      <w:u w:val="single"/>
    </w:rPr>
  </w:style>
  <w:style w:type="character" w:customStyle="1" w:styleId="Heading3Char">
    <w:name w:val="Heading 3 Char"/>
    <w:link w:val="Heading3"/>
    <w:rsid w:val="001F558F"/>
    <w:rPr>
      <w:b/>
      <w:bCs/>
      <w:sz w:val="24"/>
      <w:szCs w:val="26"/>
      <w:u w:val="single"/>
    </w:rPr>
  </w:style>
  <w:style w:type="character" w:customStyle="1" w:styleId="Heading4Char">
    <w:name w:val="Heading 4 Char"/>
    <w:link w:val="Heading4"/>
    <w:rsid w:val="001F558F"/>
    <w:rPr>
      <w:b/>
      <w:bCs/>
      <w:i/>
      <w:sz w:val="24"/>
      <w:szCs w:val="28"/>
      <w:u w:val="single"/>
    </w:rPr>
  </w:style>
  <w:style w:type="paragraph" w:styleId="Caption">
    <w:name w:val="caption"/>
    <w:basedOn w:val="Normal"/>
    <w:next w:val="Normal"/>
    <w:semiHidden/>
    <w:unhideWhenUsed/>
    <w:qFormat/>
    <w:rsid w:val="00D35F04"/>
    <w:pPr>
      <w:spacing w:after="200"/>
    </w:pPr>
    <w:rPr>
      <w:rFonts w:eastAsiaTheme="minorEastAsia"/>
      <w:b/>
      <w:bCs/>
      <w:sz w:val="18"/>
      <w:szCs w:val="18"/>
    </w:rPr>
  </w:style>
  <w:style w:type="paragraph" w:styleId="ListBullet">
    <w:name w:val="List Bullet"/>
    <w:basedOn w:val="Normal"/>
    <w:rsid w:val="001F558F"/>
    <w:pPr>
      <w:numPr>
        <w:numId w:val="29"/>
      </w:numPr>
      <w:tabs>
        <w:tab w:val="clear" w:pos="360"/>
        <w:tab w:val="left" w:pos="720"/>
      </w:tabs>
      <w:spacing w:after="240"/>
      <w:ind w:left="720" w:hanging="720"/>
    </w:pPr>
    <w:rPr>
      <w:szCs w:val="20"/>
    </w:rPr>
  </w:style>
  <w:style w:type="paragraph" w:styleId="ListNumber">
    <w:name w:val="List Number"/>
    <w:basedOn w:val="Normal"/>
    <w:rsid w:val="001F558F"/>
    <w:pPr>
      <w:numPr>
        <w:numId w:val="32"/>
      </w:numPr>
      <w:tabs>
        <w:tab w:val="clear" w:pos="360"/>
      </w:tabs>
      <w:spacing w:after="240"/>
      <w:ind w:left="720" w:hanging="720"/>
    </w:pPr>
    <w:rPr>
      <w:szCs w:val="20"/>
    </w:rPr>
  </w:style>
  <w:style w:type="paragraph" w:styleId="Title">
    <w:name w:val="Title"/>
    <w:link w:val="TitleChar"/>
    <w:uiPriority w:val="4"/>
    <w:qFormat/>
    <w:rsid w:val="00D35F04"/>
    <w:pPr>
      <w:keepNext/>
      <w:ind w:left="0" w:right="0" w:firstLine="0"/>
      <w:jc w:val="center"/>
      <w:outlineLvl w:val="0"/>
    </w:pPr>
    <w:rPr>
      <w:rFonts w:eastAsiaTheme="majorEastAsia" w:cs="Arial"/>
      <w:b/>
      <w:bCs/>
      <w:sz w:val="24"/>
      <w:szCs w:val="32"/>
    </w:rPr>
  </w:style>
  <w:style w:type="character" w:customStyle="1" w:styleId="TitleChar">
    <w:name w:val="Title Char"/>
    <w:link w:val="Title"/>
    <w:uiPriority w:val="4"/>
    <w:rsid w:val="00D35F04"/>
    <w:rPr>
      <w:rFonts w:eastAsiaTheme="majorEastAsia" w:cs="Arial"/>
      <w:b/>
      <w:bCs/>
      <w:sz w:val="24"/>
      <w:szCs w:val="32"/>
    </w:rPr>
  </w:style>
  <w:style w:type="paragraph" w:styleId="Signature">
    <w:name w:val="Signature"/>
    <w:basedOn w:val="Normal"/>
    <w:link w:val="SignatureChar"/>
    <w:uiPriority w:val="14"/>
    <w:qFormat/>
    <w:rsid w:val="009F25C7"/>
    <w:pPr>
      <w:tabs>
        <w:tab w:val="right" w:leader="underscore" w:pos="9360"/>
      </w:tabs>
      <w:spacing w:after="240"/>
      <w:ind w:left="4320"/>
    </w:pPr>
    <w:rPr>
      <w:szCs w:val="20"/>
    </w:rPr>
  </w:style>
  <w:style w:type="character" w:customStyle="1" w:styleId="SignatureChar">
    <w:name w:val="Signature Char"/>
    <w:link w:val="Signature"/>
    <w:uiPriority w:val="14"/>
    <w:rsid w:val="009F25C7"/>
    <w:rPr>
      <w:sz w:val="24"/>
    </w:rPr>
  </w:style>
  <w:style w:type="paragraph" w:styleId="BodyText">
    <w:name w:val="Body Text"/>
    <w:basedOn w:val="Normal"/>
    <w:link w:val="BodyTextChar"/>
    <w:qFormat/>
    <w:rsid w:val="00D35F04"/>
    <w:pPr>
      <w:spacing w:after="240"/>
    </w:pPr>
    <w:rPr>
      <w:szCs w:val="20"/>
    </w:rPr>
  </w:style>
  <w:style w:type="character" w:customStyle="1" w:styleId="BodyTextChar">
    <w:name w:val="Body Text Char"/>
    <w:link w:val="BodyText"/>
    <w:rsid w:val="00D35F04"/>
    <w:rPr>
      <w:sz w:val="24"/>
    </w:rPr>
  </w:style>
  <w:style w:type="paragraph" w:styleId="BodyTextFirstIndent">
    <w:name w:val="Body Text First Indent"/>
    <w:basedOn w:val="BodyText"/>
    <w:link w:val="BodyTextFirstIndentChar"/>
    <w:qFormat/>
    <w:rsid w:val="00D35F04"/>
    <w:pPr>
      <w:ind w:firstLine="720"/>
    </w:pPr>
  </w:style>
  <w:style w:type="character" w:customStyle="1" w:styleId="BodyTextFirstIndentChar">
    <w:name w:val="Body Text First Indent Char"/>
    <w:link w:val="BodyTextFirstIndent"/>
    <w:rsid w:val="009B3EDD"/>
    <w:rPr>
      <w:sz w:val="24"/>
    </w:rPr>
  </w:style>
  <w:style w:type="paragraph" w:styleId="Quote">
    <w:name w:val="Quote"/>
    <w:basedOn w:val="Normal"/>
    <w:next w:val="Normal"/>
    <w:link w:val="QuoteChar"/>
    <w:rsid w:val="00D3093E"/>
    <w:pPr>
      <w:spacing w:after="240"/>
      <w:ind w:left="1440" w:right="1440"/>
    </w:pPr>
    <w:rPr>
      <w:i/>
      <w:iCs/>
    </w:rPr>
  </w:style>
  <w:style w:type="character" w:customStyle="1" w:styleId="QuoteChar">
    <w:name w:val="Quote Char"/>
    <w:basedOn w:val="DefaultParagraphFont"/>
    <w:link w:val="Quote"/>
    <w:rsid w:val="00D3093E"/>
    <w:rPr>
      <w:i/>
      <w:iCs/>
      <w:sz w:val="24"/>
      <w:szCs w:val="24"/>
    </w:rPr>
  </w:style>
  <w:style w:type="paragraph" w:styleId="ListParagraph">
    <w:name w:val="List Paragraph"/>
    <w:basedOn w:val="Normal"/>
    <w:uiPriority w:val="1"/>
    <w:rsid w:val="001F558F"/>
    <w:pPr>
      <w:spacing w:after="240"/>
      <w:ind w:left="720"/>
    </w:pPr>
  </w:style>
  <w:style w:type="paragraph" w:styleId="BlockText">
    <w:name w:val="Block Text"/>
    <w:basedOn w:val="Normal"/>
    <w:uiPriority w:val="1"/>
    <w:qFormat/>
    <w:rsid w:val="0042581E"/>
    <w:pPr>
      <w:spacing w:after="240"/>
      <w:ind w:left="1440" w:right="1440"/>
      <w:jc w:val="both"/>
    </w:pPr>
    <w:rPr>
      <w:szCs w:val="20"/>
    </w:rPr>
  </w:style>
  <w:style w:type="paragraph" w:styleId="BodyText2">
    <w:name w:val="Body Text 2"/>
    <w:basedOn w:val="BodyText"/>
    <w:link w:val="BodyText2Char"/>
    <w:rsid w:val="00E4051A"/>
    <w:pPr>
      <w:spacing w:after="0" w:line="480" w:lineRule="auto"/>
    </w:pPr>
  </w:style>
  <w:style w:type="character" w:customStyle="1" w:styleId="BodyText2Char">
    <w:name w:val="Body Text 2 Char"/>
    <w:basedOn w:val="DefaultParagraphFont"/>
    <w:link w:val="BodyText2"/>
    <w:rsid w:val="00E4051A"/>
    <w:rPr>
      <w:sz w:val="24"/>
    </w:rPr>
  </w:style>
  <w:style w:type="paragraph" w:styleId="BodyText3">
    <w:name w:val="Body Text 3"/>
    <w:basedOn w:val="Normal"/>
    <w:link w:val="BodyText3Char"/>
    <w:semiHidden/>
    <w:unhideWhenUsed/>
    <w:rsid w:val="00D3093E"/>
    <w:pPr>
      <w:spacing w:line="360" w:lineRule="auto"/>
    </w:pPr>
    <w:rPr>
      <w:szCs w:val="16"/>
    </w:rPr>
  </w:style>
  <w:style w:type="character" w:customStyle="1" w:styleId="BodyText3Char">
    <w:name w:val="Body Text 3 Char"/>
    <w:basedOn w:val="DefaultParagraphFont"/>
    <w:link w:val="BodyText3"/>
    <w:semiHidden/>
    <w:rsid w:val="00D3093E"/>
    <w:rPr>
      <w:sz w:val="24"/>
      <w:szCs w:val="16"/>
    </w:rPr>
  </w:style>
  <w:style w:type="paragraph" w:styleId="BodyTextIndent">
    <w:name w:val="Body Text Indent"/>
    <w:basedOn w:val="BodyText"/>
    <w:link w:val="BodyTextIndentChar"/>
    <w:rsid w:val="0042581E"/>
    <w:pPr>
      <w:ind w:left="720"/>
    </w:pPr>
  </w:style>
  <w:style w:type="character" w:customStyle="1" w:styleId="BodyTextIndentChar">
    <w:name w:val="Body Text Indent Char"/>
    <w:basedOn w:val="DefaultParagraphFont"/>
    <w:link w:val="BodyTextIndent"/>
    <w:rsid w:val="0042581E"/>
    <w:rPr>
      <w:sz w:val="24"/>
    </w:rPr>
  </w:style>
  <w:style w:type="paragraph" w:styleId="BodyTextFirstIndent2">
    <w:name w:val="Body Text First Indent 2"/>
    <w:basedOn w:val="BodyText"/>
    <w:link w:val="BodyTextFirstIndent2Char"/>
    <w:rsid w:val="00D3093E"/>
    <w:pPr>
      <w:spacing w:line="480" w:lineRule="auto"/>
      <w:ind w:firstLine="720"/>
    </w:pPr>
  </w:style>
  <w:style w:type="character" w:customStyle="1" w:styleId="BodyTextFirstIndent2Char">
    <w:name w:val="Body Text First Indent 2 Char"/>
    <w:basedOn w:val="BodyTextIndentChar"/>
    <w:link w:val="BodyTextFirstIndent2"/>
    <w:rsid w:val="009B3EDD"/>
    <w:rPr>
      <w:sz w:val="24"/>
    </w:rPr>
  </w:style>
  <w:style w:type="paragraph" w:styleId="BodyTextIndent2">
    <w:name w:val="Body Text Indent 2"/>
    <w:basedOn w:val="BodyText"/>
    <w:link w:val="BodyTextIndent2Char"/>
    <w:semiHidden/>
    <w:unhideWhenUsed/>
    <w:rsid w:val="00D3093E"/>
    <w:pPr>
      <w:spacing w:after="0" w:line="480" w:lineRule="auto"/>
      <w:ind w:left="1440"/>
    </w:pPr>
  </w:style>
  <w:style w:type="character" w:customStyle="1" w:styleId="BodyTextIndent2Char">
    <w:name w:val="Body Text Indent 2 Char"/>
    <w:basedOn w:val="DefaultParagraphFont"/>
    <w:link w:val="BodyTextIndent2"/>
    <w:semiHidden/>
    <w:rsid w:val="00D3093E"/>
    <w:rPr>
      <w:sz w:val="24"/>
    </w:rPr>
  </w:style>
  <w:style w:type="paragraph" w:styleId="BodyTextIndent3">
    <w:name w:val="Body Text Indent 3"/>
    <w:basedOn w:val="BodyText"/>
    <w:link w:val="BodyTextIndent3Char"/>
    <w:semiHidden/>
    <w:unhideWhenUsed/>
    <w:rsid w:val="00D3093E"/>
    <w:pPr>
      <w:spacing w:after="0" w:line="360" w:lineRule="auto"/>
      <w:ind w:left="1440"/>
    </w:pPr>
    <w:rPr>
      <w:szCs w:val="16"/>
    </w:rPr>
  </w:style>
  <w:style w:type="character" w:customStyle="1" w:styleId="BodyTextIndent3Char">
    <w:name w:val="Body Text Indent 3 Char"/>
    <w:basedOn w:val="DefaultParagraphFont"/>
    <w:link w:val="BodyTextIndent3"/>
    <w:semiHidden/>
    <w:rsid w:val="00D3093E"/>
    <w:rPr>
      <w:sz w:val="24"/>
      <w:szCs w:val="16"/>
    </w:rPr>
  </w:style>
  <w:style w:type="paragraph" w:styleId="Closing">
    <w:name w:val="Closing"/>
    <w:basedOn w:val="Normal"/>
    <w:link w:val="ClosingChar"/>
    <w:rsid w:val="00D3093E"/>
    <w:pPr>
      <w:spacing w:after="240"/>
    </w:pPr>
    <w:rPr>
      <w:szCs w:val="20"/>
    </w:rPr>
  </w:style>
  <w:style w:type="character" w:customStyle="1" w:styleId="ClosingChar">
    <w:name w:val="Closing Char"/>
    <w:basedOn w:val="DefaultParagraphFont"/>
    <w:link w:val="Closing"/>
    <w:rsid w:val="00D3093E"/>
    <w:rPr>
      <w:sz w:val="24"/>
    </w:rPr>
  </w:style>
  <w:style w:type="paragraph" w:styleId="Date">
    <w:name w:val="Date"/>
    <w:basedOn w:val="Normal"/>
    <w:link w:val="DateChar"/>
    <w:uiPriority w:val="2"/>
    <w:rsid w:val="00D3093E"/>
    <w:pPr>
      <w:spacing w:after="480"/>
      <w:ind w:left="4320"/>
    </w:pPr>
  </w:style>
  <w:style w:type="character" w:customStyle="1" w:styleId="DateChar">
    <w:name w:val="Date Char"/>
    <w:basedOn w:val="DefaultParagraphFont"/>
    <w:link w:val="Date"/>
    <w:uiPriority w:val="2"/>
    <w:rsid w:val="00D3093E"/>
    <w:rPr>
      <w:sz w:val="24"/>
      <w:szCs w:val="24"/>
    </w:rPr>
  </w:style>
  <w:style w:type="paragraph" w:styleId="EndnoteText">
    <w:name w:val="endnote text"/>
    <w:basedOn w:val="Normal"/>
    <w:link w:val="EndnoteTextChar"/>
    <w:semiHidden/>
    <w:unhideWhenUsed/>
    <w:rsid w:val="00D3093E"/>
    <w:rPr>
      <w:szCs w:val="20"/>
    </w:rPr>
  </w:style>
  <w:style w:type="character" w:customStyle="1" w:styleId="EndnoteTextChar">
    <w:name w:val="Endnote Text Char"/>
    <w:basedOn w:val="DefaultParagraphFont"/>
    <w:link w:val="EndnoteText"/>
    <w:semiHidden/>
    <w:rsid w:val="00D3093E"/>
    <w:rPr>
      <w:sz w:val="24"/>
    </w:rPr>
  </w:style>
  <w:style w:type="paragraph" w:styleId="Footer">
    <w:name w:val="footer"/>
    <w:basedOn w:val="Normal"/>
    <w:link w:val="FooterChar"/>
    <w:rsid w:val="00D3093E"/>
    <w:pPr>
      <w:tabs>
        <w:tab w:val="center" w:pos="4680"/>
        <w:tab w:val="right" w:pos="9360"/>
      </w:tabs>
    </w:pPr>
  </w:style>
  <w:style w:type="character" w:customStyle="1" w:styleId="FooterChar">
    <w:name w:val="Footer Char"/>
    <w:basedOn w:val="DefaultParagraphFont"/>
    <w:link w:val="Footer"/>
    <w:uiPriority w:val="99"/>
    <w:rsid w:val="00D3093E"/>
    <w:rPr>
      <w:sz w:val="24"/>
      <w:szCs w:val="24"/>
    </w:rPr>
  </w:style>
  <w:style w:type="character" w:styleId="FootnoteReference">
    <w:name w:val="footnote reference"/>
    <w:basedOn w:val="DefaultParagraphFont"/>
    <w:semiHidden/>
    <w:unhideWhenUsed/>
    <w:rsid w:val="00D3093E"/>
    <w:rPr>
      <w:vertAlign w:val="superscript"/>
    </w:rPr>
  </w:style>
  <w:style w:type="paragraph" w:styleId="FootnoteText">
    <w:name w:val="footnote text"/>
    <w:basedOn w:val="Normal"/>
    <w:link w:val="FootnoteTextChar"/>
    <w:semiHidden/>
    <w:rsid w:val="00D3093E"/>
    <w:pPr>
      <w:spacing w:after="240"/>
    </w:pPr>
    <w:rPr>
      <w:sz w:val="20"/>
      <w:szCs w:val="20"/>
    </w:rPr>
  </w:style>
  <w:style w:type="character" w:customStyle="1" w:styleId="FootnoteTextChar">
    <w:name w:val="Footnote Text Char"/>
    <w:basedOn w:val="DefaultParagraphFont"/>
    <w:link w:val="FootnoteText"/>
    <w:semiHidden/>
    <w:rsid w:val="006C7F9B"/>
  </w:style>
  <w:style w:type="paragraph" w:styleId="Header">
    <w:name w:val="header"/>
    <w:basedOn w:val="Normal"/>
    <w:link w:val="HeaderChar"/>
    <w:rsid w:val="00D3093E"/>
    <w:pPr>
      <w:tabs>
        <w:tab w:val="center" w:pos="4680"/>
        <w:tab w:val="right" w:pos="9360"/>
      </w:tabs>
    </w:pPr>
  </w:style>
  <w:style w:type="character" w:customStyle="1" w:styleId="HeaderChar">
    <w:name w:val="Header Char"/>
    <w:basedOn w:val="DefaultParagraphFont"/>
    <w:link w:val="Header"/>
    <w:rsid w:val="00D3093E"/>
    <w:rPr>
      <w:sz w:val="24"/>
      <w:szCs w:val="24"/>
    </w:rPr>
  </w:style>
  <w:style w:type="character" w:customStyle="1" w:styleId="Heading5Char">
    <w:name w:val="Heading 5 Char"/>
    <w:link w:val="Heading5"/>
    <w:rsid w:val="001F558F"/>
    <w:rPr>
      <w:b/>
      <w:bCs/>
      <w:iCs/>
      <w:sz w:val="24"/>
      <w:szCs w:val="26"/>
    </w:rPr>
  </w:style>
  <w:style w:type="character" w:customStyle="1" w:styleId="Heading6Char">
    <w:name w:val="Heading 6 Char"/>
    <w:link w:val="Heading6"/>
    <w:rsid w:val="001F558F"/>
    <w:rPr>
      <w:bCs/>
      <w:i/>
      <w:sz w:val="24"/>
      <w:szCs w:val="22"/>
    </w:rPr>
  </w:style>
  <w:style w:type="character" w:customStyle="1" w:styleId="Heading7Char">
    <w:name w:val="Heading 7 Char"/>
    <w:link w:val="Heading7"/>
    <w:rsid w:val="001F558F"/>
    <w:rPr>
      <w:sz w:val="24"/>
      <w:szCs w:val="24"/>
      <w:u w:val="single"/>
    </w:rPr>
  </w:style>
  <w:style w:type="character" w:customStyle="1" w:styleId="Heading8Char">
    <w:name w:val="Heading 8 Char"/>
    <w:link w:val="Heading8"/>
    <w:rsid w:val="001F558F"/>
    <w:rPr>
      <w:i/>
      <w:iCs/>
      <w:sz w:val="24"/>
      <w:szCs w:val="24"/>
      <w:u w:val="single"/>
    </w:rPr>
  </w:style>
  <w:style w:type="character" w:customStyle="1" w:styleId="Heading9Char">
    <w:name w:val="Heading 9 Char"/>
    <w:link w:val="Heading9"/>
    <w:rsid w:val="001F558F"/>
    <w:rPr>
      <w:sz w:val="24"/>
      <w:szCs w:val="22"/>
    </w:rPr>
  </w:style>
  <w:style w:type="character" w:styleId="Emphasis">
    <w:name w:val="Emphasis"/>
    <w:aliases w:val="Italic"/>
    <w:basedOn w:val="DefaultParagraphFont"/>
    <w:uiPriority w:val="20"/>
    <w:qFormat/>
    <w:rsid w:val="00D35F04"/>
    <w:rPr>
      <w:i/>
      <w:iCs/>
    </w:rPr>
  </w:style>
  <w:style w:type="character" w:styleId="Strong">
    <w:name w:val="Strong"/>
    <w:aliases w:val="Bold"/>
    <w:basedOn w:val="DefaultParagraphFont"/>
    <w:uiPriority w:val="22"/>
    <w:qFormat/>
    <w:rsid w:val="00D35F04"/>
    <w:rPr>
      <w:b/>
      <w:bCs/>
    </w:rPr>
  </w:style>
  <w:style w:type="character" w:customStyle="1" w:styleId="Underline">
    <w:name w:val="Underline"/>
    <w:basedOn w:val="DefaultParagraphFont"/>
    <w:uiPriority w:val="22"/>
    <w:qFormat/>
    <w:rsid w:val="00D35F04"/>
    <w:rPr>
      <w:u w:val="single"/>
    </w:rPr>
  </w:style>
  <w:style w:type="paragraph" w:customStyle="1" w:styleId="HeadingBody5">
    <w:name w:val="HeadingBody5"/>
    <w:basedOn w:val="BodyText"/>
    <w:uiPriority w:val="4"/>
    <w:semiHidden/>
    <w:unhideWhenUsed/>
    <w:rsid w:val="00D3093E"/>
    <w:pPr>
      <w:ind w:left="3600"/>
    </w:pPr>
  </w:style>
  <w:style w:type="paragraph" w:styleId="List">
    <w:name w:val="List"/>
    <w:basedOn w:val="Normal"/>
    <w:uiPriority w:val="1"/>
    <w:semiHidden/>
    <w:unhideWhenUsed/>
    <w:rsid w:val="00D3093E"/>
    <w:pPr>
      <w:ind w:left="360" w:hanging="360"/>
      <w:contextualSpacing/>
    </w:pPr>
  </w:style>
  <w:style w:type="paragraph" w:styleId="List2">
    <w:name w:val="List 2"/>
    <w:basedOn w:val="Normal"/>
    <w:uiPriority w:val="1"/>
    <w:semiHidden/>
    <w:unhideWhenUsed/>
    <w:rsid w:val="00D3093E"/>
    <w:pPr>
      <w:ind w:left="720" w:hanging="360"/>
      <w:contextualSpacing/>
    </w:pPr>
  </w:style>
  <w:style w:type="paragraph" w:styleId="ListBullet2">
    <w:name w:val="List Bullet 2"/>
    <w:basedOn w:val="Normal"/>
    <w:rsid w:val="001F558F"/>
    <w:pPr>
      <w:numPr>
        <w:numId w:val="30"/>
      </w:numPr>
      <w:tabs>
        <w:tab w:val="clear" w:pos="720"/>
      </w:tabs>
      <w:spacing w:after="240"/>
      <w:ind w:left="1440" w:hanging="720"/>
    </w:pPr>
    <w:rPr>
      <w:szCs w:val="20"/>
    </w:rPr>
  </w:style>
  <w:style w:type="paragraph" w:styleId="ListContinue">
    <w:name w:val="List Continue"/>
    <w:basedOn w:val="Normal"/>
    <w:uiPriority w:val="1"/>
    <w:rsid w:val="001F558F"/>
    <w:pPr>
      <w:spacing w:after="240"/>
      <w:ind w:left="360"/>
    </w:pPr>
  </w:style>
  <w:style w:type="paragraph" w:styleId="ListContinue2">
    <w:name w:val="List Continue 2"/>
    <w:basedOn w:val="Normal"/>
    <w:uiPriority w:val="1"/>
    <w:rsid w:val="001F558F"/>
    <w:pPr>
      <w:spacing w:after="240"/>
      <w:ind w:left="720"/>
    </w:pPr>
  </w:style>
  <w:style w:type="paragraph" w:styleId="ListNumber2">
    <w:name w:val="List Number 2"/>
    <w:basedOn w:val="Normal"/>
    <w:rsid w:val="001F558F"/>
    <w:pPr>
      <w:numPr>
        <w:numId w:val="33"/>
      </w:numPr>
      <w:tabs>
        <w:tab w:val="clear" w:pos="720"/>
      </w:tabs>
      <w:spacing w:after="240"/>
      <w:ind w:left="1440" w:hanging="720"/>
    </w:pPr>
    <w:rPr>
      <w:szCs w:val="20"/>
    </w:rPr>
  </w:style>
  <w:style w:type="paragraph" w:styleId="MessageHeader">
    <w:name w:val="Message Header"/>
    <w:basedOn w:val="Normal"/>
    <w:link w:val="MessageHeaderChar"/>
    <w:autoRedefine/>
    <w:semiHidden/>
    <w:rsid w:val="00D3093E"/>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D3093E"/>
    <w:rPr>
      <w:rFonts w:cs="Arial"/>
      <w:b/>
      <w:sz w:val="24"/>
      <w:szCs w:val="24"/>
      <w:shd w:val="clear" w:color="auto" w:fill="E0E0E0"/>
    </w:rPr>
  </w:style>
  <w:style w:type="paragraph" w:styleId="NoSpacing">
    <w:name w:val="No Spacing"/>
    <w:basedOn w:val="Normal"/>
    <w:link w:val="NoSpacingChar"/>
    <w:uiPriority w:val="19"/>
    <w:qFormat/>
    <w:rsid w:val="00D35F04"/>
  </w:style>
  <w:style w:type="paragraph" w:customStyle="1" w:styleId="ReLine">
    <w:name w:val="Re Line"/>
    <w:basedOn w:val="Normal"/>
    <w:uiPriority w:val="2"/>
    <w:rsid w:val="00D3093E"/>
    <w:pPr>
      <w:tabs>
        <w:tab w:val="left" w:pos="2160"/>
      </w:tabs>
      <w:spacing w:after="240"/>
      <w:ind w:left="2160" w:hanging="720"/>
    </w:pPr>
  </w:style>
  <w:style w:type="paragraph" w:styleId="Salutation">
    <w:name w:val="Salutation"/>
    <w:basedOn w:val="Normal"/>
    <w:next w:val="Normal"/>
    <w:link w:val="SalutationChar"/>
    <w:rsid w:val="00D3093E"/>
    <w:pPr>
      <w:spacing w:after="240"/>
    </w:pPr>
    <w:rPr>
      <w:szCs w:val="20"/>
    </w:rPr>
  </w:style>
  <w:style w:type="character" w:customStyle="1" w:styleId="SalutationChar">
    <w:name w:val="Salutation Char"/>
    <w:basedOn w:val="DefaultParagraphFont"/>
    <w:link w:val="Salutation"/>
    <w:rsid w:val="00D3093E"/>
    <w:rPr>
      <w:sz w:val="24"/>
    </w:rPr>
  </w:style>
  <w:style w:type="paragraph" w:styleId="Subtitle">
    <w:name w:val="Subtitle"/>
    <w:basedOn w:val="Title"/>
    <w:link w:val="SubtitleChar"/>
    <w:uiPriority w:val="5"/>
    <w:qFormat/>
    <w:rsid w:val="00D35F04"/>
    <w:pPr>
      <w:outlineLvl w:val="1"/>
    </w:pPr>
    <w:rPr>
      <w:b w:val="0"/>
      <w:bCs w:val="0"/>
      <w:szCs w:val="24"/>
    </w:rPr>
  </w:style>
  <w:style w:type="character" w:customStyle="1" w:styleId="SubtitleChar">
    <w:name w:val="Subtitle Char"/>
    <w:basedOn w:val="DefaultParagraphFont"/>
    <w:link w:val="Subtitle"/>
    <w:uiPriority w:val="5"/>
    <w:rsid w:val="00D35F04"/>
    <w:rPr>
      <w:rFonts w:eastAsiaTheme="majorEastAsia" w:cs="Arial"/>
      <w:sz w:val="24"/>
      <w:szCs w:val="24"/>
    </w:rPr>
  </w:style>
  <w:style w:type="character" w:styleId="Hyperlink">
    <w:name w:val="Hyperlink"/>
    <w:basedOn w:val="DefaultParagraphFont"/>
    <w:uiPriority w:val="99"/>
    <w:unhideWhenUsed/>
    <w:rsid w:val="00D3093E"/>
    <w:rPr>
      <w:color w:val="0000FF" w:themeColor="hyperlink"/>
      <w:u w:val="single"/>
    </w:rPr>
  </w:style>
  <w:style w:type="paragraph" w:styleId="TOC1">
    <w:name w:val="toc 1"/>
    <w:basedOn w:val="Normal"/>
    <w:next w:val="Normal"/>
    <w:autoRedefine/>
    <w:uiPriority w:val="39"/>
    <w:rsid w:val="00D3093E"/>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3093E"/>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3093E"/>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3093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3093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3093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3093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3093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3093E"/>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D3093E"/>
  </w:style>
  <w:style w:type="paragraph" w:customStyle="1" w:styleId="HeadingBody6">
    <w:name w:val="HeadingBody6"/>
    <w:basedOn w:val="BodyText"/>
    <w:uiPriority w:val="4"/>
    <w:semiHidden/>
    <w:unhideWhenUsed/>
    <w:rsid w:val="00D3093E"/>
    <w:pPr>
      <w:ind w:left="4320"/>
    </w:pPr>
  </w:style>
  <w:style w:type="paragraph" w:customStyle="1" w:styleId="HeadingBody7">
    <w:name w:val="HeadingBody7"/>
    <w:basedOn w:val="BodyText"/>
    <w:uiPriority w:val="4"/>
    <w:semiHidden/>
    <w:unhideWhenUsed/>
    <w:rsid w:val="00D3093E"/>
    <w:pPr>
      <w:ind w:left="5040"/>
    </w:pPr>
  </w:style>
  <w:style w:type="paragraph" w:customStyle="1" w:styleId="HeadingBody8">
    <w:name w:val="HeadingBody8"/>
    <w:basedOn w:val="BodyText"/>
    <w:uiPriority w:val="4"/>
    <w:semiHidden/>
    <w:unhideWhenUsed/>
    <w:rsid w:val="00D3093E"/>
    <w:pPr>
      <w:ind w:left="5760"/>
    </w:pPr>
  </w:style>
  <w:style w:type="paragraph" w:customStyle="1" w:styleId="HeadingBody9">
    <w:name w:val="HeadingBody9"/>
    <w:basedOn w:val="BodyText"/>
    <w:uiPriority w:val="4"/>
    <w:semiHidden/>
    <w:unhideWhenUsed/>
    <w:rsid w:val="00D3093E"/>
    <w:pPr>
      <w:ind w:left="6480"/>
    </w:pPr>
  </w:style>
  <w:style w:type="character" w:customStyle="1" w:styleId="NoSpacingChar">
    <w:name w:val="No Spacing Char"/>
    <w:link w:val="NoSpacing"/>
    <w:uiPriority w:val="19"/>
    <w:rsid w:val="00D35F04"/>
    <w:rPr>
      <w:sz w:val="24"/>
      <w:szCs w:val="24"/>
    </w:rPr>
  </w:style>
  <w:style w:type="paragraph" w:styleId="TOCHeading">
    <w:name w:val="TOC Heading"/>
    <w:basedOn w:val="Heading1"/>
    <w:next w:val="Normal"/>
    <w:uiPriority w:val="38"/>
    <w:rsid w:val="0052223B"/>
    <w:pPr>
      <w:tabs>
        <w:tab w:val="center" w:pos="4680"/>
        <w:tab w:val="right" w:pos="9360"/>
      </w:tabs>
      <w:outlineLvl w:val="9"/>
    </w:pPr>
    <w:rPr>
      <w:rFonts w:cstheme="majorBidi"/>
      <w:caps w:val="0"/>
    </w:rPr>
  </w:style>
  <w:style w:type="paragraph" w:customStyle="1" w:styleId="Addressee">
    <w:name w:val="Addressee"/>
    <w:basedOn w:val="Normal"/>
    <w:rsid w:val="00D3093E"/>
    <w:pPr>
      <w:contextualSpacing/>
    </w:pPr>
  </w:style>
  <w:style w:type="paragraph" w:customStyle="1" w:styleId="Notary">
    <w:name w:val="Notary"/>
    <w:rsid w:val="00D3093E"/>
    <w:pPr>
      <w:tabs>
        <w:tab w:val="left" w:pos="2880"/>
      </w:tabs>
      <w:ind w:left="0" w:right="0" w:firstLine="0"/>
    </w:pPr>
    <w:rPr>
      <w:sz w:val="24"/>
    </w:rPr>
  </w:style>
  <w:style w:type="paragraph" w:customStyle="1" w:styleId="Witnesseth">
    <w:name w:val="Witnesseth"/>
    <w:basedOn w:val="Title"/>
    <w:rsid w:val="00D3093E"/>
    <w:rPr>
      <w:spacing w:val="60"/>
    </w:rPr>
  </w:style>
  <w:style w:type="paragraph" w:customStyle="1" w:styleId="BodyTextFirstIndent1">
    <w:name w:val="Body Text First Indent 1&quot;"/>
    <w:basedOn w:val="BodyText"/>
    <w:link w:val="BodyTextFirstIndent1Char"/>
    <w:qFormat/>
    <w:rsid w:val="00D35F04"/>
    <w:pPr>
      <w:ind w:firstLine="1440"/>
    </w:pPr>
  </w:style>
  <w:style w:type="paragraph" w:styleId="ListBullet3">
    <w:name w:val="List Bullet 3"/>
    <w:basedOn w:val="Normal"/>
    <w:uiPriority w:val="1"/>
    <w:rsid w:val="001F558F"/>
    <w:pPr>
      <w:numPr>
        <w:numId w:val="31"/>
      </w:numPr>
      <w:spacing w:after="240"/>
    </w:pPr>
  </w:style>
  <w:style w:type="paragraph" w:styleId="ListContinue3">
    <w:name w:val="List Continue 3"/>
    <w:basedOn w:val="Normal"/>
    <w:uiPriority w:val="1"/>
    <w:rsid w:val="001F558F"/>
    <w:pPr>
      <w:spacing w:after="240"/>
      <w:ind w:left="1080"/>
    </w:pPr>
  </w:style>
  <w:style w:type="paragraph" w:styleId="ListNumber3">
    <w:name w:val="List Number 3"/>
    <w:basedOn w:val="Normal"/>
    <w:uiPriority w:val="1"/>
    <w:rsid w:val="001F558F"/>
    <w:pPr>
      <w:numPr>
        <w:numId w:val="34"/>
      </w:numPr>
      <w:spacing w:after="240"/>
    </w:pPr>
  </w:style>
  <w:style w:type="character" w:customStyle="1" w:styleId="BodyTextFirstIndent1Char">
    <w:name w:val="Body Text First Indent 1&quot; Char"/>
    <w:basedOn w:val="DefaultParagraphFont"/>
    <w:link w:val="BodyTextFirstIndent1"/>
    <w:rsid w:val="009B3EDD"/>
    <w:rPr>
      <w:sz w:val="24"/>
    </w:rPr>
  </w:style>
  <w:style w:type="character" w:customStyle="1" w:styleId="DocID">
    <w:name w:val="DocID"/>
    <w:basedOn w:val="DefaultParagraphFont"/>
    <w:semiHidden/>
    <w:rsid w:val="0058421F"/>
    <w:rPr>
      <w:rFonts w:ascii="Times New Roman" w:hAnsi="Times New Roman"/>
      <w:sz w:val="16"/>
    </w:rPr>
  </w:style>
  <w:style w:type="table" w:styleId="TableGrid">
    <w:name w:val="Table Grid"/>
    <w:basedOn w:val="TableNormal"/>
    <w:uiPriority w:val="59"/>
    <w:rsid w:val="00691B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mosesvnx01\apps\Configurations\Firm%20Template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4800-48FB-4AB5-9A50-18AB3127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dcterms:created xsi:type="dcterms:W3CDTF">2018-02-28T01:24:00Z</dcterms:created>
  <dcterms:modified xsi:type="dcterms:W3CDTF">2018-02-28T01:24:00Z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ies>
</file>