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2763B" w:rsidRDefault="00313B15">
      <w:pPr>
        <w:jc w:val="center"/>
      </w:pPr>
      <w:bookmarkStart w:id="0" w:name="_gjdgxs" w:colFirst="0" w:colLast="0"/>
      <w:bookmarkStart w:id="1" w:name="_GoBack"/>
      <w:bookmarkEnd w:id="0"/>
      <w:bookmarkEnd w:id="1"/>
      <w:r>
        <w:rPr>
          <w:b/>
          <w:sz w:val="28"/>
          <w:szCs w:val="28"/>
        </w:rPr>
        <w:t>JURISDICTION SUBGROUP ICANN LITIGATION SUMMARY v2</w:t>
      </w:r>
    </w:p>
    <w:tbl>
      <w:tblPr>
        <w:tblStyle w:val="a"/>
        <w:tblW w:w="131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8"/>
        <w:gridCol w:w="9378"/>
      </w:tblGrid>
      <w:tr w:rsidR="0092763B">
        <w:tc>
          <w:tcPr>
            <w:tcW w:w="3798" w:type="dxa"/>
          </w:tcPr>
          <w:p w:rsidR="0092763B" w:rsidRDefault="00313B15">
            <w:pPr>
              <w:contextualSpacing w:val="0"/>
            </w:pPr>
            <w:r>
              <w:rPr>
                <w:sz w:val="24"/>
                <w:szCs w:val="24"/>
              </w:rPr>
              <w:t>Reviewed by:</w:t>
            </w:r>
          </w:p>
        </w:tc>
        <w:tc>
          <w:tcPr>
            <w:tcW w:w="9378" w:type="dxa"/>
          </w:tcPr>
          <w:p w:rsidR="0092763B" w:rsidRDefault="002A3CC9">
            <w:pPr>
              <w:contextualSpacing w:val="0"/>
            </w:pPr>
            <w:r>
              <w:t>Raphael Beauregard-Lacroix</w:t>
            </w:r>
          </w:p>
        </w:tc>
      </w:tr>
      <w:tr w:rsidR="0092763B">
        <w:tc>
          <w:tcPr>
            <w:tcW w:w="3798" w:type="dxa"/>
          </w:tcPr>
          <w:p w:rsidR="0092763B" w:rsidRDefault="00313B15">
            <w:pPr>
              <w:contextualSpacing w:val="0"/>
            </w:pPr>
            <w:r>
              <w:rPr>
                <w:sz w:val="24"/>
                <w:szCs w:val="24"/>
              </w:rPr>
              <w:t>Name of Case:</w:t>
            </w:r>
          </w:p>
        </w:tc>
        <w:tc>
          <w:tcPr>
            <w:tcW w:w="9378" w:type="dxa"/>
          </w:tcPr>
          <w:p w:rsidR="0092763B" w:rsidRDefault="005D76AF">
            <w:pPr>
              <w:contextualSpacing w:val="0"/>
            </w:pPr>
            <w:r>
              <w:t xml:space="preserve">Eric </w:t>
            </w:r>
            <w:proofErr w:type="spellStart"/>
            <w:r>
              <w:t>Bord</w:t>
            </w:r>
            <w:proofErr w:type="spellEnd"/>
            <w:r>
              <w:t xml:space="preserve"> v Banco de Chile</w:t>
            </w:r>
          </w:p>
        </w:tc>
      </w:tr>
      <w:tr w:rsidR="0092763B">
        <w:tc>
          <w:tcPr>
            <w:tcW w:w="3798" w:type="dxa"/>
          </w:tcPr>
          <w:p w:rsidR="0092763B" w:rsidRDefault="00313B15">
            <w:pPr>
              <w:contextualSpacing w:val="0"/>
            </w:pPr>
            <w:r>
              <w:rPr>
                <w:sz w:val="24"/>
                <w:szCs w:val="24"/>
              </w:rPr>
              <w:t>Parties:</w:t>
            </w:r>
            <w:r>
              <w:rPr>
                <w:sz w:val="24"/>
                <w:szCs w:val="24"/>
                <w:vertAlign w:val="superscript"/>
              </w:rPr>
              <w:footnoteReference w:id="1"/>
            </w:r>
          </w:p>
        </w:tc>
        <w:tc>
          <w:tcPr>
            <w:tcW w:w="9378" w:type="dxa"/>
          </w:tcPr>
          <w:p w:rsidR="0092763B" w:rsidRDefault="005D76AF" w:rsidP="005D76AF">
            <w:pPr>
              <w:contextualSpacing w:val="0"/>
            </w:pPr>
            <w:r>
              <w:t xml:space="preserve">Eric </w:t>
            </w:r>
            <w:proofErr w:type="spellStart"/>
            <w:r>
              <w:t>Bord</w:t>
            </w:r>
            <w:proofErr w:type="spellEnd"/>
            <w:r>
              <w:t xml:space="preserve"> (Plaintiff)</w:t>
            </w:r>
            <w:r w:rsidR="002A3CC9">
              <w:t xml:space="preserve"> </w:t>
            </w:r>
            <w:r w:rsidR="00124EB2">
              <w:t xml:space="preserve">; </w:t>
            </w:r>
            <w:r>
              <w:t xml:space="preserve">Banco de Chile, US </w:t>
            </w:r>
            <w:proofErr w:type="spellStart"/>
            <w:r>
              <w:t>DoC</w:t>
            </w:r>
            <w:proofErr w:type="spellEnd"/>
            <w:r>
              <w:t xml:space="preserve"> (Defendants)</w:t>
            </w:r>
          </w:p>
        </w:tc>
      </w:tr>
      <w:tr w:rsidR="0092763B">
        <w:tc>
          <w:tcPr>
            <w:tcW w:w="3798" w:type="dxa"/>
          </w:tcPr>
          <w:p w:rsidR="0092763B" w:rsidRDefault="00313B15">
            <w:pPr>
              <w:contextualSpacing w:val="0"/>
            </w:pPr>
            <w:r>
              <w:rPr>
                <w:sz w:val="24"/>
                <w:szCs w:val="24"/>
              </w:rPr>
              <w:t>Citizenship of Parties:</w:t>
            </w:r>
          </w:p>
        </w:tc>
        <w:tc>
          <w:tcPr>
            <w:tcW w:w="9378" w:type="dxa"/>
          </w:tcPr>
          <w:p w:rsidR="005D76AF" w:rsidRPr="007117AB" w:rsidRDefault="005D76AF" w:rsidP="001E0DD4">
            <w:pPr>
              <w:contextualSpacing w:val="0"/>
              <w:rPr>
                <w:lang w:val="es-ES"/>
              </w:rPr>
            </w:pPr>
            <w:r w:rsidRPr="007117AB">
              <w:rPr>
                <w:lang w:val="es-ES"/>
              </w:rPr>
              <w:t>Eric Bord: USA</w:t>
            </w:r>
            <w:r w:rsidRPr="007117AB">
              <w:rPr>
                <w:lang w:val="es-ES"/>
              </w:rPr>
              <w:br/>
              <w:t>Banco de Chile: Chile</w:t>
            </w:r>
          </w:p>
          <w:p w:rsidR="0092763B" w:rsidRDefault="005D76AF" w:rsidP="005D76AF">
            <w:pPr>
              <w:contextualSpacing w:val="0"/>
            </w:pPr>
            <w:r>
              <w:t xml:space="preserve">US </w:t>
            </w:r>
            <w:proofErr w:type="spellStart"/>
            <w:r>
              <w:t>DoC</w:t>
            </w:r>
            <w:proofErr w:type="spellEnd"/>
            <w:r>
              <w:t>: USA (Gov’t agency)</w:t>
            </w:r>
          </w:p>
        </w:tc>
      </w:tr>
      <w:tr w:rsidR="0092763B">
        <w:tc>
          <w:tcPr>
            <w:tcW w:w="3798" w:type="dxa"/>
          </w:tcPr>
          <w:p w:rsidR="0092763B" w:rsidRDefault="00313B15">
            <w:pPr>
              <w:contextualSpacing w:val="0"/>
            </w:pPr>
            <w:r>
              <w:rPr>
                <w:sz w:val="24"/>
                <w:szCs w:val="24"/>
              </w:rPr>
              <w:t>Court/Venue:</w:t>
            </w:r>
          </w:p>
        </w:tc>
        <w:tc>
          <w:tcPr>
            <w:tcW w:w="9378" w:type="dxa"/>
          </w:tcPr>
          <w:p w:rsidR="0092763B" w:rsidRDefault="005D76AF">
            <w:pPr>
              <w:contextualSpacing w:val="0"/>
            </w:pPr>
            <w:r>
              <w:t>US District Court (Eastern District of Virginia)</w:t>
            </w:r>
            <w:r w:rsidR="00BF0691">
              <w:t xml:space="preserve"> </w:t>
            </w:r>
          </w:p>
        </w:tc>
      </w:tr>
      <w:tr w:rsidR="0092763B">
        <w:tc>
          <w:tcPr>
            <w:tcW w:w="3798" w:type="dxa"/>
          </w:tcPr>
          <w:p w:rsidR="0092763B" w:rsidRDefault="00313B15">
            <w:pPr>
              <w:contextualSpacing w:val="0"/>
            </w:pPr>
            <w:r>
              <w:rPr>
                <w:sz w:val="24"/>
                <w:szCs w:val="24"/>
              </w:rPr>
              <w:t>Choice of Law provision in contract; if so, which jurisdiction?:</w:t>
            </w:r>
          </w:p>
        </w:tc>
        <w:tc>
          <w:tcPr>
            <w:tcW w:w="9378" w:type="dxa"/>
          </w:tcPr>
          <w:p w:rsidR="005D76AF" w:rsidRDefault="005D76AF">
            <w:pPr>
              <w:contextualSpacing w:val="0"/>
            </w:pPr>
            <w:r>
              <w:t>No contract, but:</w:t>
            </w:r>
          </w:p>
          <w:p w:rsidR="0092763B" w:rsidRDefault="005D76AF">
            <w:pPr>
              <w:contextualSpacing w:val="0"/>
            </w:pPr>
            <w:r>
              <w:t>Banco de Chile (Chilean entity) accepted jurisdiction of the court;</w:t>
            </w:r>
          </w:p>
          <w:p w:rsidR="005D76AF" w:rsidRDefault="005D76AF">
            <w:pPr>
              <w:contextualSpacing w:val="0"/>
            </w:pPr>
            <w:r>
              <w:t xml:space="preserve">Court (Eastern District of Virginia specifically) has jurisdiction over US </w:t>
            </w:r>
            <w:proofErr w:type="spellStart"/>
            <w:r>
              <w:t>DoC</w:t>
            </w:r>
            <w:proofErr w:type="spellEnd"/>
            <w:r>
              <w:t xml:space="preserve"> by virtue of location of the “property subject of the action”</w:t>
            </w:r>
          </w:p>
        </w:tc>
      </w:tr>
      <w:tr w:rsidR="0092763B">
        <w:tc>
          <w:tcPr>
            <w:tcW w:w="3798" w:type="dxa"/>
          </w:tcPr>
          <w:p w:rsidR="0092763B" w:rsidRDefault="00313B15">
            <w:pPr>
              <w:contextualSpacing w:val="0"/>
            </w:pPr>
            <w:r>
              <w:rPr>
                <w:sz w:val="24"/>
                <w:szCs w:val="24"/>
              </w:rPr>
              <w:t>Law used to determine conflict of laws issues (i.e., which law applies)</w:t>
            </w:r>
          </w:p>
        </w:tc>
        <w:tc>
          <w:tcPr>
            <w:tcW w:w="9378" w:type="dxa"/>
          </w:tcPr>
          <w:p w:rsidR="0092763B" w:rsidRDefault="005D76AF" w:rsidP="00391537">
            <w:pPr>
              <w:contextualSpacing w:val="0"/>
            </w:pPr>
            <w:r>
              <w:t>Not applicable in this case</w:t>
            </w:r>
          </w:p>
        </w:tc>
      </w:tr>
      <w:tr w:rsidR="0092763B">
        <w:tc>
          <w:tcPr>
            <w:tcW w:w="3798" w:type="dxa"/>
          </w:tcPr>
          <w:p w:rsidR="0092763B" w:rsidRDefault="00313B15">
            <w:pPr>
              <w:contextualSpacing w:val="0"/>
            </w:pPr>
            <w:r>
              <w:rPr>
                <w:sz w:val="24"/>
                <w:szCs w:val="24"/>
              </w:rPr>
              <w:t>Substantive Law Governing the Dispute:</w:t>
            </w:r>
          </w:p>
        </w:tc>
        <w:tc>
          <w:tcPr>
            <w:tcW w:w="9378" w:type="dxa"/>
          </w:tcPr>
          <w:p w:rsidR="0092763B" w:rsidRDefault="005D76AF" w:rsidP="00434710">
            <w:pPr>
              <w:contextualSpacing w:val="0"/>
            </w:pPr>
            <w:r>
              <w:t>US Law</w:t>
            </w:r>
          </w:p>
        </w:tc>
      </w:tr>
      <w:tr w:rsidR="0092763B">
        <w:tc>
          <w:tcPr>
            <w:tcW w:w="3798" w:type="dxa"/>
          </w:tcPr>
          <w:p w:rsidR="0092763B" w:rsidRDefault="00313B15">
            <w:pPr>
              <w:contextualSpacing w:val="0"/>
            </w:pPr>
            <w:r>
              <w:rPr>
                <w:sz w:val="24"/>
                <w:szCs w:val="24"/>
              </w:rPr>
              <w:t>Date Case Began:</w:t>
            </w:r>
          </w:p>
        </w:tc>
        <w:tc>
          <w:tcPr>
            <w:tcW w:w="9378" w:type="dxa"/>
          </w:tcPr>
          <w:p w:rsidR="0092763B" w:rsidRDefault="005D76AF" w:rsidP="005D76AF">
            <w:pPr>
              <w:contextualSpacing w:val="0"/>
            </w:pPr>
            <w:r>
              <w:t>27 December 2001</w:t>
            </w:r>
          </w:p>
        </w:tc>
      </w:tr>
      <w:tr w:rsidR="0092763B">
        <w:tc>
          <w:tcPr>
            <w:tcW w:w="3798" w:type="dxa"/>
          </w:tcPr>
          <w:p w:rsidR="0092763B" w:rsidRDefault="00313B15">
            <w:pPr>
              <w:contextualSpacing w:val="0"/>
            </w:pPr>
            <w:r>
              <w:rPr>
                <w:sz w:val="24"/>
                <w:szCs w:val="24"/>
              </w:rPr>
              <w:t>Date Case Ended:</w:t>
            </w:r>
          </w:p>
        </w:tc>
        <w:tc>
          <w:tcPr>
            <w:tcW w:w="9378" w:type="dxa"/>
          </w:tcPr>
          <w:p w:rsidR="0092763B" w:rsidRDefault="005D76AF">
            <w:pPr>
              <w:contextualSpacing w:val="0"/>
            </w:pPr>
            <w:r>
              <w:t xml:space="preserve">15 May 2002 (As far as </w:t>
            </w:r>
            <w:proofErr w:type="spellStart"/>
            <w:r>
              <w:t>DoC</w:t>
            </w:r>
            <w:proofErr w:type="spellEnd"/>
            <w:r>
              <w:t xml:space="preserve"> is concerned)</w:t>
            </w:r>
            <w:r w:rsidR="00124EB2">
              <w:t xml:space="preserve"> </w:t>
            </w:r>
          </w:p>
        </w:tc>
      </w:tr>
      <w:tr w:rsidR="0092763B">
        <w:tc>
          <w:tcPr>
            <w:tcW w:w="3798" w:type="dxa"/>
          </w:tcPr>
          <w:p w:rsidR="0092763B" w:rsidRDefault="00313B15">
            <w:pPr>
              <w:contextualSpacing w:val="0"/>
            </w:pPr>
            <w:r>
              <w:rPr>
                <w:sz w:val="24"/>
                <w:szCs w:val="24"/>
              </w:rPr>
              <w:t>Causes of Action:</w:t>
            </w:r>
          </w:p>
        </w:tc>
        <w:tc>
          <w:tcPr>
            <w:tcW w:w="9378" w:type="dxa"/>
          </w:tcPr>
          <w:p w:rsidR="00B67EA3" w:rsidRDefault="00B67EA3" w:rsidP="00B67EA3">
            <w:pPr>
              <w:contextualSpacing w:val="0"/>
            </w:pPr>
            <w:r>
              <w:t>(Plaintiff had its domain name bancodechile.com taken away after UDRP process initiated by the Bank of Chile)</w:t>
            </w:r>
          </w:p>
          <w:p w:rsidR="00434710" w:rsidRDefault="00434710" w:rsidP="00434710">
            <w:pPr>
              <w:contextualSpacing w:val="0"/>
            </w:pPr>
            <w:r>
              <w:t xml:space="preserve">Against </w:t>
            </w:r>
            <w:proofErr w:type="spellStart"/>
            <w:r>
              <w:t>DoC</w:t>
            </w:r>
            <w:proofErr w:type="spellEnd"/>
            <w:r>
              <w:t>:</w:t>
            </w:r>
          </w:p>
          <w:p w:rsidR="0092763B" w:rsidRDefault="00434710" w:rsidP="00434710">
            <w:r>
              <w:t xml:space="preserve">-Legal wrong pursuant gov’t agency action (5 USC 702): “DOC's promulgation of the UDRP through ICANN was not in accordance with law, and Mr. </w:t>
            </w:r>
            <w:proofErr w:type="spellStart"/>
            <w:r>
              <w:t>Bord</w:t>
            </w:r>
            <w:proofErr w:type="spellEnd"/>
            <w:r>
              <w:t xml:space="preserve"> was adversely affected and aggrieved thereby; The adjudicatory decision rendered by DOC / ICANN </w:t>
            </w:r>
            <w:proofErr w:type="spellStart"/>
            <w:r>
              <w:t>delegatees</w:t>
            </w:r>
            <w:proofErr w:type="spellEnd"/>
            <w:r>
              <w:t xml:space="preserve"> under the UDRP awarding the Domain Name to Banco De Chile was not in accordance with law, and Mr. </w:t>
            </w:r>
            <w:proofErr w:type="spellStart"/>
            <w:r>
              <w:t>Bord</w:t>
            </w:r>
            <w:proofErr w:type="spellEnd"/>
            <w:r>
              <w:t xml:space="preserve"> was adversely affected and aggrieved thereby”</w:t>
            </w:r>
          </w:p>
          <w:p w:rsidR="00434710" w:rsidRDefault="00434710" w:rsidP="00434710">
            <w:r>
              <w:t>-Unlawful delegation to a private entity of the “authority to make policy and exert control over protected property”</w:t>
            </w:r>
          </w:p>
          <w:p w:rsidR="00434710" w:rsidRDefault="00434710" w:rsidP="00434710">
            <w:r>
              <w:t>-Requiring an arbitration procedure without authorization (5 USC 575)</w:t>
            </w:r>
          </w:p>
        </w:tc>
      </w:tr>
      <w:tr w:rsidR="0092763B">
        <w:tc>
          <w:tcPr>
            <w:tcW w:w="3798" w:type="dxa"/>
          </w:tcPr>
          <w:p w:rsidR="0092763B" w:rsidRDefault="00313B15">
            <w:pPr>
              <w:contextualSpacing w:val="0"/>
            </w:pPr>
            <w:r>
              <w:rPr>
                <w:sz w:val="24"/>
                <w:szCs w:val="24"/>
              </w:rPr>
              <w:t>Issues Presented:</w:t>
            </w:r>
          </w:p>
        </w:tc>
        <w:tc>
          <w:tcPr>
            <w:tcW w:w="9378" w:type="dxa"/>
          </w:tcPr>
          <w:p w:rsidR="00ED5BA6" w:rsidRDefault="00434710" w:rsidP="00B67EA3">
            <w:pPr>
              <w:contextualSpacing w:val="0"/>
            </w:pPr>
            <w:r>
              <w:t xml:space="preserve">A general challenge of UDRP </w:t>
            </w:r>
            <w:r w:rsidR="00C7474A">
              <w:t xml:space="preserve">and </w:t>
            </w:r>
            <w:proofErr w:type="spellStart"/>
            <w:r w:rsidR="00B67EA3">
              <w:t>DoC’s</w:t>
            </w:r>
            <w:proofErr w:type="spellEnd"/>
            <w:r w:rsidR="00B67EA3">
              <w:t xml:space="preserve"> alleged </w:t>
            </w:r>
            <w:r w:rsidR="00C7474A">
              <w:t xml:space="preserve">“delegation of powers” to ICANN </w:t>
            </w:r>
            <w:r w:rsidR="00B67EA3">
              <w:t>in light of</w:t>
            </w:r>
            <w:r>
              <w:t xml:space="preserve"> US </w:t>
            </w:r>
            <w:r>
              <w:lastRenderedPageBreak/>
              <w:t>administrative law</w:t>
            </w:r>
          </w:p>
        </w:tc>
      </w:tr>
      <w:tr w:rsidR="0092763B">
        <w:tc>
          <w:tcPr>
            <w:tcW w:w="3798" w:type="dxa"/>
          </w:tcPr>
          <w:p w:rsidR="0092763B" w:rsidRDefault="00313B15">
            <w:pPr>
              <w:contextualSpacing w:val="0"/>
            </w:pPr>
            <w:r>
              <w:rPr>
                <w:sz w:val="24"/>
                <w:szCs w:val="24"/>
              </w:rPr>
              <w:lastRenderedPageBreak/>
              <w:t>Preliminary Relief?:</w:t>
            </w:r>
          </w:p>
        </w:tc>
        <w:tc>
          <w:tcPr>
            <w:tcW w:w="9378" w:type="dxa"/>
          </w:tcPr>
          <w:p w:rsidR="0092763B" w:rsidRDefault="00434710">
            <w:pPr>
              <w:contextualSpacing w:val="0"/>
            </w:pPr>
            <w:r>
              <w:t>None</w:t>
            </w:r>
          </w:p>
        </w:tc>
      </w:tr>
      <w:tr w:rsidR="0092763B">
        <w:tc>
          <w:tcPr>
            <w:tcW w:w="3798" w:type="dxa"/>
          </w:tcPr>
          <w:p w:rsidR="0092763B" w:rsidRDefault="00313B15">
            <w:pPr>
              <w:contextualSpacing w:val="0"/>
            </w:pPr>
            <w:r>
              <w:rPr>
                <w:sz w:val="24"/>
                <w:szCs w:val="24"/>
              </w:rPr>
              <w:t>Relief Requested by Plaintiff</w:t>
            </w:r>
          </w:p>
        </w:tc>
        <w:tc>
          <w:tcPr>
            <w:tcW w:w="9378" w:type="dxa"/>
          </w:tcPr>
          <w:p w:rsidR="0092763B" w:rsidRDefault="00434710" w:rsidP="00391537">
            <w:pPr>
              <w:contextualSpacing w:val="0"/>
            </w:pPr>
            <w:r>
              <w:t>Inju</w:t>
            </w:r>
            <w:r w:rsidR="00C7474A">
              <w:t>n</w:t>
            </w:r>
            <w:r>
              <w:t>ction</w:t>
            </w:r>
            <w:r w:rsidR="00C7474A">
              <w:t xml:space="preserve"> against </w:t>
            </w:r>
            <w:proofErr w:type="spellStart"/>
            <w:r w:rsidR="00C7474A">
              <w:t>DoC’s</w:t>
            </w:r>
            <w:proofErr w:type="spellEnd"/>
            <w:r w:rsidR="00C7474A">
              <w:t xml:space="preserve"> </w:t>
            </w:r>
            <w:r w:rsidR="00B67EA3">
              <w:t>“</w:t>
            </w:r>
            <w:r w:rsidR="00C7474A">
              <w:t>delegation</w:t>
            </w:r>
            <w:r>
              <w:t>,</w:t>
            </w:r>
            <w:r w:rsidR="00B67EA3">
              <w:t>”</w:t>
            </w:r>
            <w:r>
              <w:t xml:space="preserve"> declaration stating that plaintiff is “entitled to possession of domain name,” damages of more than 1M </w:t>
            </w:r>
            <w:proofErr w:type="spellStart"/>
            <w:r>
              <w:t>USD+attorney</w:t>
            </w:r>
            <w:proofErr w:type="spellEnd"/>
            <w:r>
              <w:t xml:space="preserve"> fees</w:t>
            </w:r>
            <w:r w:rsidR="006932D8">
              <w:t xml:space="preserve"> </w:t>
            </w:r>
          </w:p>
        </w:tc>
      </w:tr>
      <w:tr w:rsidR="0092763B">
        <w:tc>
          <w:tcPr>
            <w:tcW w:w="3798" w:type="dxa"/>
          </w:tcPr>
          <w:p w:rsidR="0092763B" w:rsidRDefault="00313B15">
            <w:pPr>
              <w:contextualSpacing w:val="0"/>
            </w:pPr>
            <w:r>
              <w:rPr>
                <w:sz w:val="24"/>
                <w:szCs w:val="24"/>
              </w:rPr>
              <w:t>Outcome/Relief Granted:</w:t>
            </w:r>
          </w:p>
        </w:tc>
        <w:tc>
          <w:tcPr>
            <w:tcW w:w="9378" w:type="dxa"/>
          </w:tcPr>
          <w:p w:rsidR="0092763B" w:rsidRDefault="00434710" w:rsidP="00434710">
            <w:pPr>
              <w:contextualSpacing w:val="0"/>
            </w:pPr>
            <w:r>
              <w:t xml:space="preserve">Against </w:t>
            </w:r>
            <w:proofErr w:type="spellStart"/>
            <w:r>
              <w:t>DoC</w:t>
            </w:r>
            <w:proofErr w:type="spellEnd"/>
            <w:r>
              <w:t xml:space="preserve">: Dismissal of </w:t>
            </w:r>
            <w:r w:rsidR="00B67EA3">
              <w:t xml:space="preserve">Plaintiff’s </w:t>
            </w:r>
            <w:r>
              <w:t>claims</w:t>
            </w:r>
          </w:p>
        </w:tc>
      </w:tr>
      <w:tr w:rsidR="0092763B">
        <w:tc>
          <w:tcPr>
            <w:tcW w:w="3798" w:type="dxa"/>
          </w:tcPr>
          <w:p w:rsidR="0092763B" w:rsidRDefault="00313B15">
            <w:pPr>
              <w:contextualSpacing w:val="0"/>
            </w:pPr>
            <w:r>
              <w:rPr>
                <w:sz w:val="24"/>
                <w:szCs w:val="24"/>
              </w:rPr>
              <w:t>Was Jurisdiction Contested?</w:t>
            </w:r>
            <w:r>
              <w:rPr>
                <w:sz w:val="24"/>
                <w:szCs w:val="24"/>
                <w:vertAlign w:val="superscript"/>
              </w:rPr>
              <w:footnoteReference w:id="2"/>
            </w:r>
          </w:p>
        </w:tc>
        <w:tc>
          <w:tcPr>
            <w:tcW w:w="9378" w:type="dxa"/>
          </w:tcPr>
          <w:p w:rsidR="0092763B" w:rsidRDefault="00434710">
            <w:pPr>
              <w:contextualSpacing w:val="0"/>
            </w:pPr>
            <w:r>
              <w:t>No</w:t>
            </w:r>
          </w:p>
        </w:tc>
      </w:tr>
      <w:tr w:rsidR="0092763B">
        <w:tc>
          <w:tcPr>
            <w:tcW w:w="3798" w:type="dxa"/>
          </w:tcPr>
          <w:p w:rsidR="0092763B" w:rsidRDefault="00313B15">
            <w:pPr>
              <w:contextualSpacing w:val="0"/>
            </w:pPr>
            <w:r>
              <w:rPr>
                <w:sz w:val="24"/>
                <w:szCs w:val="24"/>
              </w:rPr>
              <w:t>Relevance to WG mandate</w:t>
            </w:r>
          </w:p>
        </w:tc>
        <w:tc>
          <w:tcPr>
            <w:tcW w:w="9378" w:type="dxa"/>
          </w:tcPr>
          <w:p w:rsidR="0092763B" w:rsidRPr="006932D8" w:rsidRDefault="00C7474A" w:rsidP="00B67EA3">
            <w:pPr>
              <w:contextualSpacing w:val="0"/>
            </w:pPr>
            <w:r>
              <w:t>Plaintiff</w:t>
            </w:r>
            <w:r w:rsidR="00B67EA3">
              <w:t>’s</w:t>
            </w:r>
            <w:r>
              <w:t xml:space="preserve"> cause of action was based on a topic that has been discussed since the creation of ICANN and the UDRP. Considering that more than 15 years have elapsed since that case, such challenges against ICANN are not new, and given the successful completion of the IANA </w:t>
            </w:r>
            <w:r w:rsidR="00B67EA3">
              <w:t xml:space="preserve">Transition, most likely </w:t>
            </w:r>
            <w:r>
              <w:t>not relevant anymore.</w:t>
            </w:r>
          </w:p>
        </w:tc>
      </w:tr>
      <w:tr w:rsidR="0092763B">
        <w:tc>
          <w:tcPr>
            <w:tcW w:w="3798" w:type="dxa"/>
          </w:tcPr>
          <w:p w:rsidR="0092763B" w:rsidRDefault="00313B15">
            <w:pPr>
              <w:contextualSpacing w:val="0"/>
            </w:pPr>
            <w:r>
              <w:rPr>
                <w:sz w:val="24"/>
                <w:szCs w:val="24"/>
              </w:rPr>
              <w:t>Impact on ICANN accountability/operations:</w:t>
            </w:r>
            <w:r>
              <w:rPr>
                <w:sz w:val="24"/>
                <w:szCs w:val="24"/>
                <w:vertAlign w:val="superscript"/>
              </w:rPr>
              <w:footnoteReference w:id="3"/>
            </w:r>
          </w:p>
        </w:tc>
        <w:tc>
          <w:tcPr>
            <w:tcW w:w="9378" w:type="dxa"/>
          </w:tcPr>
          <w:p w:rsidR="0092763B" w:rsidRDefault="00C7474A" w:rsidP="0076736D">
            <w:pPr>
              <w:contextualSpacing w:val="0"/>
            </w:pPr>
            <w:r>
              <w:t>None</w:t>
            </w:r>
            <w:r w:rsidR="0076736D">
              <w:t xml:space="preserve"> </w:t>
            </w:r>
          </w:p>
        </w:tc>
      </w:tr>
      <w:tr w:rsidR="0092763B">
        <w:tc>
          <w:tcPr>
            <w:tcW w:w="3798" w:type="dxa"/>
          </w:tcPr>
          <w:p w:rsidR="0092763B" w:rsidRDefault="00313B15">
            <w:pPr>
              <w:contextualSpacing w:val="0"/>
            </w:pPr>
            <w:r>
              <w:rPr>
                <w:sz w:val="24"/>
                <w:szCs w:val="24"/>
              </w:rPr>
              <w:t>Impact if case were decided for the other party?</w:t>
            </w:r>
          </w:p>
        </w:tc>
        <w:tc>
          <w:tcPr>
            <w:tcW w:w="9378" w:type="dxa"/>
          </w:tcPr>
          <w:p w:rsidR="0092763B" w:rsidRDefault="00C7474A" w:rsidP="00142E20">
            <w:pPr>
              <w:contextualSpacing w:val="0"/>
            </w:pPr>
            <w:r>
              <w:t>Had UDRP and the delegation of powers to ICANN been deemed illegal</w:t>
            </w:r>
            <w:r w:rsidR="00B67EA3">
              <w:t xml:space="preserve"> in light of US administrative law</w:t>
            </w:r>
            <w:r>
              <w:t xml:space="preserve">, then the impact could have been large, but such matters now belong to the past. </w:t>
            </w:r>
          </w:p>
        </w:tc>
      </w:tr>
      <w:tr w:rsidR="0092763B">
        <w:tc>
          <w:tcPr>
            <w:tcW w:w="3798" w:type="dxa"/>
          </w:tcPr>
          <w:p w:rsidR="0092763B" w:rsidRDefault="00313B15">
            <w:pPr>
              <w:contextualSpacing w:val="0"/>
            </w:pPr>
            <w:r>
              <w:rPr>
                <w:sz w:val="24"/>
                <w:szCs w:val="24"/>
              </w:rPr>
              <w:t xml:space="preserve">Did the Court  comment on the merit, lack of merit and/or frivolity of the plaintiff’s claim? </w:t>
            </w:r>
          </w:p>
        </w:tc>
        <w:tc>
          <w:tcPr>
            <w:tcW w:w="9378" w:type="dxa"/>
          </w:tcPr>
          <w:p w:rsidR="0092763B" w:rsidRDefault="00C7474A">
            <w:pPr>
              <w:contextualSpacing w:val="0"/>
            </w:pPr>
            <w:r>
              <w:t xml:space="preserve">The Court dismissed plaintiff’s claim on the basis of lack of standing. The Court uses a cumulative three-pronged test and the plaintiff </w:t>
            </w:r>
            <w:r w:rsidR="00B67EA3">
              <w:t>fails on all counts</w:t>
            </w:r>
          </w:p>
        </w:tc>
      </w:tr>
      <w:tr w:rsidR="0092763B">
        <w:tc>
          <w:tcPr>
            <w:tcW w:w="3798" w:type="dxa"/>
          </w:tcPr>
          <w:p w:rsidR="0092763B" w:rsidRDefault="00313B15">
            <w:pPr>
              <w:contextualSpacing w:val="0"/>
            </w:pPr>
            <w:r>
              <w:rPr>
                <w:sz w:val="24"/>
                <w:szCs w:val="24"/>
              </w:rPr>
              <w:t>Key Documents:</w:t>
            </w:r>
          </w:p>
        </w:tc>
        <w:tc>
          <w:tcPr>
            <w:tcW w:w="9378" w:type="dxa"/>
          </w:tcPr>
          <w:p w:rsidR="00C7474A" w:rsidRDefault="00C7474A">
            <w:pPr>
              <w:contextualSpacing w:val="0"/>
            </w:pPr>
            <w:r>
              <w:t>First amended complaint (27 December 2001)</w:t>
            </w:r>
          </w:p>
          <w:p w:rsidR="00142E20" w:rsidRDefault="00C7474A">
            <w:pPr>
              <w:contextualSpacing w:val="0"/>
            </w:pPr>
            <w:r>
              <w:t>Opinion dismissing claims (15 May 2002)</w:t>
            </w:r>
          </w:p>
        </w:tc>
      </w:tr>
    </w:tbl>
    <w:p w:rsidR="0092763B" w:rsidRDefault="0092763B"/>
    <w:sectPr w:rsidR="0092763B">
      <w:pgSz w:w="15840" w:h="122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86F" w:rsidRDefault="0067086F">
      <w:pPr>
        <w:spacing w:after="0" w:line="240" w:lineRule="auto"/>
      </w:pPr>
      <w:r>
        <w:separator/>
      </w:r>
    </w:p>
  </w:endnote>
  <w:endnote w:type="continuationSeparator" w:id="0">
    <w:p w:rsidR="0067086F" w:rsidRDefault="00670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86F" w:rsidRDefault="0067086F">
      <w:pPr>
        <w:spacing w:after="0" w:line="240" w:lineRule="auto"/>
      </w:pPr>
      <w:r>
        <w:separator/>
      </w:r>
    </w:p>
  </w:footnote>
  <w:footnote w:type="continuationSeparator" w:id="0">
    <w:p w:rsidR="0067086F" w:rsidRDefault="0067086F">
      <w:pPr>
        <w:spacing w:after="0" w:line="240" w:lineRule="auto"/>
      </w:pPr>
      <w:r>
        <w:continuationSeparator/>
      </w:r>
    </w:p>
  </w:footnote>
  <w:footnote w:id="1">
    <w:p w:rsidR="0092763B" w:rsidRDefault="00313B15">
      <w:pPr>
        <w:spacing w:after="0" w:line="240" w:lineRule="auto"/>
      </w:pPr>
      <w:r>
        <w:rPr>
          <w:vertAlign w:val="superscript"/>
        </w:rPr>
        <w:footnoteRef/>
      </w:r>
      <w:r>
        <w:rPr>
          <w:sz w:val="20"/>
          <w:szCs w:val="20"/>
        </w:rPr>
        <w:t xml:space="preserve"> </w:t>
      </w:r>
      <w:r>
        <w:t xml:space="preserve">Indicate whether each party is Plaintiff (P) or Defendant (D), or other status.  Please also list non-party participants, such as  Amicus Curiae (AC). </w:t>
      </w:r>
    </w:p>
  </w:footnote>
  <w:footnote w:id="2">
    <w:p w:rsidR="0092763B" w:rsidRDefault="00313B15">
      <w:pPr>
        <w:spacing w:after="0" w:line="240" w:lineRule="auto"/>
      </w:pPr>
      <w:r>
        <w:rPr>
          <w:vertAlign w:val="superscript"/>
        </w:rPr>
        <w:footnoteRef/>
      </w:r>
      <w:r>
        <w:t xml:space="preserve"> For example, challenge to venue, challenge to change of venue, challenge to governing law, challenge to application of “choice of law” provision.  Please describe the outcome as well as the challenge.</w:t>
      </w:r>
    </w:p>
  </w:footnote>
  <w:footnote w:id="3">
    <w:p w:rsidR="0092763B" w:rsidRDefault="00313B15">
      <w:pPr>
        <w:spacing w:after="0" w:line="240" w:lineRule="auto"/>
      </w:pPr>
      <w:r>
        <w:rPr>
          <w:vertAlign w:val="superscript"/>
        </w:rPr>
        <w:footnoteRef/>
      </w:r>
      <w:r>
        <w:rPr>
          <w:sz w:val="20"/>
          <w:szCs w:val="20"/>
        </w:rPr>
        <w:t xml:space="preserve"> </w:t>
      </w:r>
      <w:r>
        <w:t>Indicate whether the case had or will have an effect on ICANN’s accountability mechanisms or the operation of ICANN’s policies..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2763B"/>
    <w:rsid w:val="00124EB2"/>
    <w:rsid w:val="00142E20"/>
    <w:rsid w:val="001E0DD4"/>
    <w:rsid w:val="002A3CC9"/>
    <w:rsid w:val="00313B15"/>
    <w:rsid w:val="00391537"/>
    <w:rsid w:val="00434710"/>
    <w:rsid w:val="005A20FC"/>
    <w:rsid w:val="005D76AF"/>
    <w:rsid w:val="0067086F"/>
    <w:rsid w:val="006932D8"/>
    <w:rsid w:val="007117AB"/>
    <w:rsid w:val="0076736D"/>
    <w:rsid w:val="0092763B"/>
    <w:rsid w:val="00B67EA3"/>
    <w:rsid w:val="00B93D77"/>
    <w:rsid w:val="00BF0691"/>
    <w:rsid w:val="00C7474A"/>
    <w:rsid w:val="00CB17D0"/>
    <w:rsid w:val="00EC6C13"/>
    <w:rsid w:val="00ED5BA6"/>
    <w:rsid w:val="00F073AE"/>
    <w:rsid w:val="00F3705E"/>
    <w:rsid w:val="00F521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contextualSpacing/>
    </w:pPr>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contextualSpacing/>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2</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Shatan</dc:creator>
  <cp:lastModifiedBy>Greg Shatan</cp:lastModifiedBy>
  <cp:revision>10</cp:revision>
  <cp:lastPrinted>2017-05-30T07:37:00Z</cp:lastPrinted>
  <dcterms:created xsi:type="dcterms:W3CDTF">2017-02-21T04:38:00Z</dcterms:created>
  <dcterms:modified xsi:type="dcterms:W3CDTF">2017-05-30T07:38:00Z</dcterms:modified>
</cp:coreProperties>
</file>