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2763B" w:rsidRDefault="00313B15">
      <w:pPr>
        <w:jc w:val="center"/>
      </w:pPr>
      <w:bookmarkStart w:id="0" w:name="_gjdgxs" w:colFirst="0" w:colLast="0"/>
      <w:bookmarkStart w:id="1" w:name="_GoBack"/>
      <w:bookmarkEnd w:id="0"/>
      <w:bookmarkEnd w:id="1"/>
      <w:r>
        <w:rPr>
          <w:b/>
          <w:sz w:val="28"/>
          <w:szCs w:val="28"/>
        </w:rPr>
        <w:t>JURISDICTION SUBGROUP ICANN LITIGATION SUMMARY v2</w:t>
      </w:r>
    </w:p>
    <w:tbl>
      <w:tblPr>
        <w:tblStyle w:val="a"/>
        <w:tblW w:w="131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8"/>
        <w:gridCol w:w="9378"/>
      </w:tblGrid>
      <w:tr w:rsidR="0092763B">
        <w:tc>
          <w:tcPr>
            <w:tcW w:w="3798" w:type="dxa"/>
          </w:tcPr>
          <w:p w:rsidR="0092763B" w:rsidRDefault="00313B15">
            <w:pPr>
              <w:contextualSpacing w:val="0"/>
            </w:pPr>
            <w:r>
              <w:rPr>
                <w:sz w:val="24"/>
                <w:szCs w:val="24"/>
              </w:rPr>
              <w:t>Reviewed by:</w:t>
            </w:r>
          </w:p>
        </w:tc>
        <w:tc>
          <w:tcPr>
            <w:tcW w:w="9378" w:type="dxa"/>
          </w:tcPr>
          <w:p w:rsidR="0092763B" w:rsidRDefault="002A3CC9">
            <w:pPr>
              <w:contextualSpacing w:val="0"/>
            </w:pPr>
            <w:r>
              <w:t>Raphael Beauregard-Lacroix</w:t>
            </w:r>
          </w:p>
        </w:tc>
      </w:tr>
      <w:tr w:rsidR="0092763B">
        <w:tc>
          <w:tcPr>
            <w:tcW w:w="3798" w:type="dxa"/>
          </w:tcPr>
          <w:p w:rsidR="0092763B" w:rsidRDefault="00313B15">
            <w:pPr>
              <w:contextualSpacing w:val="0"/>
            </w:pPr>
            <w:r>
              <w:rPr>
                <w:sz w:val="24"/>
                <w:szCs w:val="24"/>
              </w:rPr>
              <w:t>Name of Case:</w:t>
            </w:r>
          </w:p>
        </w:tc>
        <w:tc>
          <w:tcPr>
            <w:tcW w:w="9378" w:type="dxa"/>
          </w:tcPr>
          <w:p w:rsidR="0092763B" w:rsidRDefault="00420391">
            <w:pPr>
              <w:contextualSpacing w:val="0"/>
            </w:pPr>
            <w:r>
              <w:t xml:space="preserve">Schreiber v </w:t>
            </w:r>
            <w:proofErr w:type="spellStart"/>
            <w:r>
              <w:t>Dunabin</w:t>
            </w:r>
            <w:proofErr w:type="spellEnd"/>
            <w:r>
              <w:t xml:space="preserve"> et al</w:t>
            </w:r>
          </w:p>
        </w:tc>
      </w:tr>
      <w:tr w:rsidR="0092763B">
        <w:tc>
          <w:tcPr>
            <w:tcW w:w="3798" w:type="dxa"/>
          </w:tcPr>
          <w:p w:rsidR="0092763B" w:rsidRDefault="00313B15">
            <w:pPr>
              <w:contextualSpacing w:val="0"/>
            </w:pPr>
            <w:r>
              <w:rPr>
                <w:sz w:val="24"/>
                <w:szCs w:val="24"/>
              </w:rPr>
              <w:t>Parties:</w:t>
            </w:r>
            <w:r>
              <w:rPr>
                <w:sz w:val="24"/>
                <w:szCs w:val="24"/>
                <w:vertAlign w:val="superscript"/>
              </w:rPr>
              <w:footnoteReference w:id="1"/>
            </w:r>
          </w:p>
        </w:tc>
        <w:tc>
          <w:tcPr>
            <w:tcW w:w="9378" w:type="dxa"/>
          </w:tcPr>
          <w:p w:rsidR="0092763B" w:rsidRDefault="00420391" w:rsidP="005D76AF">
            <w:pPr>
              <w:contextualSpacing w:val="0"/>
            </w:pPr>
            <w:r>
              <w:t>Graham Schreiber (Plaintiff)</w:t>
            </w:r>
          </w:p>
          <w:p w:rsidR="00420391" w:rsidRDefault="00420391" w:rsidP="005D76AF">
            <w:pPr>
              <w:contextualSpacing w:val="0"/>
            </w:pPr>
            <w:r>
              <w:t>Defendants:</w:t>
            </w:r>
          </w:p>
          <w:p w:rsidR="00420391" w:rsidRDefault="00420391" w:rsidP="00420391">
            <w:pPr>
              <w:contextualSpacing w:val="0"/>
            </w:pPr>
            <w:r>
              <w:t xml:space="preserve">A: Lorraine </w:t>
            </w:r>
            <w:proofErr w:type="spellStart"/>
            <w:r>
              <w:t>Dunabin</w:t>
            </w:r>
            <w:proofErr w:type="spellEnd"/>
            <w:r>
              <w:t xml:space="preserve"> (main defendant)</w:t>
            </w:r>
          </w:p>
          <w:p w:rsidR="00420391" w:rsidRDefault="00420391" w:rsidP="00420391">
            <w:pPr>
              <w:contextualSpacing w:val="0"/>
            </w:pPr>
            <w:r>
              <w:t xml:space="preserve">B: </w:t>
            </w:r>
            <w:proofErr w:type="spellStart"/>
            <w:r>
              <w:t>CentralNIC</w:t>
            </w:r>
            <w:proofErr w:type="spellEnd"/>
            <w:r>
              <w:t xml:space="preserve"> (registry | .uk.com)</w:t>
            </w:r>
          </w:p>
          <w:p w:rsidR="00420391" w:rsidRDefault="00420391" w:rsidP="00420391">
            <w:pPr>
              <w:contextualSpacing w:val="0"/>
            </w:pPr>
            <w:r>
              <w:t>C: Verisign (registry | .com)</w:t>
            </w:r>
          </w:p>
          <w:p w:rsidR="00420391" w:rsidRDefault="00420391" w:rsidP="005D76AF">
            <w:pPr>
              <w:contextualSpacing w:val="0"/>
            </w:pPr>
            <w:r>
              <w:t>D: ICANN</w:t>
            </w:r>
          </w:p>
          <w:p w:rsidR="00420391" w:rsidRPr="00E366A8" w:rsidRDefault="00420391" w:rsidP="00420391">
            <w:pPr>
              <w:contextualSpacing w:val="0"/>
              <w:rPr>
                <w:lang w:val="es-ES"/>
              </w:rPr>
            </w:pPr>
            <w:r w:rsidRPr="00E366A8">
              <w:rPr>
                <w:lang w:val="es-ES"/>
              </w:rPr>
              <w:t>E: eNOM/Demand Media (registrar)</w:t>
            </w:r>
          </w:p>
          <w:p w:rsidR="00420391" w:rsidRDefault="00420391" w:rsidP="00420391">
            <w:pPr>
              <w:contextualSpacing w:val="0"/>
            </w:pPr>
            <w:r>
              <w:t>F: Network Solutions (registrar)</w:t>
            </w:r>
          </w:p>
        </w:tc>
      </w:tr>
      <w:tr w:rsidR="0092763B">
        <w:tc>
          <w:tcPr>
            <w:tcW w:w="3798" w:type="dxa"/>
          </w:tcPr>
          <w:p w:rsidR="0092763B" w:rsidRDefault="00313B15">
            <w:pPr>
              <w:contextualSpacing w:val="0"/>
            </w:pPr>
            <w:r>
              <w:rPr>
                <w:sz w:val="24"/>
                <w:szCs w:val="24"/>
              </w:rPr>
              <w:t>Citizenship of Parties:</w:t>
            </w:r>
          </w:p>
        </w:tc>
        <w:tc>
          <w:tcPr>
            <w:tcW w:w="9378" w:type="dxa"/>
          </w:tcPr>
          <w:p w:rsidR="00420391" w:rsidRDefault="00420391" w:rsidP="00420391">
            <w:pPr>
              <w:contextualSpacing w:val="0"/>
            </w:pPr>
            <w:r>
              <w:t>Plaintiff: Canada</w:t>
            </w:r>
            <w:r w:rsidR="005D76AF">
              <w:br/>
            </w:r>
            <w:r>
              <w:t>Def. A, B: UK</w:t>
            </w:r>
          </w:p>
          <w:p w:rsidR="0092763B" w:rsidRDefault="00420391" w:rsidP="006441BB">
            <w:pPr>
              <w:contextualSpacing w:val="0"/>
            </w:pPr>
            <w:r>
              <w:t>Def. C-</w:t>
            </w:r>
            <w:r w:rsidR="006441BB">
              <w:t>F</w:t>
            </w:r>
            <w:r>
              <w:t>: US</w:t>
            </w:r>
          </w:p>
        </w:tc>
      </w:tr>
      <w:tr w:rsidR="0092763B">
        <w:tc>
          <w:tcPr>
            <w:tcW w:w="3798" w:type="dxa"/>
          </w:tcPr>
          <w:p w:rsidR="0092763B" w:rsidRDefault="00313B15">
            <w:pPr>
              <w:contextualSpacing w:val="0"/>
            </w:pPr>
            <w:r>
              <w:rPr>
                <w:sz w:val="24"/>
                <w:szCs w:val="24"/>
              </w:rPr>
              <w:t>Court/Venue:</w:t>
            </w:r>
          </w:p>
        </w:tc>
        <w:tc>
          <w:tcPr>
            <w:tcW w:w="9378" w:type="dxa"/>
          </w:tcPr>
          <w:p w:rsidR="0092763B" w:rsidRDefault="005D76AF">
            <w:pPr>
              <w:contextualSpacing w:val="0"/>
            </w:pPr>
            <w:r>
              <w:t>US District Court (Eastern District of Virginia)</w:t>
            </w:r>
            <w:r w:rsidR="00BF0691">
              <w:t xml:space="preserve"> </w:t>
            </w:r>
          </w:p>
        </w:tc>
      </w:tr>
      <w:tr w:rsidR="0092763B">
        <w:tc>
          <w:tcPr>
            <w:tcW w:w="3798" w:type="dxa"/>
          </w:tcPr>
          <w:p w:rsidR="0092763B" w:rsidRDefault="00313B15">
            <w:pPr>
              <w:contextualSpacing w:val="0"/>
            </w:pPr>
            <w:r>
              <w:rPr>
                <w:sz w:val="24"/>
                <w:szCs w:val="24"/>
              </w:rPr>
              <w:t>Choice of Law provision in contract; if so, which jurisdiction?:</w:t>
            </w:r>
          </w:p>
        </w:tc>
        <w:tc>
          <w:tcPr>
            <w:tcW w:w="9378" w:type="dxa"/>
          </w:tcPr>
          <w:p w:rsidR="005D76AF" w:rsidRDefault="006441BB">
            <w:pPr>
              <w:contextualSpacing w:val="0"/>
            </w:pPr>
            <w:r>
              <w:t xml:space="preserve">Unknown/not relevant in this case </w:t>
            </w:r>
          </w:p>
        </w:tc>
      </w:tr>
      <w:tr w:rsidR="0092763B">
        <w:tc>
          <w:tcPr>
            <w:tcW w:w="3798" w:type="dxa"/>
          </w:tcPr>
          <w:p w:rsidR="0092763B" w:rsidRDefault="00313B15">
            <w:pPr>
              <w:contextualSpacing w:val="0"/>
            </w:pPr>
            <w:r>
              <w:rPr>
                <w:sz w:val="24"/>
                <w:szCs w:val="24"/>
              </w:rPr>
              <w:t>Law used to determine conflict of laws issues (i.e., which law applies)</w:t>
            </w:r>
          </w:p>
        </w:tc>
        <w:tc>
          <w:tcPr>
            <w:tcW w:w="9378" w:type="dxa"/>
          </w:tcPr>
          <w:p w:rsidR="0092763B" w:rsidRDefault="006441BB" w:rsidP="00391537">
            <w:pPr>
              <w:contextualSpacing w:val="0"/>
            </w:pPr>
            <w:r>
              <w:t xml:space="preserve">Not relevant in this case </w:t>
            </w:r>
          </w:p>
        </w:tc>
      </w:tr>
      <w:tr w:rsidR="0092763B">
        <w:tc>
          <w:tcPr>
            <w:tcW w:w="3798" w:type="dxa"/>
          </w:tcPr>
          <w:p w:rsidR="0092763B" w:rsidRDefault="00313B15">
            <w:pPr>
              <w:contextualSpacing w:val="0"/>
            </w:pPr>
            <w:r>
              <w:rPr>
                <w:sz w:val="24"/>
                <w:szCs w:val="24"/>
              </w:rPr>
              <w:t>Substantive Law Governing the Dispute:</w:t>
            </w:r>
          </w:p>
        </w:tc>
        <w:tc>
          <w:tcPr>
            <w:tcW w:w="9378" w:type="dxa"/>
          </w:tcPr>
          <w:p w:rsidR="0092763B" w:rsidRDefault="005D76AF" w:rsidP="00434710">
            <w:pPr>
              <w:contextualSpacing w:val="0"/>
            </w:pPr>
            <w:r>
              <w:t>US Law</w:t>
            </w:r>
            <w:r w:rsidR="006441BB">
              <w:t xml:space="preserve"> </w:t>
            </w:r>
          </w:p>
        </w:tc>
      </w:tr>
      <w:tr w:rsidR="0092763B">
        <w:tc>
          <w:tcPr>
            <w:tcW w:w="3798" w:type="dxa"/>
          </w:tcPr>
          <w:p w:rsidR="0092763B" w:rsidRDefault="00313B15">
            <w:pPr>
              <w:contextualSpacing w:val="0"/>
            </w:pPr>
            <w:r>
              <w:rPr>
                <w:sz w:val="24"/>
                <w:szCs w:val="24"/>
              </w:rPr>
              <w:t>Date Case Began:</w:t>
            </w:r>
          </w:p>
        </w:tc>
        <w:tc>
          <w:tcPr>
            <w:tcW w:w="9378" w:type="dxa"/>
          </w:tcPr>
          <w:p w:rsidR="0092763B" w:rsidRDefault="006441BB" w:rsidP="005D76AF">
            <w:pPr>
              <w:contextualSpacing w:val="0"/>
            </w:pPr>
            <w:r>
              <w:t>31 July 2012</w:t>
            </w:r>
          </w:p>
        </w:tc>
      </w:tr>
      <w:tr w:rsidR="0092763B">
        <w:tc>
          <w:tcPr>
            <w:tcW w:w="3798" w:type="dxa"/>
          </w:tcPr>
          <w:p w:rsidR="0092763B" w:rsidRDefault="00313B15">
            <w:pPr>
              <w:contextualSpacing w:val="0"/>
            </w:pPr>
            <w:r>
              <w:rPr>
                <w:sz w:val="24"/>
                <w:szCs w:val="24"/>
              </w:rPr>
              <w:t>Date Case Ended:</w:t>
            </w:r>
          </w:p>
        </w:tc>
        <w:tc>
          <w:tcPr>
            <w:tcW w:w="9378" w:type="dxa"/>
          </w:tcPr>
          <w:p w:rsidR="0092763B" w:rsidRDefault="006441BB" w:rsidP="00080D70">
            <w:pPr>
              <w:contextualSpacing w:val="0"/>
            </w:pPr>
            <w:r>
              <w:t xml:space="preserve">5 October 2015 </w:t>
            </w:r>
            <w:r w:rsidR="00124EB2">
              <w:t xml:space="preserve"> </w:t>
            </w:r>
            <w:r w:rsidR="0091026A">
              <w:t xml:space="preserve">(writ of mandamus denied following refusal by the Court of Appeal </w:t>
            </w:r>
            <w:r w:rsidR="00080D70">
              <w:t>to hear the appeal, as the notice of appeal was filed too late.</w:t>
            </w:r>
            <w:r w:rsidR="0091026A">
              <w:t>)</w:t>
            </w:r>
          </w:p>
        </w:tc>
      </w:tr>
      <w:tr w:rsidR="0092763B">
        <w:tc>
          <w:tcPr>
            <w:tcW w:w="3798" w:type="dxa"/>
          </w:tcPr>
          <w:p w:rsidR="0092763B" w:rsidRDefault="00313B15">
            <w:pPr>
              <w:contextualSpacing w:val="0"/>
            </w:pPr>
            <w:r>
              <w:rPr>
                <w:sz w:val="24"/>
                <w:szCs w:val="24"/>
              </w:rPr>
              <w:t>Causes of Action:</w:t>
            </w:r>
          </w:p>
        </w:tc>
        <w:tc>
          <w:tcPr>
            <w:tcW w:w="9378" w:type="dxa"/>
          </w:tcPr>
          <w:p w:rsidR="00434710" w:rsidRDefault="0091026A" w:rsidP="0083101B">
            <w:r>
              <w:t xml:space="preserve">Primary and contributory trademark infringement of </w:t>
            </w:r>
            <w:proofErr w:type="spellStart"/>
            <w:r>
              <w:rPr>
                <w:i/>
                <w:iCs/>
              </w:rPr>
              <w:t>Landcruise</w:t>
            </w:r>
            <w:proofErr w:type="spellEnd"/>
            <w:r>
              <w:rPr>
                <w:i/>
                <w:iCs/>
              </w:rPr>
              <w:t xml:space="preserve"> Ltd., </w:t>
            </w:r>
            <w:r>
              <w:t>a Canadian company</w:t>
            </w:r>
            <w:r w:rsidR="0083101B">
              <w:t xml:space="preserve">. However these claims are moot, since what Schreiber actually asserts is trademark infringement by a UK company. </w:t>
            </w:r>
            <w:r w:rsidR="00D82608">
              <w:t xml:space="preserve">All the US defendants are contributory defendants. </w:t>
            </w:r>
            <w:r w:rsidR="0083101B">
              <w:t xml:space="preserve">Neither him nor Lorraine </w:t>
            </w:r>
            <w:proofErr w:type="spellStart"/>
            <w:r w:rsidR="0083101B">
              <w:t>Dunabin</w:t>
            </w:r>
            <w:proofErr w:type="spellEnd"/>
            <w:r w:rsidR="0083101B">
              <w:t xml:space="preserve"> have recognized trademarks in the US at the time of the complaint, hence the dismissal of the complaint for failure to state a claim and lack</w:t>
            </w:r>
            <w:r w:rsidR="007522D6">
              <w:t xml:space="preserve"> of subject matter jurisdiction (extraterritorial application of the </w:t>
            </w:r>
            <w:r w:rsidR="007522D6" w:rsidRPr="007522D6">
              <w:rPr>
                <w:i/>
                <w:iCs/>
              </w:rPr>
              <w:t>Lanham Act</w:t>
            </w:r>
            <w:r w:rsidR="007522D6">
              <w:t xml:space="preserve"> is denied)</w:t>
            </w:r>
          </w:p>
        </w:tc>
      </w:tr>
      <w:tr w:rsidR="0092763B">
        <w:tc>
          <w:tcPr>
            <w:tcW w:w="3798" w:type="dxa"/>
          </w:tcPr>
          <w:p w:rsidR="0092763B" w:rsidRDefault="00313B15">
            <w:pPr>
              <w:contextualSpacing w:val="0"/>
            </w:pPr>
            <w:r>
              <w:rPr>
                <w:sz w:val="24"/>
                <w:szCs w:val="24"/>
              </w:rPr>
              <w:lastRenderedPageBreak/>
              <w:t>Issues Presented:</w:t>
            </w:r>
          </w:p>
        </w:tc>
        <w:tc>
          <w:tcPr>
            <w:tcW w:w="9378" w:type="dxa"/>
          </w:tcPr>
          <w:p w:rsidR="00D82608" w:rsidRDefault="0083101B" w:rsidP="00D82608">
            <w:r>
              <w:t xml:space="preserve">Extraterritorial application of the </w:t>
            </w:r>
            <w:r w:rsidR="00D82608">
              <w:rPr>
                <w:i/>
                <w:iCs/>
              </w:rPr>
              <w:t xml:space="preserve">Lanham Act. </w:t>
            </w:r>
            <w:r w:rsidR="00D82608">
              <w:t>US Trademark law may be applied extraterritorially. However,  the following test must be satisfied: “(1) the defendant's conduct has a significant effect on</w:t>
            </w:r>
          </w:p>
          <w:p w:rsidR="00ED5BA6" w:rsidRPr="00D82608" w:rsidRDefault="00D82608" w:rsidP="00D82608">
            <w:r>
              <w:t xml:space="preserve">United States commerce; (2) the defendant is a citizen of the United States; and (3) issuance of an injunction would interfere with trademark rights under the relevant foreign law, making issuance of the injunction inappropriate in light of international comity concerns.” Neither of these are satisfied in this case. </w:t>
            </w:r>
          </w:p>
        </w:tc>
      </w:tr>
      <w:tr w:rsidR="0092763B">
        <w:tc>
          <w:tcPr>
            <w:tcW w:w="3798" w:type="dxa"/>
          </w:tcPr>
          <w:p w:rsidR="0092763B" w:rsidRDefault="00313B15">
            <w:pPr>
              <w:contextualSpacing w:val="0"/>
            </w:pPr>
            <w:r>
              <w:rPr>
                <w:sz w:val="24"/>
                <w:szCs w:val="24"/>
              </w:rPr>
              <w:t>Preliminary Relief?:</w:t>
            </w:r>
          </w:p>
        </w:tc>
        <w:tc>
          <w:tcPr>
            <w:tcW w:w="9378" w:type="dxa"/>
          </w:tcPr>
          <w:p w:rsidR="0092763B" w:rsidRDefault="0083101B">
            <w:pPr>
              <w:contextualSpacing w:val="0"/>
            </w:pPr>
            <w:r>
              <w:t>None</w:t>
            </w:r>
          </w:p>
        </w:tc>
      </w:tr>
      <w:tr w:rsidR="0092763B">
        <w:tc>
          <w:tcPr>
            <w:tcW w:w="3798" w:type="dxa"/>
          </w:tcPr>
          <w:p w:rsidR="0092763B" w:rsidRDefault="00313B15">
            <w:pPr>
              <w:contextualSpacing w:val="0"/>
            </w:pPr>
            <w:r>
              <w:rPr>
                <w:sz w:val="24"/>
                <w:szCs w:val="24"/>
              </w:rPr>
              <w:t>Relief Requested by Plaintiff</w:t>
            </w:r>
          </w:p>
        </w:tc>
        <w:tc>
          <w:tcPr>
            <w:tcW w:w="9378" w:type="dxa"/>
          </w:tcPr>
          <w:p w:rsidR="0092763B" w:rsidRDefault="0083101B" w:rsidP="00391537">
            <w:pPr>
              <w:contextualSpacing w:val="0"/>
            </w:pPr>
            <w:r>
              <w:t>Unclear</w:t>
            </w:r>
            <w:r w:rsidR="00D82608">
              <w:t xml:space="preserve">; injunction against </w:t>
            </w:r>
            <w:proofErr w:type="spellStart"/>
            <w:r w:rsidR="00D82608">
              <w:t>Dunabin</w:t>
            </w:r>
            <w:proofErr w:type="spellEnd"/>
            <w:r w:rsidR="00D82608">
              <w:t xml:space="preserve"> and the other defendants. </w:t>
            </w:r>
          </w:p>
        </w:tc>
      </w:tr>
      <w:tr w:rsidR="0092763B">
        <w:tc>
          <w:tcPr>
            <w:tcW w:w="3798" w:type="dxa"/>
          </w:tcPr>
          <w:p w:rsidR="0092763B" w:rsidRDefault="00313B15">
            <w:pPr>
              <w:contextualSpacing w:val="0"/>
            </w:pPr>
            <w:r>
              <w:rPr>
                <w:sz w:val="24"/>
                <w:szCs w:val="24"/>
              </w:rPr>
              <w:t>Outcome/Relief Granted:</w:t>
            </w:r>
          </w:p>
        </w:tc>
        <w:tc>
          <w:tcPr>
            <w:tcW w:w="9378" w:type="dxa"/>
          </w:tcPr>
          <w:p w:rsidR="0092763B" w:rsidRDefault="0083101B" w:rsidP="00434710">
            <w:pPr>
              <w:contextualSpacing w:val="0"/>
            </w:pPr>
            <w:r>
              <w:t>Dismissal of all claims (including “remaining state law claims,”) for lack of subject matter jurisdiction and failure to state a claim.</w:t>
            </w:r>
          </w:p>
          <w:p w:rsidR="00D82608" w:rsidRDefault="00D82608" w:rsidP="00D82608">
            <w:r>
              <w:t xml:space="preserve">-“The Court grants Defendants' Motions to Dismiss Plaintiffs Complaint for lack of subject matter jurisdiction against </w:t>
            </w:r>
            <w:proofErr w:type="spellStart"/>
            <w:r>
              <w:t>Dunabin</w:t>
            </w:r>
            <w:proofErr w:type="spellEnd"/>
            <w:r>
              <w:t xml:space="preserve"> because </w:t>
            </w:r>
            <w:proofErr w:type="spellStart"/>
            <w:r>
              <w:t>Dunabin's</w:t>
            </w:r>
            <w:proofErr w:type="spellEnd"/>
            <w:r>
              <w:t xml:space="preserve"> alleged infringing acts occurred outside of the United States and concern marks that have not been used or registered in the United States.” (p.7)</w:t>
            </w:r>
          </w:p>
          <w:p w:rsidR="00D82608" w:rsidRDefault="00D82608" w:rsidP="00D82608">
            <w:r>
              <w:t>-the Court grants Defendants' Motions to Dismiss Plaintiffs Complaint for failure to state a claim because Plaintiff fails to plead facts that plausibly establish he has recognized trademark rights in the United States that can be infringed, either directly or contributorily. (p.7)</w:t>
            </w:r>
          </w:p>
        </w:tc>
      </w:tr>
      <w:tr w:rsidR="0092763B">
        <w:tc>
          <w:tcPr>
            <w:tcW w:w="3798" w:type="dxa"/>
          </w:tcPr>
          <w:p w:rsidR="0092763B" w:rsidRDefault="00313B15">
            <w:pPr>
              <w:contextualSpacing w:val="0"/>
            </w:pPr>
            <w:r>
              <w:rPr>
                <w:sz w:val="24"/>
                <w:szCs w:val="24"/>
              </w:rPr>
              <w:t>Was Jurisdiction Contested?</w:t>
            </w:r>
            <w:r>
              <w:rPr>
                <w:sz w:val="24"/>
                <w:szCs w:val="24"/>
                <w:vertAlign w:val="superscript"/>
              </w:rPr>
              <w:footnoteReference w:id="2"/>
            </w:r>
          </w:p>
        </w:tc>
        <w:tc>
          <w:tcPr>
            <w:tcW w:w="9378" w:type="dxa"/>
          </w:tcPr>
          <w:p w:rsidR="0092763B" w:rsidRDefault="0091026A">
            <w:pPr>
              <w:contextualSpacing w:val="0"/>
            </w:pPr>
            <w:r>
              <w:t>Yes (subject matter)</w:t>
            </w:r>
          </w:p>
        </w:tc>
      </w:tr>
      <w:tr w:rsidR="0092763B">
        <w:tc>
          <w:tcPr>
            <w:tcW w:w="3798" w:type="dxa"/>
          </w:tcPr>
          <w:p w:rsidR="0092763B" w:rsidRDefault="00313B15">
            <w:pPr>
              <w:contextualSpacing w:val="0"/>
            </w:pPr>
            <w:r>
              <w:rPr>
                <w:sz w:val="24"/>
                <w:szCs w:val="24"/>
              </w:rPr>
              <w:t>Relevance to WG mandate</w:t>
            </w:r>
          </w:p>
        </w:tc>
        <w:tc>
          <w:tcPr>
            <w:tcW w:w="9378" w:type="dxa"/>
          </w:tcPr>
          <w:p w:rsidR="0092763B" w:rsidRPr="006932D8" w:rsidRDefault="0091026A" w:rsidP="00C7474A">
            <w:pPr>
              <w:contextualSpacing w:val="0"/>
            </w:pPr>
            <w:r>
              <w:t>None, to the extent that the petition was borderline frivolous</w:t>
            </w:r>
          </w:p>
        </w:tc>
      </w:tr>
      <w:tr w:rsidR="0092763B">
        <w:tc>
          <w:tcPr>
            <w:tcW w:w="3798" w:type="dxa"/>
          </w:tcPr>
          <w:p w:rsidR="0092763B" w:rsidRDefault="00313B15">
            <w:pPr>
              <w:contextualSpacing w:val="0"/>
            </w:pPr>
            <w:r>
              <w:rPr>
                <w:sz w:val="24"/>
                <w:szCs w:val="24"/>
              </w:rPr>
              <w:t>Impact on ICANN accountability/operations:</w:t>
            </w:r>
            <w:r>
              <w:rPr>
                <w:sz w:val="24"/>
                <w:szCs w:val="24"/>
                <w:vertAlign w:val="superscript"/>
              </w:rPr>
              <w:footnoteReference w:id="3"/>
            </w:r>
          </w:p>
        </w:tc>
        <w:tc>
          <w:tcPr>
            <w:tcW w:w="9378" w:type="dxa"/>
          </w:tcPr>
          <w:p w:rsidR="0092763B" w:rsidRDefault="0091026A" w:rsidP="0076736D">
            <w:pPr>
              <w:contextualSpacing w:val="0"/>
            </w:pPr>
            <w:r>
              <w:t>None</w:t>
            </w:r>
          </w:p>
        </w:tc>
      </w:tr>
      <w:tr w:rsidR="0092763B">
        <w:tc>
          <w:tcPr>
            <w:tcW w:w="3798" w:type="dxa"/>
          </w:tcPr>
          <w:p w:rsidR="0092763B" w:rsidRDefault="00313B15">
            <w:pPr>
              <w:contextualSpacing w:val="0"/>
            </w:pPr>
            <w:r>
              <w:rPr>
                <w:sz w:val="24"/>
                <w:szCs w:val="24"/>
              </w:rPr>
              <w:t>Impact if case were decided for the other party?</w:t>
            </w:r>
          </w:p>
        </w:tc>
        <w:tc>
          <w:tcPr>
            <w:tcW w:w="9378" w:type="dxa"/>
          </w:tcPr>
          <w:p w:rsidR="0092763B" w:rsidRDefault="0083101B" w:rsidP="00D82608">
            <w:pPr>
              <w:contextualSpacing w:val="0"/>
            </w:pPr>
            <w:r>
              <w:t>It is hard to imagine it would ever have been</w:t>
            </w:r>
            <w:r w:rsidR="00D82608">
              <w:t>, as there are many legal hoops one must go through before managing to make ICANN liable for contributory trademark infringement</w:t>
            </w:r>
            <w:r w:rsidR="00A917CE">
              <w:t xml:space="preserve"> in domain name matters</w:t>
            </w:r>
            <w:r w:rsidR="00D82608">
              <w:t>, including clear statutory provisions</w:t>
            </w:r>
            <w:r w:rsidR="00A917CE">
              <w:t xml:space="preserve"> in </w:t>
            </w:r>
            <w:proofErr w:type="spellStart"/>
            <w:r w:rsidR="00A917CE">
              <w:t>favour</w:t>
            </w:r>
            <w:proofErr w:type="spellEnd"/>
            <w:r w:rsidR="00A917CE">
              <w:t xml:space="preserve"> of ICANN</w:t>
            </w:r>
            <w:r w:rsidR="00D82608">
              <w:t xml:space="preserve"> (including the “Safe </w:t>
            </w:r>
            <w:proofErr w:type="spellStart"/>
            <w:r w:rsidR="00D82608">
              <w:t>Harbour</w:t>
            </w:r>
            <w:proofErr w:type="spellEnd"/>
            <w:r w:rsidR="00D82608">
              <w:t xml:space="preserve">” of the Lanham Act) </w:t>
            </w:r>
          </w:p>
        </w:tc>
      </w:tr>
      <w:tr w:rsidR="0092763B">
        <w:tc>
          <w:tcPr>
            <w:tcW w:w="3798" w:type="dxa"/>
          </w:tcPr>
          <w:p w:rsidR="0092763B" w:rsidRDefault="00313B15">
            <w:pPr>
              <w:contextualSpacing w:val="0"/>
            </w:pPr>
            <w:r>
              <w:rPr>
                <w:sz w:val="24"/>
                <w:szCs w:val="24"/>
              </w:rPr>
              <w:t xml:space="preserve">Did the Court  comment on the merit, lack of merit and/or frivolity of the plaintiff’s claim? </w:t>
            </w:r>
          </w:p>
        </w:tc>
        <w:tc>
          <w:tcPr>
            <w:tcW w:w="9378" w:type="dxa"/>
          </w:tcPr>
          <w:p w:rsidR="0092763B" w:rsidRDefault="0091026A">
            <w:pPr>
              <w:contextualSpacing w:val="0"/>
            </w:pPr>
            <w:r>
              <w:t>Yes (see above)</w:t>
            </w:r>
          </w:p>
        </w:tc>
      </w:tr>
      <w:tr w:rsidR="0092763B">
        <w:tc>
          <w:tcPr>
            <w:tcW w:w="3798" w:type="dxa"/>
          </w:tcPr>
          <w:p w:rsidR="0092763B" w:rsidRDefault="00313B15">
            <w:pPr>
              <w:contextualSpacing w:val="0"/>
            </w:pPr>
            <w:r>
              <w:rPr>
                <w:sz w:val="24"/>
                <w:szCs w:val="24"/>
              </w:rPr>
              <w:t>Key Documents:</w:t>
            </w:r>
          </w:p>
        </w:tc>
        <w:tc>
          <w:tcPr>
            <w:tcW w:w="9378" w:type="dxa"/>
          </w:tcPr>
          <w:p w:rsidR="00142E20" w:rsidRDefault="00B86A79" w:rsidP="00200C8E">
            <w:pPr>
              <w:contextualSpacing w:val="0"/>
            </w:pPr>
            <w:r>
              <w:t xml:space="preserve">District Court decision, 24 March 2013 </w:t>
            </w:r>
            <w:r w:rsidR="00200C8E">
              <w:t>(</w:t>
            </w:r>
            <w:r w:rsidR="00200C8E" w:rsidRPr="00200C8E">
              <w:t>C</w:t>
            </w:r>
            <w:r w:rsidR="00200C8E">
              <w:t>ase</w:t>
            </w:r>
            <w:r w:rsidR="00200C8E" w:rsidRPr="00200C8E">
              <w:t xml:space="preserve"> N</w:t>
            </w:r>
            <w:r w:rsidR="00200C8E">
              <w:t>o</w:t>
            </w:r>
            <w:r w:rsidR="00200C8E" w:rsidRPr="00200C8E">
              <w:t>. 1:12-cv-852 (GBL-JFA)</w:t>
            </w:r>
            <w:r w:rsidR="00200C8E">
              <w:t>, not on ICANN’s website but available online)</w:t>
            </w:r>
          </w:p>
        </w:tc>
      </w:tr>
    </w:tbl>
    <w:p w:rsidR="0092763B" w:rsidRDefault="0092763B"/>
    <w:sectPr w:rsidR="0092763B">
      <w:pgSz w:w="15840" w:h="122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428" w:rsidRDefault="00251428">
      <w:pPr>
        <w:spacing w:after="0" w:line="240" w:lineRule="auto"/>
      </w:pPr>
      <w:r>
        <w:separator/>
      </w:r>
    </w:p>
  </w:endnote>
  <w:endnote w:type="continuationSeparator" w:id="0">
    <w:p w:rsidR="00251428" w:rsidRDefault="00251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428" w:rsidRDefault="00251428">
      <w:pPr>
        <w:spacing w:after="0" w:line="240" w:lineRule="auto"/>
      </w:pPr>
      <w:r>
        <w:separator/>
      </w:r>
    </w:p>
  </w:footnote>
  <w:footnote w:type="continuationSeparator" w:id="0">
    <w:p w:rsidR="00251428" w:rsidRDefault="00251428">
      <w:pPr>
        <w:spacing w:after="0" w:line="240" w:lineRule="auto"/>
      </w:pPr>
      <w:r>
        <w:continuationSeparator/>
      </w:r>
    </w:p>
  </w:footnote>
  <w:footnote w:id="1">
    <w:p w:rsidR="0092763B" w:rsidRDefault="00313B15">
      <w:pPr>
        <w:spacing w:after="0" w:line="240" w:lineRule="auto"/>
      </w:pPr>
      <w:r>
        <w:rPr>
          <w:vertAlign w:val="superscript"/>
        </w:rPr>
        <w:footnoteRef/>
      </w:r>
      <w:r>
        <w:rPr>
          <w:sz w:val="20"/>
          <w:szCs w:val="20"/>
        </w:rPr>
        <w:t xml:space="preserve"> </w:t>
      </w:r>
      <w:r>
        <w:t xml:space="preserve">Indicate whether each party is Plaintiff (P) or Defendant (D), or other status.  Please also list non-party participants, such as  Amicus Curiae (AC). </w:t>
      </w:r>
    </w:p>
  </w:footnote>
  <w:footnote w:id="2">
    <w:p w:rsidR="0092763B" w:rsidRDefault="00313B15">
      <w:pPr>
        <w:spacing w:after="0" w:line="240" w:lineRule="auto"/>
      </w:pPr>
      <w:r>
        <w:rPr>
          <w:vertAlign w:val="superscript"/>
        </w:rPr>
        <w:footnoteRef/>
      </w:r>
      <w:r>
        <w:t xml:space="preserve"> For example, challenge to venue, challenge to change of venue, challenge to governing law, challenge to application of “choice of law” provision.  Please describe the outcome as well as the challenge.</w:t>
      </w:r>
    </w:p>
  </w:footnote>
  <w:footnote w:id="3">
    <w:p w:rsidR="0092763B" w:rsidRDefault="00313B15">
      <w:pPr>
        <w:spacing w:after="0" w:line="240" w:lineRule="auto"/>
      </w:pPr>
      <w:r>
        <w:rPr>
          <w:vertAlign w:val="superscript"/>
        </w:rPr>
        <w:footnoteRef/>
      </w:r>
      <w:r>
        <w:rPr>
          <w:sz w:val="20"/>
          <w:szCs w:val="20"/>
        </w:rPr>
        <w:t xml:space="preserve"> </w:t>
      </w:r>
      <w:r>
        <w:t>Indicate whether the case had or will have an effect on ICANN’s accountability mechanisms or the operation of ICANN’s policies..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2763B"/>
    <w:rsid w:val="00080D70"/>
    <w:rsid w:val="000E1985"/>
    <w:rsid w:val="000E3A31"/>
    <w:rsid w:val="00124EB2"/>
    <w:rsid w:val="00142E20"/>
    <w:rsid w:val="001951B1"/>
    <w:rsid w:val="001E0DD4"/>
    <w:rsid w:val="00200C8E"/>
    <w:rsid w:val="00251428"/>
    <w:rsid w:val="002A3CC9"/>
    <w:rsid w:val="00313B15"/>
    <w:rsid w:val="00391537"/>
    <w:rsid w:val="00420391"/>
    <w:rsid w:val="00434710"/>
    <w:rsid w:val="005A20FC"/>
    <w:rsid w:val="005D76AF"/>
    <w:rsid w:val="005F5355"/>
    <w:rsid w:val="006441BB"/>
    <w:rsid w:val="006932D8"/>
    <w:rsid w:val="007522D6"/>
    <w:rsid w:val="0076736D"/>
    <w:rsid w:val="0083101B"/>
    <w:rsid w:val="0091026A"/>
    <w:rsid w:val="0092763B"/>
    <w:rsid w:val="00A917CE"/>
    <w:rsid w:val="00B86A79"/>
    <w:rsid w:val="00BC4E82"/>
    <w:rsid w:val="00BF0691"/>
    <w:rsid w:val="00C7474A"/>
    <w:rsid w:val="00D82608"/>
    <w:rsid w:val="00E366A8"/>
    <w:rsid w:val="00EC6C13"/>
    <w:rsid w:val="00ED5BA6"/>
    <w:rsid w:val="00F073AE"/>
    <w:rsid w:val="00F3705E"/>
    <w:rsid w:val="00F521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Greg Shatan</cp:lastModifiedBy>
  <cp:revision>16</cp:revision>
  <cp:lastPrinted>2017-05-30T07:37:00Z</cp:lastPrinted>
  <dcterms:created xsi:type="dcterms:W3CDTF">2017-02-21T04:38:00Z</dcterms:created>
  <dcterms:modified xsi:type="dcterms:W3CDTF">2017-05-30T07:37:00Z</dcterms:modified>
</cp:coreProperties>
</file>