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88" w:type="dxa"/>
        <w:tblLook w:val="04A0" w:firstRow="1" w:lastRow="0" w:firstColumn="1" w:lastColumn="0" w:noHBand="0" w:noVBand="1"/>
      </w:tblPr>
      <w:tblGrid>
        <w:gridCol w:w="498"/>
        <w:gridCol w:w="4470"/>
        <w:gridCol w:w="3240"/>
        <w:gridCol w:w="1980"/>
        <w:gridCol w:w="3600"/>
      </w:tblGrid>
      <w:tr w:rsidR="00C44BE0" w:rsidRPr="002778D7" w:rsidTr="002778D7">
        <w:tc>
          <w:tcPr>
            <w:tcW w:w="13788" w:type="dxa"/>
            <w:gridSpan w:val="5"/>
            <w:shd w:val="clear" w:color="auto" w:fill="FABF8F" w:themeFill="accent6" w:themeFillTint="99"/>
          </w:tcPr>
          <w:p w:rsidR="00C44BE0" w:rsidRPr="002778D7" w:rsidRDefault="00C44BE0" w:rsidP="004A2F9E">
            <w:pPr>
              <w:jc w:val="center"/>
              <w:rPr>
                <w:rFonts w:cstheme="minorHAnsi"/>
                <w:b/>
                <w:sz w:val="20"/>
                <w:szCs w:val="20"/>
              </w:rPr>
            </w:pPr>
            <w:r w:rsidRPr="002778D7">
              <w:rPr>
                <w:rFonts w:cstheme="minorHAnsi"/>
                <w:b/>
                <w:sz w:val="20"/>
                <w:szCs w:val="20"/>
              </w:rPr>
              <w:t>Jurisdiction Subgroup Questionnaire Response Summary and Analysis</w:t>
            </w:r>
          </w:p>
        </w:tc>
      </w:tr>
      <w:tr w:rsidR="003F04E6" w:rsidRPr="002778D7" w:rsidTr="00BE44F4">
        <w:trPr>
          <w:cantSplit/>
          <w:trHeight w:val="1134"/>
        </w:trPr>
        <w:tc>
          <w:tcPr>
            <w:tcW w:w="498" w:type="dxa"/>
            <w:vMerge w:val="restart"/>
            <w:shd w:val="clear" w:color="auto" w:fill="FABF8F" w:themeFill="accent6" w:themeFillTint="99"/>
            <w:textDirection w:val="btLr"/>
          </w:tcPr>
          <w:p w:rsidR="003F04E6" w:rsidRPr="002778D7" w:rsidRDefault="003F04E6" w:rsidP="003F04E6">
            <w:pPr>
              <w:ind w:left="113" w:right="113"/>
              <w:jc w:val="center"/>
              <w:rPr>
                <w:rFonts w:cstheme="minorHAnsi"/>
                <w:b/>
                <w:sz w:val="20"/>
                <w:szCs w:val="20"/>
              </w:rPr>
            </w:pPr>
            <w:r w:rsidRPr="002778D7">
              <w:rPr>
                <w:rFonts w:cstheme="minorHAnsi"/>
                <w:b/>
                <w:sz w:val="20"/>
                <w:szCs w:val="20"/>
              </w:rPr>
              <w:t>Administrative  Questions</w:t>
            </w:r>
          </w:p>
        </w:tc>
        <w:tc>
          <w:tcPr>
            <w:tcW w:w="7710" w:type="dxa"/>
            <w:gridSpan w:val="2"/>
            <w:shd w:val="clear" w:color="auto" w:fill="FDE9D9" w:themeFill="accent6" w:themeFillTint="33"/>
          </w:tcPr>
          <w:p w:rsidR="003F04E6" w:rsidRPr="002778D7" w:rsidRDefault="003F04E6" w:rsidP="00840475">
            <w:pPr>
              <w:rPr>
                <w:rFonts w:cstheme="minorHAnsi"/>
                <w:b/>
                <w:sz w:val="20"/>
                <w:szCs w:val="20"/>
              </w:rPr>
            </w:pPr>
            <w:r w:rsidRPr="002778D7">
              <w:rPr>
                <w:rFonts w:cstheme="minorHAnsi"/>
                <w:b/>
                <w:sz w:val="20"/>
                <w:szCs w:val="20"/>
              </w:rPr>
              <w:t>Name and Affiliation of Respondent</w:t>
            </w:r>
          </w:p>
        </w:tc>
        <w:tc>
          <w:tcPr>
            <w:tcW w:w="5580" w:type="dxa"/>
            <w:gridSpan w:val="2"/>
          </w:tcPr>
          <w:p w:rsidR="003F04E6" w:rsidRPr="002778D7" w:rsidRDefault="002778D7">
            <w:pPr>
              <w:rPr>
                <w:rFonts w:cstheme="minorHAnsi"/>
                <w:sz w:val="20"/>
                <w:szCs w:val="20"/>
              </w:rPr>
            </w:pPr>
            <w:r w:rsidRPr="002778D7">
              <w:rPr>
                <w:rFonts w:cstheme="minorHAnsi"/>
                <w:sz w:val="20"/>
                <w:szCs w:val="20"/>
                <w:lang w:val="es-ES"/>
              </w:rPr>
              <w:t>Just Net Coalition</w:t>
            </w:r>
          </w:p>
        </w:tc>
      </w:tr>
      <w:tr w:rsidR="003F04E6" w:rsidRPr="002778D7" w:rsidTr="00BE44F4">
        <w:tc>
          <w:tcPr>
            <w:tcW w:w="498" w:type="dxa"/>
            <w:vMerge/>
            <w:shd w:val="clear" w:color="auto" w:fill="FABF8F" w:themeFill="accent6" w:themeFillTint="99"/>
          </w:tcPr>
          <w:p w:rsidR="003F04E6" w:rsidRPr="002778D7" w:rsidRDefault="003F04E6" w:rsidP="00840475">
            <w:pPr>
              <w:rPr>
                <w:rFonts w:cstheme="minorHAnsi"/>
                <w:b/>
                <w:sz w:val="20"/>
                <w:szCs w:val="20"/>
              </w:rPr>
            </w:pPr>
          </w:p>
        </w:tc>
        <w:tc>
          <w:tcPr>
            <w:tcW w:w="7710" w:type="dxa"/>
            <w:gridSpan w:val="2"/>
            <w:shd w:val="clear" w:color="auto" w:fill="FDE9D9" w:themeFill="accent6" w:themeFillTint="33"/>
          </w:tcPr>
          <w:p w:rsidR="003F04E6" w:rsidRPr="002778D7" w:rsidRDefault="003F04E6" w:rsidP="00840475">
            <w:pPr>
              <w:rPr>
                <w:rFonts w:cstheme="minorHAnsi"/>
                <w:b/>
                <w:sz w:val="20"/>
                <w:szCs w:val="20"/>
              </w:rPr>
            </w:pPr>
            <w:r w:rsidRPr="002778D7">
              <w:rPr>
                <w:rFonts w:cstheme="minorHAnsi"/>
                <w:b/>
                <w:sz w:val="20"/>
                <w:szCs w:val="20"/>
              </w:rPr>
              <w:t>Name of Reviewer, Date:</w:t>
            </w:r>
          </w:p>
        </w:tc>
        <w:tc>
          <w:tcPr>
            <w:tcW w:w="1980" w:type="dxa"/>
          </w:tcPr>
          <w:p w:rsidR="003F04E6" w:rsidRPr="002778D7" w:rsidRDefault="003F04E6">
            <w:pPr>
              <w:rPr>
                <w:rFonts w:cstheme="minorHAnsi"/>
                <w:sz w:val="20"/>
                <w:szCs w:val="20"/>
              </w:rPr>
            </w:pPr>
            <w:r w:rsidRPr="002778D7">
              <w:rPr>
                <w:rFonts w:cstheme="minorHAnsi"/>
                <w:sz w:val="20"/>
                <w:szCs w:val="20"/>
              </w:rPr>
              <w:t>Greg Shatan</w:t>
            </w:r>
          </w:p>
        </w:tc>
        <w:tc>
          <w:tcPr>
            <w:tcW w:w="3600" w:type="dxa"/>
          </w:tcPr>
          <w:p w:rsidR="003F04E6" w:rsidRPr="002778D7" w:rsidRDefault="003F04E6" w:rsidP="002778D7">
            <w:pPr>
              <w:rPr>
                <w:rFonts w:cstheme="minorHAnsi"/>
                <w:sz w:val="20"/>
                <w:szCs w:val="20"/>
              </w:rPr>
            </w:pPr>
            <w:r w:rsidRPr="002778D7">
              <w:rPr>
                <w:rFonts w:cstheme="minorHAnsi"/>
                <w:sz w:val="20"/>
                <w:szCs w:val="20"/>
              </w:rPr>
              <w:t>May 2</w:t>
            </w:r>
            <w:r w:rsidR="002778D7" w:rsidRPr="002778D7">
              <w:rPr>
                <w:rFonts w:cstheme="minorHAnsi"/>
                <w:sz w:val="20"/>
                <w:szCs w:val="20"/>
              </w:rPr>
              <w:t>9</w:t>
            </w:r>
            <w:r w:rsidRPr="002778D7">
              <w:rPr>
                <w:rFonts w:cstheme="minorHAnsi"/>
                <w:sz w:val="20"/>
                <w:szCs w:val="20"/>
              </w:rPr>
              <w:t>, 2017</w:t>
            </w:r>
          </w:p>
        </w:tc>
      </w:tr>
      <w:tr w:rsidR="003F04E6" w:rsidRPr="002778D7" w:rsidTr="00BE44F4">
        <w:tc>
          <w:tcPr>
            <w:tcW w:w="498" w:type="dxa"/>
            <w:vMerge/>
            <w:shd w:val="clear" w:color="auto" w:fill="FABF8F" w:themeFill="accent6" w:themeFillTint="99"/>
          </w:tcPr>
          <w:p w:rsidR="003F04E6" w:rsidRPr="002778D7" w:rsidRDefault="003F04E6" w:rsidP="00840475">
            <w:pPr>
              <w:rPr>
                <w:rFonts w:cstheme="minorHAnsi"/>
                <w:b/>
                <w:sz w:val="20"/>
                <w:szCs w:val="20"/>
              </w:rPr>
            </w:pPr>
          </w:p>
        </w:tc>
        <w:tc>
          <w:tcPr>
            <w:tcW w:w="7710" w:type="dxa"/>
            <w:gridSpan w:val="2"/>
            <w:shd w:val="clear" w:color="auto" w:fill="FDE9D9" w:themeFill="accent6" w:themeFillTint="33"/>
          </w:tcPr>
          <w:p w:rsidR="003F04E6" w:rsidRPr="002778D7" w:rsidRDefault="003F04E6" w:rsidP="00840475">
            <w:pPr>
              <w:rPr>
                <w:rFonts w:cstheme="minorHAnsi"/>
                <w:b/>
                <w:sz w:val="20"/>
                <w:szCs w:val="20"/>
              </w:rPr>
            </w:pPr>
            <w:r w:rsidRPr="002778D7">
              <w:rPr>
                <w:rFonts w:cstheme="minorHAnsi"/>
                <w:b/>
                <w:sz w:val="20"/>
                <w:szCs w:val="20"/>
              </w:rPr>
              <w:t>Link to Response:</w:t>
            </w:r>
          </w:p>
        </w:tc>
        <w:tc>
          <w:tcPr>
            <w:tcW w:w="5580" w:type="dxa"/>
            <w:gridSpan w:val="2"/>
          </w:tcPr>
          <w:p w:rsidR="003F04E6" w:rsidRPr="002778D7" w:rsidRDefault="003F04E6" w:rsidP="0097114D">
            <w:pPr>
              <w:rPr>
                <w:rFonts w:eastAsia="Times New Roman" w:cstheme="minorHAnsi"/>
                <w:color w:val="333333"/>
                <w:sz w:val="20"/>
                <w:szCs w:val="20"/>
              </w:rPr>
            </w:pPr>
          </w:p>
        </w:tc>
      </w:tr>
      <w:tr w:rsidR="001351D4" w:rsidRPr="002778D7" w:rsidTr="00BE44F4">
        <w:tc>
          <w:tcPr>
            <w:tcW w:w="498" w:type="dxa"/>
            <w:shd w:val="clear" w:color="auto" w:fill="FABF8F" w:themeFill="accent6" w:themeFillTint="99"/>
            <w:textDirection w:val="btLr"/>
          </w:tcPr>
          <w:p w:rsidR="001351D4" w:rsidRPr="002778D7" w:rsidRDefault="001351D4" w:rsidP="00717E1B">
            <w:pPr>
              <w:ind w:left="113" w:right="113"/>
              <w:jc w:val="center"/>
              <w:rPr>
                <w:rFonts w:cstheme="minorHAnsi"/>
                <w:b/>
                <w:sz w:val="20"/>
                <w:szCs w:val="20"/>
              </w:rPr>
            </w:pPr>
          </w:p>
        </w:tc>
        <w:tc>
          <w:tcPr>
            <w:tcW w:w="7710" w:type="dxa"/>
            <w:gridSpan w:val="2"/>
            <w:shd w:val="clear" w:color="auto" w:fill="FDE9D9" w:themeFill="accent6" w:themeFillTint="33"/>
          </w:tcPr>
          <w:p w:rsidR="001351D4" w:rsidRPr="002778D7" w:rsidRDefault="001351D4" w:rsidP="00840475">
            <w:pPr>
              <w:rPr>
                <w:rFonts w:cstheme="minorHAnsi"/>
                <w:b/>
                <w:sz w:val="20"/>
                <w:szCs w:val="20"/>
              </w:rPr>
            </w:pPr>
          </w:p>
        </w:tc>
        <w:tc>
          <w:tcPr>
            <w:tcW w:w="1980" w:type="dxa"/>
            <w:shd w:val="clear" w:color="auto" w:fill="FDE9D9" w:themeFill="accent6" w:themeFillTint="33"/>
          </w:tcPr>
          <w:p w:rsidR="001351D4" w:rsidRPr="002778D7" w:rsidRDefault="001351D4" w:rsidP="0097114D">
            <w:pPr>
              <w:jc w:val="center"/>
              <w:rPr>
                <w:rFonts w:cstheme="minorHAnsi"/>
                <w:b/>
                <w:sz w:val="20"/>
                <w:szCs w:val="20"/>
              </w:rPr>
            </w:pPr>
            <w:r w:rsidRPr="002778D7">
              <w:rPr>
                <w:rFonts w:cstheme="minorHAnsi"/>
                <w:b/>
                <w:sz w:val="20"/>
                <w:szCs w:val="20"/>
              </w:rPr>
              <w:t>Summary</w:t>
            </w:r>
          </w:p>
        </w:tc>
        <w:tc>
          <w:tcPr>
            <w:tcW w:w="3600" w:type="dxa"/>
            <w:shd w:val="clear" w:color="auto" w:fill="FDE9D9" w:themeFill="accent6" w:themeFillTint="33"/>
          </w:tcPr>
          <w:p w:rsidR="001351D4" w:rsidRPr="002778D7" w:rsidRDefault="001351D4" w:rsidP="0097114D">
            <w:pPr>
              <w:jc w:val="center"/>
              <w:rPr>
                <w:rFonts w:cstheme="minorHAnsi"/>
                <w:b/>
                <w:sz w:val="20"/>
                <w:szCs w:val="20"/>
              </w:rPr>
            </w:pPr>
            <w:r w:rsidRPr="002778D7">
              <w:rPr>
                <w:rFonts w:cstheme="minorHAnsi"/>
                <w:b/>
                <w:sz w:val="20"/>
                <w:szCs w:val="20"/>
              </w:rPr>
              <w:t>Reviewer’s Discussion and Analysis of Response</w:t>
            </w:r>
          </w:p>
        </w:tc>
      </w:tr>
      <w:tr w:rsidR="00717E1B" w:rsidRPr="002778D7" w:rsidTr="00BE44F4">
        <w:tc>
          <w:tcPr>
            <w:tcW w:w="498" w:type="dxa"/>
            <w:vMerge w:val="restart"/>
            <w:shd w:val="clear" w:color="auto" w:fill="FABF8F" w:themeFill="accent6" w:themeFillTint="99"/>
            <w:textDirection w:val="btLr"/>
          </w:tcPr>
          <w:p w:rsidR="00717E1B" w:rsidRPr="002778D7" w:rsidRDefault="00717E1B" w:rsidP="00717E1B">
            <w:pPr>
              <w:ind w:left="113" w:right="113"/>
              <w:jc w:val="center"/>
              <w:rPr>
                <w:rFonts w:cstheme="minorHAnsi"/>
                <w:b/>
                <w:sz w:val="20"/>
                <w:szCs w:val="20"/>
              </w:rPr>
            </w:pPr>
            <w:r w:rsidRPr="002778D7">
              <w:rPr>
                <w:rFonts w:cstheme="minorHAnsi"/>
                <w:b/>
                <w:sz w:val="20"/>
                <w:szCs w:val="20"/>
              </w:rPr>
              <w:t>Question 1</w:t>
            </w:r>
          </w:p>
        </w:tc>
        <w:tc>
          <w:tcPr>
            <w:tcW w:w="7710" w:type="dxa"/>
            <w:gridSpan w:val="2"/>
            <w:shd w:val="clear" w:color="auto" w:fill="FDE9D9" w:themeFill="accent6" w:themeFillTint="33"/>
          </w:tcPr>
          <w:p w:rsidR="00717E1B" w:rsidRPr="002778D7" w:rsidRDefault="00717E1B" w:rsidP="00840475">
            <w:pPr>
              <w:rPr>
                <w:rFonts w:cstheme="minorHAnsi"/>
                <w:sz w:val="20"/>
                <w:szCs w:val="20"/>
              </w:rPr>
            </w:pPr>
            <w:r w:rsidRPr="002778D7">
              <w:rPr>
                <w:rFonts w:cstheme="minorHAnsi"/>
                <w:b/>
                <w:sz w:val="20"/>
                <w:szCs w:val="20"/>
              </w:rPr>
              <w:t>Summary of response to Q1</w:t>
            </w:r>
            <w:r w:rsidRPr="002778D7">
              <w:rPr>
                <w:rFonts w:cstheme="minorHAnsi"/>
                <w:sz w:val="20"/>
                <w:szCs w:val="20"/>
              </w:rPr>
              <w:t xml:space="preserve"> (“Has your business, your privacy or your ability to use or purchase domain name-related services been affected by ICANN's jurisdiction in any way?”)</w:t>
            </w:r>
          </w:p>
        </w:tc>
        <w:tc>
          <w:tcPr>
            <w:tcW w:w="1980" w:type="dxa"/>
          </w:tcPr>
          <w:p w:rsidR="00717E1B" w:rsidRPr="002778D7" w:rsidRDefault="002778D7" w:rsidP="000B3C12">
            <w:pPr>
              <w:rPr>
                <w:rFonts w:cstheme="minorHAnsi"/>
                <w:sz w:val="20"/>
                <w:szCs w:val="20"/>
              </w:rPr>
            </w:pPr>
            <w:r w:rsidRPr="002778D7">
              <w:rPr>
                <w:rFonts w:cstheme="minorHAnsi"/>
                <w:sz w:val="20"/>
                <w:szCs w:val="20"/>
              </w:rPr>
              <w:t>No response.</w:t>
            </w:r>
          </w:p>
        </w:tc>
        <w:tc>
          <w:tcPr>
            <w:tcW w:w="3600" w:type="dxa"/>
          </w:tcPr>
          <w:p w:rsidR="00717E1B" w:rsidRPr="002778D7" w:rsidRDefault="00717E1B" w:rsidP="0016344E">
            <w:pPr>
              <w:rPr>
                <w:rFonts w:cstheme="minorHAnsi"/>
                <w:sz w:val="20"/>
                <w:szCs w:val="20"/>
              </w:rPr>
            </w:pPr>
          </w:p>
        </w:tc>
      </w:tr>
      <w:tr w:rsidR="00717E1B" w:rsidRPr="002778D7" w:rsidTr="00BE44F4">
        <w:tc>
          <w:tcPr>
            <w:tcW w:w="498" w:type="dxa"/>
            <w:vMerge/>
            <w:shd w:val="clear" w:color="auto" w:fill="FABF8F" w:themeFill="accent6" w:themeFillTint="99"/>
          </w:tcPr>
          <w:p w:rsidR="00717E1B" w:rsidRPr="002778D7" w:rsidRDefault="00717E1B" w:rsidP="006F3145">
            <w:pPr>
              <w:rPr>
                <w:rFonts w:cstheme="minorHAnsi"/>
                <w:b/>
                <w:sz w:val="20"/>
                <w:szCs w:val="20"/>
              </w:rPr>
            </w:pPr>
          </w:p>
        </w:tc>
        <w:tc>
          <w:tcPr>
            <w:tcW w:w="7710" w:type="dxa"/>
            <w:gridSpan w:val="2"/>
            <w:shd w:val="clear" w:color="auto" w:fill="FDE9D9" w:themeFill="accent6" w:themeFillTint="33"/>
          </w:tcPr>
          <w:p w:rsidR="00717E1B" w:rsidRPr="002778D7" w:rsidRDefault="00717E1B" w:rsidP="006F3145">
            <w:pPr>
              <w:rPr>
                <w:rFonts w:cstheme="minorHAnsi"/>
                <w:sz w:val="20"/>
                <w:szCs w:val="20"/>
              </w:rPr>
            </w:pPr>
            <w:r w:rsidRPr="002778D7">
              <w:rPr>
                <w:rFonts w:cstheme="minorHAnsi"/>
                <w:b/>
                <w:sz w:val="20"/>
                <w:szCs w:val="20"/>
              </w:rPr>
              <w:t>For Q1, did respondent provide any specific cases, situations or incidents in which respondent was involved?</w:t>
            </w:r>
            <w:r w:rsidRPr="002778D7">
              <w:rPr>
                <w:rFonts w:cstheme="minorHAnsi"/>
                <w:sz w:val="20"/>
                <w:szCs w:val="20"/>
              </w:rPr>
              <w:t xml:space="preserve"> (If yes, include the date, parties involved, a summary of the event and links to any relevant documents provided by respondent.)</w:t>
            </w:r>
          </w:p>
        </w:tc>
        <w:tc>
          <w:tcPr>
            <w:tcW w:w="1980" w:type="dxa"/>
          </w:tcPr>
          <w:p w:rsidR="00717E1B" w:rsidRPr="002778D7" w:rsidRDefault="002778D7" w:rsidP="002A0C7E">
            <w:pPr>
              <w:rPr>
                <w:rFonts w:cstheme="minorHAnsi"/>
                <w:sz w:val="20"/>
                <w:szCs w:val="20"/>
              </w:rPr>
            </w:pPr>
            <w:r w:rsidRPr="002778D7">
              <w:rPr>
                <w:rFonts w:cstheme="minorHAnsi"/>
                <w:sz w:val="20"/>
                <w:szCs w:val="20"/>
              </w:rPr>
              <w:t>N/A</w:t>
            </w:r>
          </w:p>
        </w:tc>
        <w:tc>
          <w:tcPr>
            <w:tcW w:w="3600" w:type="dxa"/>
          </w:tcPr>
          <w:p w:rsidR="00717E1B" w:rsidRPr="002778D7" w:rsidRDefault="00717E1B">
            <w:pPr>
              <w:rPr>
                <w:rFonts w:cstheme="minorHAnsi"/>
                <w:sz w:val="20"/>
                <w:szCs w:val="20"/>
              </w:rPr>
            </w:pPr>
          </w:p>
        </w:tc>
      </w:tr>
      <w:tr w:rsidR="00717E1B" w:rsidRPr="002778D7" w:rsidTr="00BE44F4">
        <w:tc>
          <w:tcPr>
            <w:tcW w:w="498" w:type="dxa"/>
            <w:vMerge w:val="restart"/>
            <w:shd w:val="clear" w:color="auto" w:fill="FABF8F" w:themeFill="accent6" w:themeFillTint="99"/>
            <w:textDirection w:val="btLr"/>
          </w:tcPr>
          <w:p w:rsidR="00717E1B" w:rsidRPr="002778D7" w:rsidRDefault="00717E1B" w:rsidP="00C44BE0">
            <w:pPr>
              <w:ind w:left="113" w:right="113"/>
              <w:rPr>
                <w:rFonts w:cstheme="minorHAnsi"/>
                <w:b/>
                <w:sz w:val="20"/>
                <w:szCs w:val="20"/>
              </w:rPr>
            </w:pPr>
            <w:r w:rsidRPr="002778D7">
              <w:rPr>
                <w:rFonts w:cstheme="minorHAnsi"/>
                <w:b/>
                <w:sz w:val="20"/>
                <w:szCs w:val="20"/>
              </w:rPr>
              <w:t>Question 2</w:t>
            </w:r>
          </w:p>
        </w:tc>
        <w:tc>
          <w:tcPr>
            <w:tcW w:w="7710" w:type="dxa"/>
            <w:gridSpan w:val="2"/>
            <w:shd w:val="clear" w:color="auto" w:fill="FDE9D9" w:themeFill="accent6" w:themeFillTint="33"/>
          </w:tcPr>
          <w:p w:rsidR="00717E1B" w:rsidRPr="002778D7" w:rsidRDefault="00717E1B" w:rsidP="000B3C12">
            <w:pPr>
              <w:rPr>
                <w:rFonts w:cstheme="minorHAnsi"/>
                <w:sz w:val="20"/>
                <w:szCs w:val="20"/>
              </w:rPr>
            </w:pPr>
            <w:r w:rsidRPr="002778D7">
              <w:rPr>
                <w:rFonts w:cstheme="minorHAnsi"/>
                <w:b/>
                <w:sz w:val="20"/>
                <w:szCs w:val="20"/>
              </w:rPr>
              <w:t>Summary of response to Q2</w:t>
            </w:r>
            <w:r w:rsidRPr="002778D7">
              <w:rPr>
                <w:rFonts w:cstheme="minorHAnsi"/>
                <w:sz w:val="20"/>
                <w:szCs w:val="20"/>
              </w:rPr>
              <w:t xml:space="preserve"> (“Has ICANN's jurisdiction* affected any dispute resolution process or litigation related to domain names you have been involved in?”)</w:t>
            </w:r>
          </w:p>
        </w:tc>
        <w:tc>
          <w:tcPr>
            <w:tcW w:w="1980" w:type="dxa"/>
          </w:tcPr>
          <w:p w:rsidR="00717E1B" w:rsidRPr="002778D7" w:rsidRDefault="002778D7">
            <w:pPr>
              <w:rPr>
                <w:rFonts w:cstheme="minorHAnsi"/>
                <w:sz w:val="20"/>
                <w:szCs w:val="20"/>
              </w:rPr>
            </w:pPr>
            <w:r w:rsidRPr="002778D7">
              <w:rPr>
                <w:rFonts w:cstheme="minorHAnsi"/>
                <w:sz w:val="20"/>
                <w:szCs w:val="20"/>
              </w:rPr>
              <w:t>No response.</w:t>
            </w:r>
          </w:p>
        </w:tc>
        <w:tc>
          <w:tcPr>
            <w:tcW w:w="3600" w:type="dxa"/>
          </w:tcPr>
          <w:p w:rsidR="00717E1B" w:rsidRPr="002778D7" w:rsidRDefault="00717E1B" w:rsidP="0016344E">
            <w:pPr>
              <w:rPr>
                <w:rFonts w:cstheme="minorHAnsi"/>
                <w:sz w:val="20"/>
                <w:szCs w:val="20"/>
              </w:rPr>
            </w:pPr>
          </w:p>
        </w:tc>
      </w:tr>
      <w:tr w:rsidR="00717E1B" w:rsidRPr="002778D7" w:rsidTr="00BE44F4">
        <w:tc>
          <w:tcPr>
            <w:tcW w:w="498" w:type="dxa"/>
            <w:vMerge/>
            <w:shd w:val="clear" w:color="auto" w:fill="FABF8F" w:themeFill="accent6" w:themeFillTint="99"/>
          </w:tcPr>
          <w:p w:rsidR="00717E1B" w:rsidRPr="002778D7" w:rsidRDefault="00717E1B" w:rsidP="006F3145">
            <w:pPr>
              <w:rPr>
                <w:rFonts w:cstheme="minorHAnsi"/>
                <w:b/>
                <w:sz w:val="20"/>
                <w:szCs w:val="20"/>
              </w:rPr>
            </w:pPr>
          </w:p>
        </w:tc>
        <w:tc>
          <w:tcPr>
            <w:tcW w:w="7710" w:type="dxa"/>
            <w:gridSpan w:val="2"/>
            <w:shd w:val="clear" w:color="auto" w:fill="FDE9D9" w:themeFill="accent6" w:themeFillTint="33"/>
          </w:tcPr>
          <w:p w:rsidR="00717E1B" w:rsidRPr="002778D7" w:rsidRDefault="00717E1B" w:rsidP="006F3145">
            <w:pPr>
              <w:rPr>
                <w:rFonts w:cstheme="minorHAnsi"/>
                <w:sz w:val="20"/>
                <w:szCs w:val="20"/>
              </w:rPr>
            </w:pPr>
            <w:r w:rsidRPr="002778D7">
              <w:rPr>
                <w:rFonts w:cstheme="minorHAnsi"/>
                <w:b/>
                <w:sz w:val="20"/>
                <w:szCs w:val="20"/>
              </w:rPr>
              <w:t>For Q2, did respondent provide any specific cases, situations or incidents in which respondent was involved?</w:t>
            </w:r>
            <w:r w:rsidRPr="002778D7">
              <w:rPr>
                <w:rFonts w:cstheme="minorHAnsi"/>
                <w:sz w:val="20"/>
                <w:szCs w:val="20"/>
              </w:rPr>
              <w:t xml:space="preserve"> (If yes, include the date, parties involved, a summary of the event and links to any relevant documents provided by respondent.)</w:t>
            </w:r>
          </w:p>
        </w:tc>
        <w:tc>
          <w:tcPr>
            <w:tcW w:w="1980" w:type="dxa"/>
          </w:tcPr>
          <w:p w:rsidR="00717E1B" w:rsidRPr="002778D7" w:rsidRDefault="002778D7">
            <w:pPr>
              <w:rPr>
                <w:rFonts w:cstheme="minorHAnsi"/>
                <w:sz w:val="20"/>
                <w:szCs w:val="20"/>
              </w:rPr>
            </w:pPr>
            <w:r w:rsidRPr="002778D7">
              <w:rPr>
                <w:rFonts w:cstheme="minorHAnsi"/>
                <w:sz w:val="20"/>
                <w:szCs w:val="20"/>
              </w:rPr>
              <w:t>N/A</w:t>
            </w:r>
          </w:p>
        </w:tc>
        <w:tc>
          <w:tcPr>
            <w:tcW w:w="3600" w:type="dxa"/>
          </w:tcPr>
          <w:p w:rsidR="00717E1B" w:rsidRPr="002778D7" w:rsidRDefault="00717E1B">
            <w:pPr>
              <w:rPr>
                <w:rFonts w:cstheme="minorHAnsi"/>
                <w:sz w:val="20"/>
                <w:szCs w:val="20"/>
              </w:rPr>
            </w:pPr>
          </w:p>
        </w:tc>
      </w:tr>
      <w:tr w:rsidR="00717E1B" w:rsidRPr="002778D7" w:rsidTr="00BE44F4">
        <w:tc>
          <w:tcPr>
            <w:tcW w:w="498" w:type="dxa"/>
            <w:vMerge w:val="restart"/>
            <w:shd w:val="clear" w:color="auto" w:fill="FABF8F" w:themeFill="accent6" w:themeFillTint="99"/>
            <w:textDirection w:val="btLr"/>
            <w:tcFitText/>
          </w:tcPr>
          <w:p w:rsidR="00717E1B" w:rsidRPr="002778D7" w:rsidRDefault="00717E1B" w:rsidP="00717E1B">
            <w:pPr>
              <w:ind w:left="113" w:right="113"/>
              <w:jc w:val="center"/>
              <w:rPr>
                <w:rFonts w:cstheme="minorHAnsi"/>
                <w:b/>
                <w:sz w:val="20"/>
                <w:szCs w:val="20"/>
              </w:rPr>
            </w:pPr>
            <w:r w:rsidRPr="002778D7">
              <w:rPr>
                <w:rFonts w:cstheme="minorHAnsi"/>
                <w:b/>
                <w:sz w:val="20"/>
                <w:szCs w:val="20"/>
              </w:rPr>
              <w:t>Question 3</w:t>
            </w:r>
          </w:p>
        </w:tc>
        <w:tc>
          <w:tcPr>
            <w:tcW w:w="7710" w:type="dxa"/>
            <w:gridSpan w:val="2"/>
            <w:shd w:val="clear" w:color="auto" w:fill="FDE9D9" w:themeFill="accent6" w:themeFillTint="33"/>
          </w:tcPr>
          <w:p w:rsidR="00717E1B" w:rsidRPr="002778D7" w:rsidRDefault="00717E1B" w:rsidP="00F14DAE">
            <w:pPr>
              <w:rPr>
                <w:rFonts w:cstheme="minorHAnsi"/>
                <w:sz w:val="20"/>
                <w:szCs w:val="20"/>
              </w:rPr>
            </w:pPr>
            <w:r w:rsidRPr="002778D7">
              <w:rPr>
                <w:rFonts w:cstheme="minorHAnsi"/>
                <w:b/>
                <w:sz w:val="20"/>
                <w:szCs w:val="20"/>
              </w:rPr>
              <w:t>Summary of response to Q3</w:t>
            </w:r>
            <w:r w:rsidRPr="002778D7">
              <w:rPr>
                <w:rFonts w:cstheme="minorHAnsi"/>
                <w:sz w:val="20"/>
                <w:szCs w:val="20"/>
              </w:rPr>
              <w:t xml:space="preserve"> (“Do you have copies of and/or links to any verifiable reports of experiences of other parties that would be responsive to the questions above?”)</w:t>
            </w:r>
          </w:p>
        </w:tc>
        <w:tc>
          <w:tcPr>
            <w:tcW w:w="1980" w:type="dxa"/>
          </w:tcPr>
          <w:p w:rsidR="00717E1B" w:rsidRPr="002778D7" w:rsidRDefault="002778D7" w:rsidP="00840475">
            <w:pPr>
              <w:rPr>
                <w:rFonts w:cstheme="minorHAnsi"/>
                <w:sz w:val="20"/>
                <w:szCs w:val="20"/>
              </w:rPr>
            </w:pPr>
            <w:r w:rsidRPr="002778D7">
              <w:rPr>
                <w:rFonts w:cstheme="minorHAnsi"/>
                <w:sz w:val="20"/>
                <w:szCs w:val="20"/>
              </w:rPr>
              <w:t>No response.</w:t>
            </w:r>
          </w:p>
        </w:tc>
        <w:tc>
          <w:tcPr>
            <w:tcW w:w="3600" w:type="dxa"/>
          </w:tcPr>
          <w:p w:rsidR="00717E1B" w:rsidRPr="002778D7" w:rsidRDefault="00717E1B" w:rsidP="004656A3">
            <w:pPr>
              <w:rPr>
                <w:rFonts w:cstheme="minorHAnsi"/>
                <w:sz w:val="20"/>
                <w:szCs w:val="20"/>
              </w:rPr>
            </w:pPr>
          </w:p>
        </w:tc>
      </w:tr>
      <w:tr w:rsidR="00717E1B" w:rsidRPr="002778D7" w:rsidTr="00BE44F4">
        <w:tc>
          <w:tcPr>
            <w:tcW w:w="498" w:type="dxa"/>
            <w:vMerge/>
            <w:shd w:val="clear" w:color="auto" w:fill="FABF8F" w:themeFill="accent6" w:themeFillTint="99"/>
          </w:tcPr>
          <w:p w:rsidR="00717E1B" w:rsidRPr="002778D7" w:rsidRDefault="00717E1B" w:rsidP="006F3145">
            <w:pPr>
              <w:rPr>
                <w:rFonts w:cstheme="minorHAnsi"/>
                <w:b/>
                <w:sz w:val="20"/>
                <w:szCs w:val="20"/>
              </w:rPr>
            </w:pPr>
          </w:p>
        </w:tc>
        <w:tc>
          <w:tcPr>
            <w:tcW w:w="7710" w:type="dxa"/>
            <w:gridSpan w:val="2"/>
            <w:shd w:val="clear" w:color="auto" w:fill="FDE9D9" w:themeFill="accent6" w:themeFillTint="33"/>
          </w:tcPr>
          <w:p w:rsidR="00717E1B" w:rsidRPr="002778D7" w:rsidRDefault="00717E1B" w:rsidP="006F3145">
            <w:pPr>
              <w:rPr>
                <w:rFonts w:cstheme="minorHAnsi"/>
                <w:b/>
                <w:sz w:val="20"/>
                <w:szCs w:val="20"/>
              </w:rPr>
            </w:pPr>
            <w:r w:rsidRPr="002778D7">
              <w:rPr>
                <w:rFonts w:cstheme="minorHAnsi"/>
                <w:b/>
                <w:sz w:val="20"/>
                <w:szCs w:val="20"/>
              </w:rPr>
              <w:t>For Q3, did respondent provide copies or links to reports of third party experiences?</w:t>
            </w:r>
          </w:p>
        </w:tc>
        <w:tc>
          <w:tcPr>
            <w:tcW w:w="1980" w:type="dxa"/>
          </w:tcPr>
          <w:p w:rsidR="00717E1B" w:rsidRPr="002778D7" w:rsidRDefault="002778D7">
            <w:pPr>
              <w:rPr>
                <w:rFonts w:cstheme="minorHAnsi"/>
                <w:sz w:val="20"/>
                <w:szCs w:val="20"/>
              </w:rPr>
            </w:pPr>
            <w:r w:rsidRPr="002778D7">
              <w:rPr>
                <w:rFonts w:cstheme="minorHAnsi"/>
                <w:sz w:val="20"/>
                <w:szCs w:val="20"/>
              </w:rPr>
              <w:t>N/A</w:t>
            </w:r>
          </w:p>
        </w:tc>
        <w:tc>
          <w:tcPr>
            <w:tcW w:w="3600" w:type="dxa"/>
          </w:tcPr>
          <w:p w:rsidR="00717E1B" w:rsidRPr="002778D7" w:rsidRDefault="003E76B9">
            <w:pPr>
              <w:rPr>
                <w:rFonts w:cstheme="minorHAnsi"/>
                <w:sz w:val="20"/>
                <w:szCs w:val="20"/>
              </w:rPr>
            </w:pPr>
            <w:r w:rsidRPr="002778D7">
              <w:rPr>
                <w:rFonts w:cstheme="minorHAnsi"/>
                <w:sz w:val="20"/>
                <w:szCs w:val="20"/>
              </w:rPr>
              <w:t>N/A</w:t>
            </w:r>
          </w:p>
        </w:tc>
      </w:tr>
      <w:tr w:rsidR="005D4609" w:rsidRPr="002778D7" w:rsidTr="003C575B">
        <w:tc>
          <w:tcPr>
            <w:tcW w:w="498" w:type="dxa"/>
            <w:shd w:val="clear" w:color="auto" w:fill="FABF8F" w:themeFill="accent6" w:themeFillTint="99"/>
            <w:textDirection w:val="btLr"/>
          </w:tcPr>
          <w:p w:rsidR="005D4609" w:rsidRPr="002778D7" w:rsidRDefault="005D4609" w:rsidP="00717E1B">
            <w:pPr>
              <w:ind w:left="113" w:right="113"/>
              <w:jc w:val="center"/>
              <w:rPr>
                <w:rFonts w:cstheme="minorHAnsi"/>
                <w:b/>
                <w:sz w:val="20"/>
                <w:szCs w:val="20"/>
              </w:rPr>
            </w:pPr>
          </w:p>
        </w:tc>
        <w:tc>
          <w:tcPr>
            <w:tcW w:w="13290" w:type="dxa"/>
            <w:gridSpan w:val="4"/>
            <w:shd w:val="clear" w:color="auto" w:fill="FDE9D9" w:themeFill="accent6" w:themeFillTint="33"/>
          </w:tcPr>
          <w:p w:rsidR="005D4609" w:rsidRDefault="005D4609" w:rsidP="002778D7">
            <w:pPr>
              <w:spacing w:after="120"/>
              <w:rPr>
                <w:rFonts w:cstheme="minorHAnsi"/>
                <w:sz w:val="20"/>
                <w:szCs w:val="20"/>
              </w:rPr>
            </w:pPr>
            <w:r w:rsidRPr="005D4609">
              <w:rPr>
                <w:rFonts w:cstheme="minorHAnsi"/>
                <w:b/>
                <w:sz w:val="20"/>
                <w:szCs w:val="20"/>
              </w:rPr>
              <w:t>Summary of response to Q4a (“Are you aware of any material, documented instance(s) where ICANN has been unable to pursue its Mission because of its jurisdiction?”)</w:t>
            </w:r>
          </w:p>
        </w:tc>
      </w:tr>
      <w:tr w:rsidR="005D4609" w:rsidRPr="002778D7" w:rsidTr="005D4609">
        <w:tc>
          <w:tcPr>
            <w:tcW w:w="498" w:type="dxa"/>
            <w:vMerge w:val="restart"/>
            <w:shd w:val="clear" w:color="auto" w:fill="FABF8F" w:themeFill="accent6" w:themeFillTint="99"/>
            <w:textDirection w:val="btLr"/>
          </w:tcPr>
          <w:p w:rsidR="005D4609" w:rsidRPr="002778D7" w:rsidRDefault="005D4609" w:rsidP="00717E1B">
            <w:pPr>
              <w:ind w:left="113" w:right="113"/>
              <w:jc w:val="center"/>
              <w:rPr>
                <w:rFonts w:cstheme="minorHAnsi"/>
                <w:b/>
                <w:sz w:val="20"/>
                <w:szCs w:val="20"/>
              </w:rPr>
            </w:pPr>
            <w:r w:rsidRPr="002778D7">
              <w:rPr>
                <w:rFonts w:cstheme="minorHAnsi"/>
                <w:b/>
                <w:sz w:val="20"/>
                <w:szCs w:val="20"/>
              </w:rPr>
              <w:t>Question  4</w:t>
            </w:r>
          </w:p>
        </w:tc>
        <w:tc>
          <w:tcPr>
            <w:tcW w:w="9690" w:type="dxa"/>
            <w:gridSpan w:val="3"/>
          </w:tcPr>
          <w:p w:rsidR="005D4609" w:rsidRPr="002778D7" w:rsidRDefault="005D4609" w:rsidP="002778D7">
            <w:pPr>
              <w:spacing w:after="120"/>
              <w:rPr>
                <w:rFonts w:cstheme="minorHAnsi"/>
                <w:sz w:val="20"/>
                <w:szCs w:val="20"/>
              </w:rPr>
            </w:pPr>
            <w:r>
              <w:rPr>
                <w:rFonts w:cstheme="minorHAnsi"/>
                <w:sz w:val="20"/>
                <w:szCs w:val="20"/>
              </w:rPr>
              <w:t xml:space="preserve">1. </w:t>
            </w:r>
            <w:r w:rsidRPr="002778D7">
              <w:rPr>
                <w:rFonts w:cstheme="minorHAnsi"/>
                <w:sz w:val="20"/>
                <w:szCs w:val="20"/>
              </w:rPr>
              <w:t xml:space="preserve">Application of </w:t>
            </w:r>
            <w:r>
              <w:rPr>
                <w:rFonts w:cstheme="minorHAnsi"/>
                <w:sz w:val="20"/>
                <w:szCs w:val="20"/>
              </w:rPr>
              <w:t xml:space="preserve">the </w:t>
            </w:r>
            <w:r w:rsidRPr="002778D7">
              <w:rPr>
                <w:rFonts w:cstheme="minorHAnsi"/>
                <w:sz w:val="20"/>
                <w:szCs w:val="20"/>
              </w:rPr>
              <w:t>jurisdiction</w:t>
            </w:r>
            <w:r>
              <w:rPr>
                <w:rFonts w:cstheme="minorHAnsi"/>
                <w:sz w:val="20"/>
                <w:szCs w:val="20"/>
              </w:rPr>
              <w:t xml:space="preserve"> of the US </w:t>
            </w:r>
            <w:r w:rsidRPr="002778D7">
              <w:rPr>
                <w:rFonts w:cstheme="minorHAnsi"/>
                <w:sz w:val="20"/>
                <w:szCs w:val="20"/>
              </w:rPr>
              <w:t xml:space="preserve">(or any </w:t>
            </w:r>
            <w:r>
              <w:rPr>
                <w:rFonts w:cstheme="minorHAnsi"/>
                <w:sz w:val="20"/>
                <w:szCs w:val="20"/>
              </w:rPr>
              <w:t>country’s</w:t>
            </w:r>
            <w:r w:rsidRPr="002778D7">
              <w:rPr>
                <w:rFonts w:cstheme="minorHAnsi"/>
                <w:sz w:val="20"/>
                <w:szCs w:val="20"/>
              </w:rPr>
              <w:t xml:space="preserve"> jurisdiction) over ICANN results in a prioritization of </w:t>
            </w:r>
            <w:r>
              <w:rPr>
                <w:rFonts w:cstheme="minorHAnsi"/>
                <w:sz w:val="20"/>
                <w:szCs w:val="20"/>
              </w:rPr>
              <w:t>the (or that country’s)</w:t>
            </w:r>
            <w:r w:rsidRPr="002778D7">
              <w:rPr>
                <w:rFonts w:cstheme="minorHAnsi"/>
                <w:sz w:val="20"/>
                <w:szCs w:val="20"/>
              </w:rPr>
              <w:t xml:space="preserve"> law and public interest over those of other countries</w:t>
            </w:r>
            <w:r>
              <w:rPr>
                <w:rFonts w:cstheme="minorHAnsi"/>
                <w:sz w:val="20"/>
                <w:szCs w:val="20"/>
              </w:rPr>
              <w:t>, which</w:t>
            </w:r>
            <w:r w:rsidRPr="002778D7">
              <w:rPr>
                <w:rFonts w:cstheme="minorHAnsi"/>
                <w:sz w:val="20"/>
                <w:szCs w:val="20"/>
              </w:rPr>
              <w:t xml:space="preserve"> interferes with the ability of ICANN to pursue its mission “for the benefit of the Internet community as a whole</w:t>
            </w:r>
            <w:r>
              <w:rPr>
                <w:rFonts w:cstheme="minorHAnsi"/>
                <w:sz w:val="20"/>
                <w:szCs w:val="20"/>
              </w:rPr>
              <w:t>.</w:t>
            </w:r>
            <w:r w:rsidRPr="002778D7">
              <w:rPr>
                <w:rFonts w:cstheme="minorHAnsi"/>
                <w:sz w:val="20"/>
                <w:szCs w:val="20"/>
              </w:rPr>
              <w:t>”</w:t>
            </w:r>
          </w:p>
          <w:p w:rsidR="005D4609" w:rsidRPr="002778D7" w:rsidRDefault="005D4609" w:rsidP="002778D7">
            <w:pPr>
              <w:spacing w:after="120"/>
              <w:rPr>
                <w:rFonts w:cstheme="minorHAnsi"/>
                <w:sz w:val="20"/>
                <w:szCs w:val="20"/>
              </w:rPr>
            </w:pPr>
            <w:r>
              <w:rPr>
                <w:rFonts w:cstheme="minorHAnsi"/>
                <w:sz w:val="20"/>
                <w:szCs w:val="20"/>
              </w:rPr>
              <w:t xml:space="preserve">2. The </w:t>
            </w:r>
            <w:r w:rsidRPr="002778D7">
              <w:rPr>
                <w:rFonts w:cstheme="minorHAnsi"/>
                <w:sz w:val="20"/>
                <w:szCs w:val="20"/>
              </w:rPr>
              <w:t xml:space="preserve">US </w:t>
            </w:r>
            <w:r>
              <w:rPr>
                <w:rFonts w:cstheme="minorHAnsi"/>
                <w:sz w:val="20"/>
                <w:szCs w:val="20"/>
              </w:rPr>
              <w:t>has</w:t>
            </w:r>
            <w:r w:rsidRPr="002778D7">
              <w:rPr>
                <w:rFonts w:cstheme="minorHAnsi"/>
                <w:sz w:val="20"/>
                <w:szCs w:val="20"/>
              </w:rPr>
              <w:t xml:space="preserve"> a </w:t>
            </w:r>
            <w:r>
              <w:rPr>
                <w:rFonts w:cstheme="minorHAnsi"/>
                <w:sz w:val="20"/>
                <w:szCs w:val="20"/>
              </w:rPr>
              <w:t>“</w:t>
            </w:r>
            <w:r w:rsidRPr="002778D7">
              <w:rPr>
                <w:rFonts w:cstheme="minorHAnsi"/>
                <w:sz w:val="20"/>
                <w:szCs w:val="20"/>
              </w:rPr>
              <w:t>high enforcement capacity</w:t>
            </w:r>
            <w:r>
              <w:rPr>
                <w:rFonts w:cstheme="minorHAnsi"/>
                <w:sz w:val="20"/>
                <w:szCs w:val="20"/>
              </w:rPr>
              <w:t>”</w:t>
            </w:r>
            <w:r w:rsidRPr="002778D7">
              <w:rPr>
                <w:rFonts w:cstheme="minorHAnsi"/>
                <w:sz w:val="20"/>
                <w:szCs w:val="20"/>
              </w:rPr>
              <w:t xml:space="preserve"> to ensure that </w:t>
            </w:r>
            <w:r>
              <w:rPr>
                <w:rFonts w:cstheme="minorHAnsi"/>
                <w:sz w:val="20"/>
                <w:szCs w:val="20"/>
              </w:rPr>
              <w:t xml:space="preserve">US laws </w:t>
            </w:r>
            <w:r w:rsidRPr="002778D7">
              <w:rPr>
                <w:rFonts w:cstheme="minorHAnsi"/>
                <w:sz w:val="20"/>
                <w:szCs w:val="20"/>
              </w:rPr>
              <w:t>and executive, legislative and judicial powers, which apply to people and organi</w:t>
            </w:r>
            <w:r>
              <w:rPr>
                <w:rFonts w:cstheme="minorHAnsi"/>
                <w:sz w:val="20"/>
                <w:szCs w:val="20"/>
              </w:rPr>
              <w:t>z</w:t>
            </w:r>
            <w:r w:rsidRPr="002778D7">
              <w:rPr>
                <w:rFonts w:cstheme="minorHAnsi"/>
                <w:sz w:val="20"/>
                <w:szCs w:val="20"/>
              </w:rPr>
              <w:t>ations in the US</w:t>
            </w:r>
            <w:r>
              <w:rPr>
                <w:rFonts w:cstheme="minorHAnsi"/>
                <w:sz w:val="20"/>
                <w:szCs w:val="20"/>
              </w:rPr>
              <w:t>,</w:t>
            </w:r>
            <w:r w:rsidRPr="002778D7">
              <w:rPr>
                <w:rFonts w:cstheme="minorHAnsi"/>
                <w:sz w:val="20"/>
                <w:szCs w:val="20"/>
              </w:rPr>
              <w:t xml:space="preserve"> are </w:t>
            </w:r>
            <w:r>
              <w:rPr>
                <w:rFonts w:cstheme="minorHAnsi"/>
                <w:sz w:val="20"/>
                <w:szCs w:val="20"/>
              </w:rPr>
              <w:t>“</w:t>
            </w:r>
            <w:r w:rsidRPr="002778D7">
              <w:rPr>
                <w:rFonts w:cstheme="minorHAnsi"/>
                <w:sz w:val="20"/>
                <w:szCs w:val="20"/>
              </w:rPr>
              <w:t>normally respected</w:t>
            </w:r>
            <w:r>
              <w:rPr>
                <w:rFonts w:cstheme="minorHAnsi"/>
                <w:sz w:val="20"/>
                <w:szCs w:val="20"/>
              </w:rPr>
              <w:t>”</w:t>
            </w:r>
            <w:r w:rsidRPr="002778D7">
              <w:rPr>
                <w:rFonts w:cstheme="minorHAnsi"/>
                <w:sz w:val="20"/>
                <w:szCs w:val="20"/>
              </w:rPr>
              <w:t xml:space="preserve"> and that </w:t>
            </w:r>
            <w:r>
              <w:rPr>
                <w:rFonts w:cstheme="minorHAnsi"/>
                <w:sz w:val="20"/>
                <w:szCs w:val="20"/>
              </w:rPr>
              <w:t>“</w:t>
            </w:r>
            <w:r w:rsidRPr="002778D7">
              <w:rPr>
                <w:rFonts w:cstheme="minorHAnsi"/>
                <w:sz w:val="20"/>
                <w:szCs w:val="20"/>
              </w:rPr>
              <w:t>all the sub</w:t>
            </w:r>
            <w:r>
              <w:rPr>
                <w:rFonts w:cstheme="minorHAnsi"/>
                <w:sz w:val="20"/>
                <w:szCs w:val="20"/>
              </w:rPr>
              <w:t>ject actors” act</w:t>
            </w:r>
            <w:r w:rsidRPr="002778D7">
              <w:rPr>
                <w:rFonts w:cstheme="minorHAnsi"/>
                <w:sz w:val="20"/>
                <w:szCs w:val="20"/>
              </w:rPr>
              <w:t xml:space="preserve"> in accordance with </w:t>
            </w:r>
            <w:r>
              <w:rPr>
                <w:rFonts w:cstheme="minorHAnsi"/>
                <w:sz w:val="20"/>
                <w:szCs w:val="20"/>
              </w:rPr>
              <w:t>those laws and powers.</w:t>
            </w:r>
            <w:r w:rsidRPr="002778D7">
              <w:rPr>
                <w:rFonts w:cstheme="minorHAnsi"/>
                <w:sz w:val="20"/>
                <w:szCs w:val="20"/>
              </w:rPr>
              <w:t xml:space="preserve"> </w:t>
            </w:r>
          </w:p>
          <w:p w:rsidR="005D4609" w:rsidRDefault="005D4609" w:rsidP="002778D7">
            <w:pPr>
              <w:spacing w:after="120"/>
              <w:rPr>
                <w:rFonts w:cstheme="minorHAnsi"/>
                <w:sz w:val="20"/>
                <w:szCs w:val="20"/>
              </w:rPr>
            </w:pPr>
            <w:r>
              <w:rPr>
                <w:rFonts w:cstheme="minorHAnsi"/>
                <w:sz w:val="20"/>
                <w:szCs w:val="20"/>
              </w:rPr>
              <w:t xml:space="preserve">3. </w:t>
            </w:r>
            <w:r w:rsidRPr="002778D7">
              <w:rPr>
                <w:rFonts w:cstheme="minorHAnsi"/>
                <w:sz w:val="20"/>
                <w:szCs w:val="20"/>
              </w:rPr>
              <w:t xml:space="preserve">JNC asserts that “Many in the ICANN community promote the illusion that ICANN's main reliance is on contractual law, where the venue and choice of law are indicated in the contract itself. And that this voluntary choice of venue and law by the contracting parties is the main or even the exclusive jurisdictional concern for ICANN's policy processes.” </w:t>
            </w:r>
          </w:p>
          <w:p w:rsidR="005D4609" w:rsidRPr="002778D7" w:rsidRDefault="005D4609" w:rsidP="00DF45CC">
            <w:pPr>
              <w:spacing w:after="120"/>
              <w:rPr>
                <w:rFonts w:cstheme="minorHAnsi"/>
                <w:sz w:val="20"/>
                <w:szCs w:val="20"/>
              </w:rPr>
            </w:pPr>
            <w:r>
              <w:rPr>
                <w:rFonts w:cstheme="minorHAnsi"/>
                <w:sz w:val="20"/>
                <w:szCs w:val="20"/>
              </w:rPr>
              <w:t xml:space="preserve">4. </w:t>
            </w:r>
            <w:r w:rsidRPr="002778D7">
              <w:rPr>
                <w:rFonts w:cstheme="minorHAnsi"/>
                <w:sz w:val="20"/>
                <w:szCs w:val="20"/>
              </w:rPr>
              <w:t xml:space="preserve">JNC claims that </w:t>
            </w:r>
            <w:r>
              <w:rPr>
                <w:rFonts w:cstheme="minorHAnsi"/>
                <w:sz w:val="20"/>
                <w:szCs w:val="20"/>
              </w:rPr>
              <w:t>that the “</w:t>
            </w:r>
            <w:r w:rsidRPr="002778D7">
              <w:rPr>
                <w:rFonts w:cstheme="minorHAnsi"/>
                <w:sz w:val="20"/>
                <w:szCs w:val="20"/>
              </w:rPr>
              <w:t>public law of the country of incorporation and location supersedes any contractual law,” relying on a case that holds “where a non-U.S. law violates the forum state’s public policy, that law will not be applied.” (The case states that “the forum state will not apply the law of another state to enforce a contract if to do so would violate the public policy of the forum state.”).</w:t>
            </w:r>
            <w:r>
              <w:rPr>
                <w:rFonts w:cstheme="minorHAnsi"/>
                <w:sz w:val="20"/>
                <w:szCs w:val="20"/>
              </w:rPr>
              <w:t xml:space="preserve">  Based on this, JNC claims</w:t>
            </w:r>
            <w:r w:rsidRPr="002778D7">
              <w:rPr>
                <w:rFonts w:cstheme="minorHAnsi"/>
                <w:sz w:val="20"/>
                <w:szCs w:val="20"/>
              </w:rPr>
              <w:t xml:space="preserve"> that “US public policies supersede any non-US law that may be invoked by an ICANN contract,” and that in turn US </w:t>
            </w:r>
            <w:r>
              <w:rPr>
                <w:rFonts w:cstheme="minorHAnsi"/>
                <w:sz w:val="20"/>
                <w:szCs w:val="20"/>
              </w:rPr>
              <w:t>“</w:t>
            </w:r>
            <w:r w:rsidRPr="002778D7">
              <w:rPr>
                <w:rFonts w:cstheme="minorHAnsi"/>
                <w:sz w:val="20"/>
                <w:szCs w:val="20"/>
              </w:rPr>
              <w:t>public policies</w:t>
            </w:r>
            <w:r>
              <w:rPr>
                <w:rFonts w:cstheme="minorHAnsi"/>
                <w:sz w:val="20"/>
                <w:szCs w:val="20"/>
              </w:rPr>
              <w:t>”</w:t>
            </w:r>
            <w:r w:rsidRPr="002778D7">
              <w:rPr>
                <w:rFonts w:cstheme="minorHAnsi"/>
                <w:sz w:val="20"/>
                <w:szCs w:val="20"/>
              </w:rPr>
              <w:t xml:space="preserve"> “also supersede ICANN's own policies.”  JNC offers the conclusion that “this legal position should settle the matter of supremacy of </w:t>
            </w:r>
            <w:r w:rsidRPr="002778D7">
              <w:rPr>
                <w:rFonts w:cstheme="minorHAnsi"/>
                <w:sz w:val="20"/>
                <w:szCs w:val="20"/>
              </w:rPr>
              <w:lastRenderedPageBreak/>
              <w:t>US policies and laws over ICANN actions, including its policy processes.”</w:t>
            </w:r>
          </w:p>
          <w:p w:rsidR="005D4609" w:rsidRDefault="005D4609" w:rsidP="002778D7">
            <w:pPr>
              <w:spacing w:after="120"/>
              <w:rPr>
                <w:rFonts w:cstheme="minorHAnsi"/>
                <w:sz w:val="20"/>
                <w:szCs w:val="20"/>
              </w:rPr>
            </w:pPr>
            <w:r>
              <w:rPr>
                <w:rFonts w:cstheme="minorHAnsi"/>
                <w:sz w:val="20"/>
                <w:szCs w:val="20"/>
              </w:rPr>
              <w:t>5. JNC identifies a category of cases “</w:t>
            </w:r>
            <w:r w:rsidRPr="00A87645">
              <w:rPr>
                <w:rFonts w:cstheme="minorHAnsi"/>
                <w:sz w:val="20"/>
                <w:szCs w:val="20"/>
              </w:rPr>
              <w:t>where US courts have already exercised jurisdiction, by taking cognisance of a suit, giving interim/ final orders etc</w:t>
            </w:r>
            <w:r>
              <w:rPr>
                <w:rFonts w:cstheme="minorHAnsi"/>
                <w:sz w:val="20"/>
                <w:szCs w:val="20"/>
              </w:rPr>
              <w:t>.”</w:t>
            </w:r>
          </w:p>
          <w:p w:rsidR="005D4609" w:rsidRDefault="005D4609" w:rsidP="002778D7">
            <w:pPr>
              <w:spacing w:after="120"/>
              <w:rPr>
                <w:rFonts w:cstheme="minorHAnsi"/>
                <w:sz w:val="20"/>
                <w:szCs w:val="20"/>
              </w:rPr>
            </w:pPr>
            <w:r>
              <w:rPr>
                <w:rFonts w:cstheme="minorHAnsi"/>
                <w:sz w:val="20"/>
                <w:szCs w:val="20"/>
              </w:rPr>
              <w:t xml:space="preserve">6. </w:t>
            </w:r>
            <w:r w:rsidRPr="00897D9D">
              <w:rPr>
                <w:rFonts w:cstheme="minorHAnsi"/>
                <w:sz w:val="20"/>
                <w:szCs w:val="20"/>
              </w:rPr>
              <w:t xml:space="preserve">JNC found it significant that </w:t>
            </w:r>
            <w:r>
              <w:rPr>
                <w:rFonts w:cstheme="minorHAnsi"/>
                <w:sz w:val="20"/>
                <w:szCs w:val="20"/>
              </w:rPr>
              <w:t xml:space="preserve">in the cases it reviewed, </w:t>
            </w:r>
            <w:r w:rsidRPr="00897D9D">
              <w:rPr>
                <w:rFonts w:cstheme="minorHAnsi"/>
                <w:sz w:val="20"/>
                <w:szCs w:val="20"/>
              </w:rPr>
              <w:t>ICANN never “contested the application</w:t>
            </w:r>
            <w:r>
              <w:rPr>
                <w:rFonts w:cstheme="minorHAnsi"/>
                <w:sz w:val="20"/>
                <w:szCs w:val="20"/>
              </w:rPr>
              <w:t>”</w:t>
            </w:r>
            <w:r w:rsidRPr="00897D9D">
              <w:rPr>
                <w:rFonts w:cstheme="minorHAnsi"/>
                <w:sz w:val="20"/>
                <w:szCs w:val="20"/>
              </w:rPr>
              <w:t xml:space="preserve"> of California jurisdiction [presumably</w:t>
            </w:r>
            <w:r>
              <w:rPr>
                <w:rFonts w:cstheme="minorHAnsi"/>
                <w:sz w:val="20"/>
                <w:szCs w:val="20"/>
              </w:rPr>
              <w:t xml:space="preserve"> referring to</w:t>
            </w:r>
            <w:r w:rsidRPr="00897D9D">
              <w:rPr>
                <w:rFonts w:cstheme="minorHAnsi"/>
                <w:sz w:val="20"/>
                <w:szCs w:val="20"/>
              </w:rPr>
              <w:t xml:space="preserve"> venue], and California and US</w:t>
            </w:r>
            <w:r>
              <w:rPr>
                <w:rFonts w:cstheme="minorHAnsi"/>
                <w:sz w:val="20"/>
                <w:szCs w:val="20"/>
              </w:rPr>
              <w:t xml:space="preserve"> law</w:t>
            </w:r>
            <w:r w:rsidRPr="00897D9D">
              <w:rPr>
                <w:rFonts w:cstheme="minorHAnsi"/>
                <w:sz w:val="20"/>
                <w:szCs w:val="20"/>
              </w:rPr>
              <w:t xml:space="preserve">, over </w:t>
            </w:r>
            <w:r>
              <w:rPr>
                <w:rFonts w:cstheme="minorHAnsi"/>
                <w:sz w:val="20"/>
                <w:szCs w:val="20"/>
              </w:rPr>
              <w:t>“</w:t>
            </w:r>
            <w:r w:rsidRPr="00897D9D">
              <w:rPr>
                <w:rFonts w:cstheme="minorHAnsi"/>
                <w:sz w:val="20"/>
                <w:szCs w:val="20"/>
              </w:rPr>
              <w:t xml:space="preserve">ICANN's policy [this assumes ICANN’s “policy” was at issue] and related functions.” and that the courts never </w:t>
            </w:r>
            <w:r>
              <w:rPr>
                <w:rFonts w:cstheme="minorHAnsi"/>
                <w:sz w:val="20"/>
                <w:szCs w:val="20"/>
              </w:rPr>
              <w:t>spontaneously</w:t>
            </w:r>
            <w:r w:rsidRPr="00897D9D">
              <w:rPr>
                <w:rFonts w:cstheme="minorHAnsi"/>
                <w:sz w:val="20"/>
                <w:szCs w:val="20"/>
              </w:rPr>
              <w:t xml:space="preserve"> challenge</w:t>
            </w:r>
            <w:r>
              <w:rPr>
                <w:rFonts w:cstheme="minorHAnsi"/>
                <w:sz w:val="20"/>
                <w:szCs w:val="20"/>
              </w:rPr>
              <w:t xml:space="preserve"> this either.</w:t>
            </w:r>
            <w:r w:rsidRPr="00897D9D">
              <w:rPr>
                <w:rFonts w:cstheme="minorHAnsi"/>
                <w:sz w:val="20"/>
                <w:szCs w:val="20"/>
              </w:rPr>
              <w:t xml:space="preserve"> JNC </w:t>
            </w:r>
            <w:r>
              <w:rPr>
                <w:rFonts w:cstheme="minorHAnsi"/>
                <w:sz w:val="20"/>
                <w:szCs w:val="20"/>
              </w:rPr>
              <w:t>note</w:t>
            </w:r>
            <w:r w:rsidRPr="00897D9D">
              <w:rPr>
                <w:rFonts w:cstheme="minorHAnsi"/>
                <w:sz w:val="20"/>
                <w:szCs w:val="20"/>
              </w:rPr>
              <w:t xml:space="preserve">s that this is logical, since </w:t>
            </w:r>
            <w:r>
              <w:rPr>
                <w:rFonts w:cstheme="minorHAnsi"/>
                <w:sz w:val="20"/>
                <w:szCs w:val="20"/>
              </w:rPr>
              <w:t>ICANN is a California</w:t>
            </w:r>
            <w:r w:rsidRPr="00897D9D">
              <w:rPr>
                <w:rFonts w:cstheme="minorHAnsi"/>
                <w:sz w:val="20"/>
                <w:szCs w:val="20"/>
              </w:rPr>
              <w:t xml:space="preserve"> entity. </w:t>
            </w:r>
          </w:p>
          <w:p w:rsidR="005D4609" w:rsidRDefault="005D4609" w:rsidP="002778D7">
            <w:pPr>
              <w:spacing w:after="120"/>
              <w:rPr>
                <w:rFonts w:cstheme="minorHAnsi"/>
                <w:sz w:val="20"/>
                <w:szCs w:val="20"/>
              </w:rPr>
            </w:pPr>
            <w:r>
              <w:rPr>
                <w:rFonts w:cstheme="minorHAnsi"/>
                <w:sz w:val="20"/>
                <w:szCs w:val="20"/>
              </w:rPr>
              <w:t xml:space="preserve">7. </w:t>
            </w:r>
            <w:r w:rsidRPr="00897D9D">
              <w:rPr>
                <w:rFonts w:cstheme="minorHAnsi"/>
                <w:sz w:val="20"/>
                <w:szCs w:val="20"/>
              </w:rPr>
              <w:t xml:space="preserve">From this, JNC concludes that this “provides clear proof … that the entire range of public law of the US, and the jurisdiction of every relevant US court, fully apply to ICANN functions and actions,” that ICANN has to follow </w:t>
            </w:r>
            <w:r>
              <w:rPr>
                <w:rFonts w:cstheme="minorHAnsi"/>
                <w:sz w:val="20"/>
                <w:szCs w:val="20"/>
              </w:rPr>
              <w:t>US</w:t>
            </w:r>
            <w:r w:rsidRPr="00897D9D">
              <w:rPr>
                <w:rFonts w:cstheme="minorHAnsi"/>
                <w:sz w:val="20"/>
                <w:szCs w:val="20"/>
              </w:rPr>
              <w:t xml:space="preserve"> law, </w:t>
            </w:r>
            <w:r>
              <w:rPr>
                <w:rFonts w:cstheme="minorHAnsi"/>
                <w:sz w:val="20"/>
                <w:szCs w:val="20"/>
              </w:rPr>
              <w:t xml:space="preserve">and therefore </w:t>
            </w:r>
            <w:r w:rsidRPr="00897D9D">
              <w:rPr>
                <w:rFonts w:cstheme="minorHAnsi"/>
                <w:sz w:val="20"/>
                <w:szCs w:val="20"/>
              </w:rPr>
              <w:t xml:space="preserve">US law and courts </w:t>
            </w:r>
            <w:r>
              <w:rPr>
                <w:rFonts w:cstheme="minorHAnsi"/>
                <w:sz w:val="20"/>
                <w:szCs w:val="20"/>
              </w:rPr>
              <w:t>“</w:t>
            </w:r>
            <w:r w:rsidRPr="00897D9D">
              <w:rPr>
                <w:rFonts w:cstheme="minorHAnsi"/>
                <w:sz w:val="20"/>
                <w:szCs w:val="20"/>
              </w:rPr>
              <w:t>and generally, the US jurisdiction</w:t>
            </w:r>
            <w:r>
              <w:rPr>
                <w:rFonts w:cstheme="minorHAnsi"/>
                <w:sz w:val="20"/>
                <w:szCs w:val="20"/>
              </w:rPr>
              <w:t>”</w:t>
            </w:r>
            <w:r w:rsidRPr="00897D9D">
              <w:rPr>
                <w:rFonts w:cstheme="minorHAnsi"/>
                <w:sz w:val="20"/>
                <w:szCs w:val="20"/>
              </w:rPr>
              <w:t xml:space="preserve"> </w:t>
            </w:r>
            <w:r>
              <w:rPr>
                <w:rFonts w:cstheme="minorHAnsi"/>
                <w:sz w:val="20"/>
                <w:szCs w:val="20"/>
              </w:rPr>
              <w:t>limit</w:t>
            </w:r>
            <w:r w:rsidRPr="00897D9D">
              <w:rPr>
                <w:rFonts w:cstheme="minorHAnsi"/>
                <w:sz w:val="20"/>
                <w:szCs w:val="20"/>
              </w:rPr>
              <w:t xml:space="preserve"> ICANN</w:t>
            </w:r>
            <w:r>
              <w:rPr>
                <w:rFonts w:cstheme="minorHAnsi"/>
                <w:sz w:val="20"/>
                <w:szCs w:val="20"/>
              </w:rPr>
              <w:t>’s</w:t>
            </w:r>
            <w:r w:rsidRPr="00897D9D">
              <w:rPr>
                <w:rFonts w:cstheme="minorHAnsi"/>
                <w:sz w:val="20"/>
                <w:szCs w:val="20"/>
              </w:rPr>
              <w:t xml:space="preserve"> actions.  Therefore, ICANN “cannot undertake any action in pursuance of the mission that is contrary to US law.” JNC objects to this constraint, stating that “ICANN's mission, and the actions flowing from it, are supposed to be determined by global community processes, and not by US law and its interpretation by US courts.”</w:t>
            </w:r>
          </w:p>
          <w:p w:rsidR="005D4609" w:rsidRDefault="005D4609" w:rsidP="00E52BB8">
            <w:pPr>
              <w:spacing w:after="120"/>
              <w:rPr>
                <w:rFonts w:cstheme="minorHAnsi"/>
                <w:sz w:val="20"/>
                <w:szCs w:val="20"/>
              </w:rPr>
            </w:pPr>
            <w:r>
              <w:rPr>
                <w:rFonts w:cstheme="minorHAnsi"/>
                <w:sz w:val="20"/>
                <w:szCs w:val="20"/>
              </w:rPr>
              <w:t xml:space="preserve">8.  </w:t>
            </w:r>
            <w:r w:rsidRPr="00E52BB8">
              <w:rPr>
                <w:rFonts w:cstheme="minorHAnsi"/>
                <w:sz w:val="20"/>
                <w:szCs w:val="20"/>
              </w:rPr>
              <w:t>JNC notes what it calls a “contradiction, hidden in plain sight” – that ICANN's actions were found by US courts not to violate US law, because ICANN and its “battery of lawyers” ensure that ICANN complies with US law. [Notably, this is also required by ICANN’s Bylaws.]  What JNC calls the “pre-configuring of ICANN's actions to US law” is believed to be a problem, “as much a problem as any subsequent action of a US court forcing ICANN's hand.”</w:t>
            </w:r>
          </w:p>
          <w:p w:rsidR="005D4609" w:rsidRDefault="005D4609" w:rsidP="00335109">
            <w:pPr>
              <w:spacing w:after="120"/>
              <w:rPr>
                <w:rFonts w:cstheme="minorHAnsi"/>
                <w:sz w:val="20"/>
                <w:szCs w:val="20"/>
              </w:rPr>
            </w:pPr>
            <w:r>
              <w:rPr>
                <w:rFonts w:cstheme="minorHAnsi"/>
                <w:sz w:val="20"/>
                <w:szCs w:val="20"/>
              </w:rPr>
              <w:t>9. As an example, JNC cites to one decision in the .Africa case, where the court granted Plaintiff’s request for a temporary restraining order. JNC claims that “</w:t>
            </w:r>
            <w:r w:rsidRPr="00D730F6">
              <w:rPr>
                <w:rFonts w:cstheme="minorHAnsi"/>
                <w:sz w:val="20"/>
                <w:szCs w:val="20"/>
              </w:rPr>
              <w:t>This prevented ICANN from pursuing its mission because it prevented ICANN from making a decision by applying its documented policies and remaining accountable to the Internet community through its own mechanisms.</w:t>
            </w:r>
            <w:r>
              <w:rPr>
                <w:rFonts w:cstheme="minorHAnsi"/>
                <w:sz w:val="20"/>
                <w:szCs w:val="20"/>
              </w:rPr>
              <w:t>”</w:t>
            </w:r>
          </w:p>
          <w:p w:rsidR="005D4609" w:rsidRDefault="005D4609" w:rsidP="00335109">
            <w:pPr>
              <w:spacing w:after="120"/>
              <w:rPr>
                <w:rFonts w:cstheme="minorHAnsi"/>
                <w:sz w:val="20"/>
                <w:szCs w:val="20"/>
              </w:rPr>
            </w:pPr>
            <w:r>
              <w:rPr>
                <w:rFonts w:cstheme="minorHAnsi"/>
                <w:sz w:val="20"/>
                <w:szCs w:val="20"/>
              </w:rPr>
              <w:t xml:space="preserve">10. JNC also cites to the </w:t>
            </w:r>
            <w:r>
              <w:rPr>
                <w:rFonts w:cstheme="minorHAnsi"/>
                <w:sz w:val="20"/>
                <w:szCs w:val="20"/>
                <w:u w:val="single"/>
              </w:rPr>
              <w:t>Weinstein</w:t>
            </w:r>
            <w:r>
              <w:rPr>
                <w:rFonts w:cstheme="minorHAnsi"/>
                <w:sz w:val="20"/>
                <w:szCs w:val="20"/>
              </w:rPr>
              <w:t xml:space="preserve"> (.ir) and </w:t>
            </w:r>
            <w:r>
              <w:rPr>
                <w:rFonts w:cstheme="minorHAnsi"/>
                <w:sz w:val="20"/>
                <w:szCs w:val="20"/>
                <w:u w:val="single"/>
              </w:rPr>
              <w:t>C. Itoh</w:t>
            </w:r>
            <w:r w:rsidRPr="00215BF5">
              <w:rPr>
                <w:rFonts w:cstheme="minorHAnsi"/>
                <w:sz w:val="20"/>
                <w:szCs w:val="20"/>
              </w:rPr>
              <w:t xml:space="preserve"> </w:t>
            </w:r>
            <w:r>
              <w:rPr>
                <w:rFonts w:cstheme="minorHAnsi"/>
                <w:sz w:val="20"/>
                <w:szCs w:val="20"/>
              </w:rPr>
              <w:t xml:space="preserve">(.cg) cases, where plaintiffs sought to attach ccTLDs. [Attachment is </w:t>
            </w:r>
            <w:r w:rsidRPr="008E7021">
              <w:rPr>
                <w:rFonts w:cstheme="minorHAnsi"/>
                <w:sz w:val="20"/>
                <w:szCs w:val="20"/>
              </w:rPr>
              <w:t>a</w:t>
            </w:r>
            <w:r>
              <w:rPr>
                <w:rFonts w:cstheme="minorHAnsi"/>
                <w:sz w:val="20"/>
                <w:szCs w:val="20"/>
              </w:rPr>
              <w:t xml:space="preserve"> legal</w:t>
            </w:r>
            <w:r w:rsidRPr="008E7021">
              <w:rPr>
                <w:rFonts w:cstheme="minorHAnsi"/>
                <w:sz w:val="20"/>
                <w:szCs w:val="20"/>
              </w:rPr>
              <w:t> process by which a court of </w:t>
            </w:r>
            <w:r w:rsidRPr="008E7021">
              <w:rPr>
                <w:rFonts w:cstheme="minorHAnsi"/>
                <w:b/>
                <w:bCs/>
                <w:sz w:val="20"/>
                <w:szCs w:val="20"/>
              </w:rPr>
              <w:t>law</w:t>
            </w:r>
            <w:r w:rsidRPr="008E7021">
              <w:rPr>
                <w:rFonts w:cstheme="minorHAnsi"/>
                <w:sz w:val="20"/>
                <w:szCs w:val="20"/>
              </w:rPr>
              <w:t xml:space="preserve">, at the request of a creditor, designates specific property owned by </w:t>
            </w:r>
            <w:r>
              <w:rPr>
                <w:rFonts w:cstheme="minorHAnsi"/>
                <w:sz w:val="20"/>
                <w:szCs w:val="20"/>
              </w:rPr>
              <w:t>a</w:t>
            </w:r>
            <w:r w:rsidRPr="008E7021">
              <w:rPr>
                <w:rFonts w:cstheme="minorHAnsi"/>
                <w:sz w:val="20"/>
                <w:szCs w:val="20"/>
              </w:rPr>
              <w:t xml:space="preserve"> debtor to be transferred to the creditor, or sold for the benefit of the creditor.</w:t>
            </w:r>
            <w:r>
              <w:rPr>
                <w:rFonts w:cstheme="minorHAnsi"/>
                <w:sz w:val="20"/>
                <w:szCs w:val="20"/>
              </w:rPr>
              <w:t xml:space="preserve">] JNC states that this is equivalent to requesting redelegation.  </w:t>
            </w:r>
            <w:r w:rsidRPr="005C70B2">
              <w:rPr>
                <w:rFonts w:cstheme="minorHAnsi"/>
                <w:sz w:val="20"/>
                <w:szCs w:val="20"/>
              </w:rPr>
              <w:t>JNC finds it “significant” that the US courts “accepted their jurisdiction in the matter of ccTLDs of sovereign nations,” and believes that this “points to a clear possibility that … a US court might force ICANN to interfere with another country's ccTLD.”</w:t>
            </w:r>
          </w:p>
          <w:p w:rsidR="005D4609" w:rsidRDefault="005D4609" w:rsidP="00335109">
            <w:pPr>
              <w:spacing w:after="120"/>
              <w:rPr>
                <w:rFonts w:cstheme="minorHAnsi"/>
                <w:sz w:val="20"/>
                <w:szCs w:val="20"/>
              </w:rPr>
            </w:pPr>
            <w:r>
              <w:rPr>
                <w:rFonts w:cstheme="minorHAnsi"/>
                <w:sz w:val="20"/>
                <w:szCs w:val="20"/>
              </w:rPr>
              <w:t>11.  JNC also cites to two cases where the courts were called on to decide antitrust (competition) claims.  JNC described this as “</w:t>
            </w:r>
            <w:r w:rsidRPr="00215BF5">
              <w:rPr>
                <w:rFonts w:cstheme="minorHAnsi"/>
                <w:sz w:val="20"/>
                <w:szCs w:val="20"/>
              </w:rPr>
              <w:t>US courts tested ICANN's policy processes and their operationalisation against public laws of the US, in the area of economic regulation, especially as related to competition.</w:t>
            </w:r>
            <w:r>
              <w:rPr>
                <w:rFonts w:cstheme="minorHAnsi"/>
                <w:sz w:val="20"/>
                <w:szCs w:val="20"/>
              </w:rPr>
              <w:t xml:space="preserve">” JNC cites this as another example where </w:t>
            </w:r>
            <w:r w:rsidRPr="00215BF5">
              <w:rPr>
                <w:rFonts w:cstheme="minorHAnsi"/>
                <w:sz w:val="20"/>
                <w:szCs w:val="20"/>
              </w:rPr>
              <w:t xml:space="preserve">US courts </w:t>
            </w:r>
            <w:r>
              <w:rPr>
                <w:rFonts w:cstheme="minorHAnsi"/>
                <w:sz w:val="20"/>
                <w:szCs w:val="20"/>
              </w:rPr>
              <w:t xml:space="preserve">applied US law to </w:t>
            </w:r>
            <w:r w:rsidRPr="00215BF5">
              <w:rPr>
                <w:rFonts w:cstheme="minorHAnsi"/>
                <w:sz w:val="20"/>
                <w:szCs w:val="20"/>
              </w:rPr>
              <w:t xml:space="preserve">ICANN's actions, </w:t>
            </w:r>
            <w:r>
              <w:rPr>
                <w:rFonts w:cstheme="minorHAnsi"/>
                <w:sz w:val="20"/>
                <w:szCs w:val="20"/>
              </w:rPr>
              <w:t>“</w:t>
            </w:r>
            <w:r w:rsidRPr="00215BF5">
              <w:rPr>
                <w:rFonts w:cstheme="minorHAnsi"/>
                <w:sz w:val="20"/>
                <w:szCs w:val="20"/>
              </w:rPr>
              <w:t>which leaves the possibility very much open of interference in these areas.</w:t>
            </w:r>
            <w:r>
              <w:rPr>
                <w:rFonts w:cstheme="minorHAnsi"/>
                <w:sz w:val="20"/>
                <w:szCs w:val="20"/>
              </w:rPr>
              <w:t>”</w:t>
            </w:r>
            <w:r w:rsidRPr="00215BF5">
              <w:rPr>
                <w:rFonts w:cstheme="minorHAnsi"/>
                <w:sz w:val="20"/>
                <w:szCs w:val="20"/>
              </w:rPr>
              <w:t xml:space="preserve"> </w:t>
            </w:r>
            <w:r>
              <w:rPr>
                <w:rFonts w:cstheme="minorHAnsi"/>
                <w:sz w:val="20"/>
                <w:szCs w:val="20"/>
              </w:rPr>
              <w:t xml:space="preserve">Since ICANN prevailed in both cases, these are also cited as examples of ICANN abiding by </w:t>
            </w:r>
            <w:r w:rsidRPr="00215BF5">
              <w:rPr>
                <w:rFonts w:cstheme="minorHAnsi"/>
                <w:sz w:val="20"/>
                <w:szCs w:val="20"/>
              </w:rPr>
              <w:t xml:space="preserve">US law </w:t>
            </w:r>
            <w:r>
              <w:rPr>
                <w:rFonts w:cstheme="minorHAnsi"/>
                <w:sz w:val="20"/>
                <w:szCs w:val="20"/>
              </w:rPr>
              <w:t>“</w:t>
            </w:r>
            <w:r w:rsidRPr="00215BF5">
              <w:rPr>
                <w:rFonts w:cstheme="minorHAnsi"/>
                <w:sz w:val="20"/>
                <w:szCs w:val="20"/>
              </w:rPr>
              <w:t>in making its policies and their operationalisation, which violates its mandate of serving the global “Internet community as a whole”.</w:t>
            </w:r>
            <w:r>
              <w:rPr>
                <w:rFonts w:cstheme="minorHAnsi"/>
                <w:sz w:val="20"/>
                <w:szCs w:val="20"/>
              </w:rPr>
              <w:t>”</w:t>
            </w:r>
          </w:p>
          <w:p w:rsidR="005D4609" w:rsidRPr="00E65201" w:rsidRDefault="005D4609" w:rsidP="00E65201">
            <w:pPr>
              <w:spacing w:after="120"/>
              <w:rPr>
                <w:rFonts w:cstheme="minorHAnsi"/>
                <w:bCs/>
                <w:iCs/>
                <w:sz w:val="20"/>
                <w:szCs w:val="20"/>
              </w:rPr>
            </w:pPr>
            <w:r>
              <w:rPr>
                <w:rFonts w:cstheme="minorHAnsi"/>
                <w:sz w:val="20"/>
                <w:szCs w:val="20"/>
              </w:rPr>
              <w:t>12. JNC then identifies a category it calls “</w:t>
            </w:r>
            <w:r w:rsidRPr="00E65201">
              <w:rPr>
                <w:rFonts w:cstheme="minorHAnsi"/>
                <w:bCs/>
                <w:iCs/>
                <w:sz w:val="20"/>
                <w:szCs w:val="20"/>
              </w:rPr>
              <w:t>Cases where executive agencies of US impinge upon ICANN's actions</w:t>
            </w:r>
            <w:r>
              <w:rPr>
                <w:rFonts w:cstheme="minorHAnsi"/>
                <w:bCs/>
                <w:iCs/>
                <w:sz w:val="20"/>
                <w:szCs w:val="20"/>
              </w:rPr>
              <w:t>.</w:t>
            </w:r>
            <w:r w:rsidRPr="00E65201">
              <w:rPr>
                <w:rFonts w:cstheme="minorHAnsi"/>
                <w:bCs/>
                <w:iCs/>
                <w:sz w:val="20"/>
                <w:szCs w:val="20"/>
              </w:rPr>
              <w:t>”</w:t>
            </w:r>
            <w:r>
              <w:rPr>
                <w:rFonts w:cstheme="minorHAnsi"/>
                <w:bCs/>
                <w:iCs/>
                <w:sz w:val="20"/>
                <w:szCs w:val="20"/>
              </w:rPr>
              <w:t xml:space="preserve"> JNC notes that </w:t>
            </w:r>
            <w:r w:rsidRPr="00E65201">
              <w:rPr>
                <w:rFonts w:cstheme="minorHAnsi"/>
                <w:bCs/>
                <w:iCs/>
                <w:sz w:val="20"/>
                <w:szCs w:val="20"/>
              </w:rPr>
              <w:t xml:space="preserve">ICANN </w:t>
            </w:r>
            <w:r>
              <w:rPr>
                <w:rFonts w:cstheme="minorHAnsi"/>
                <w:bCs/>
                <w:iCs/>
                <w:sz w:val="20"/>
                <w:szCs w:val="20"/>
              </w:rPr>
              <w:t xml:space="preserve">must obtain OFAC </w:t>
            </w:r>
            <w:r w:rsidRPr="00E65201">
              <w:rPr>
                <w:rFonts w:cstheme="minorHAnsi"/>
                <w:bCs/>
                <w:iCs/>
                <w:sz w:val="20"/>
                <w:szCs w:val="20"/>
              </w:rPr>
              <w:t xml:space="preserve">clearance to </w:t>
            </w:r>
            <w:r>
              <w:rPr>
                <w:rFonts w:cstheme="minorHAnsi"/>
                <w:bCs/>
                <w:iCs/>
                <w:sz w:val="20"/>
                <w:szCs w:val="20"/>
              </w:rPr>
              <w:t>“</w:t>
            </w:r>
            <w:r w:rsidRPr="00E65201">
              <w:rPr>
                <w:rFonts w:cstheme="minorHAnsi"/>
                <w:bCs/>
                <w:iCs/>
                <w:sz w:val="20"/>
                <w:szCs w:val="20"/>
              </w:rPr>
              <w:t>interact</w:t>
            </w:r>
            <w:r>
              <w:rPr>
                <w:rFonts w:cstheme="minorHAnsi"/>
                <w:bCs/>
                <w:iCs/>
                <w:sz w:val="20"/>
                <w:szCs w:val="20"/>
              </w:rPr>
              <w:t xml:space="preserve">” with [actually, to exchange funds </w:t>
            </w:r>
            <w:r w:rsidRPr="00E65201">
              <w:rPr>
                <w:rFonts w:cstheme="minorHAnsi"/>
                <w:bCs/>
                <w:iCs/>
                <w:sz w:val="20"/>
                <w:szCs w:val="20"/>
              </w:rPr>
              <w:t>with</w:t>
            </w:r>
            <w:r>
              <w:rPr>
                <w:rFonts w:cstheme="minorHAnsi"/>
                <w:bCs/>
                <w:iCs/>
                <w:sz w:val="20"/>
                <w:szCs w:val="20"/>
              </w:rPr>
              <w:t>]</w:t>
            </w:r>
            <w:r w:rsidRPr="00E65201">
              <w:rPr>
                <w:rFonts w:cstheme="minorHAnsi"/>
                <w:bCs/>
                <w:iCs/>
                <w:sz w:val="20"/>
                <w:szCs w:val="20"/>
              </w:rPr>
              <w:t xml:space="preserve"> any entity, including any individual, from a country that is under OFAC sanctions. </w:t>
            </w:r>
            <w:r>
              <w:rPr>
                <w:rFonts w:cstheme="minorHAnsi"/>
                <w:bCs/>
                <w:iCs/>
                <w:sz w:val="20"/>
                <w:szCs w:val="20"/>
              </w:rPr>
              <w:t xml:space="preserve">JNC notes that ICANN needs clearance where it pays for such an </w:t>
            </w:r>
            <w:r w:rsidRPr="00E65201">
              <w:rPr>
                <w:rFonts w:cstheme="minorHAnsi"/>
                <w:bCs/>
                <w:iCs/>
                <w:sz w:val="20"/>
                <w:szCs w:val="20"/>
              </w:rPr>
              <w:t xml:space="preserve">individual </w:t>
            </w:r>
            <w:r>
              <w:rPr>
                <w:rFonts w:cstheme="minorHAnsi"/>
                <w:bCs/>
                <w:iCs/>
                <w:sz w:val="20"/>
                <w:szCs w:val="20"/>
              </w:rPr>
              <w:t xml:space="preserve">to </w:t>
            </w:r>
            <w:r w:rsidRPr="00E65201">
              <w:rPr>
                <w:rFonts w:cstheme="minorHAnsi"/>
                <w:bCs/>
                <w:iCs/>
                <w:sz w:val="20"/>
                <w:szCs w:val="20"/>
              </w:rPr>
              <w:t>attend an ICANN meeting</w:t>
            </w:r>
            <w:r>
              <w:rPr>
                <w:rFonts w:cstheme="minorHAnsi"/>
                <w:bCs/>
                <w:iCs/>
                <w:sz w:val="20"/>
                <w:szCs w:val="20"/>
              </w:rPr>
              <w:t>, and for</w:t>
            </w:r>
            <w:r w:rsidRPr="00E65201">
              <w:rPr>
                <w:rFonts w:cstheme="minorHAnsi"/>
                <w:bCs/>
                <w:iCs/>
                <w:sz w:val="20"/>
                <w:szCs w:val="20"/>
              </w:rPr>
              <w:t xml:space="preserve"> ICANN's engagement with agencies running </w:t>
            </w:r>
            <w:r w:rsidRPr="00E65201">
              <w:rPr>
                <w:rFonts w:cstheme="minorHAnsi"/>
                <w:bCs/>
                <w:iCs/>
                <w:sz w:val="20"/>
                <w:szCs w:val="20"/>
              </w:rPr>
              <w:lastRenderedPageBreak/>
              <w:t xml:space="preserve">ccTLDs of the concerned countries. </w:t>
            </w:r>
            <w:r>
              <w:rPr>
                <w:rFonts w:cstheme="minorHAnsi"/>
                <w:bCs/>
                <w:iCs/>
                <w:sz w:val="20"/>
                <w:szCs w:val="20"/>
              </w:rPr>
              <w:t>While n</w:t>
            </w:r>
            <w:r w:rsidRPr="00E65201">
              <w:rPr>
                <w:rFonts w:cstheme="minorHAnsi"/>
                <w:bCs/>
                <w:iCs/>
                <w:sz w:val="20"/>
                <w:szCs w:val="20"/>
              </w:rPr>
              <w:t>o party from any of the sanctioned countries have applied for gTLDs,</w:t>
            </w:r>
            <w:r>
              <w:rPr>
                <w:rFonts w:cstheme="minorHAnsi"/>
                <w:bCs/>
                <w:iCs/>
                <w:sz w:val="20"/>
                <w:szCs w:val="20"/>
              </w:rPr>
              <w:t xml:space="preserve"> JNC claims that “</w:t>
            </w:r>
            <w:r w:rsidRPr="00E65201">
              <w:rPr>
                <w:rFonts w:cstheme="minorHAnsi"/>
                <w:bCs/>
                <w:iCs/>
                <w:sz w:val="20"/>
                <w:szCs w:val="20"/>
              </w:rPr>
              <w:t>the problems that such an application will run into are obvious.</w:t>
            </w:r>
            <w:r>
              <w:rPr>
                <w:rFonts w:cstheme="minorHAnsi"/>
                <w:bCs/>
                <w:iCs/>
                <w:sz w:val="20"/>
                <w:szCs w:val="20"/>
              </w:rPr>
              <w:t>” [JNC does not state what these problems are.]</w:t>
            </w:r>
            <w:r w:rsidRPr="00E65201">
              <w:rPr>
                <w:rFonts w:cstheme="minorHAnsi"/>
                <w:bCs/>
                <w:iCs/>
                <w:sz w:val="20"/>
                <w:szCs w:val="20"/>
              </w:rPr>
              <w:t xml:space="preserve"> </w:t>
            </w:r>
            <w:r>
              <w:rPr>
                <w:rFonts w:cstheme="minorHAnsi"/>
                <w:bCs/>
                <w:iCs/>
                <w:sz w:val="20"/>
                <w:szCs w:val="20"/>
              </w:rPr>
              <w:t xml:space="preserve">JNC speculates that </w:t>
            </w:r>
            <w:r w:rsidRPr="00E65201">
              <w:rPr>
                <w:rFonts w:cstheme="minorHAnsi"/>
                <w:bCs/>
                <w:iCs/>
                <w:sz w:val="20"/>
                <w:szCs w:val="20"/>
              </w:rPr>
              <w:t>OFAC</w:t>
            </w:r>
            <w:r>
              <w:rPr>
                <w:rFonts w:cstheme="minorHAnsi"/>
                <w:bCs/>
                <w:iCs/>
                <w:sz w:val="20"/>
                <w:szCs w:val="20"/>
              </w:rPr>
              <w:t xml:space="preserve"> is the reason </w:t>
            </w:r>
            <w:r w:rsidRPr="00E65201">
              <w:rPr>
                <w:rFonts w:cstheme="minorHAnsi"/>
                <w:bCs/>
                <w:iCs/>
                <w:sz w:val="20"/>
                <w:szCs w:val="20"/>
              </w:rPr>
              <w:t>that no entity from these countri</w:t>
            </w:r>
            <w:r>
              <w:rPr>
                <w:rFonts w:cstheme="minorHAnsi"/>
                <w:bCs/>
                <w:iCs/>
                <w:sz w:val="20"/>
                <w:szCs w:val="20"/>
              </w:rPr>
              <w:t>es has</w:t>
            </w:r>
            <w:r w:rsidRPr="00E65201">
              <w:rPr>
                <w:rFonts w:cstheme="minorHAnsi"/>
                <w:bCs/>
                <w:iCs/>
                <w:sz w:val="20"/>
                <w:szCs w:val="20"/>
              </w:rPr>
              <w:t xml:space="preserve"> applied.</w:t>
            </w:r>
          </w:p>
          <w:p w:rsidR="005D4609" w:rsidRDefault="005D4609" w:rsidP="00E65201">
            <w:pPr>
              <w:spacing w:after="120"/>
              <w:rPr>
                <w:rFonts w:cstheme="minorHAnsi"/>
                <w:bCs/>
                <w:iCs/>
                <w:sz w:val="20"/>
                <w:szCs w:val="20"/>
              </w:rPr>
            </w:pPr>
            <w:r>
              <w:rPr>
                <w:rFonts w:cstheme="minorHAnsi"/>
                <w:bCs/>
                <w:iCs/>
                <w:sz w:val="20"/>
                <w:szCs w:val="20"/>
              </w:rPr>
              <w:t>13. From this, JNC argues that “</w:t>
            </w:r>
            <w:r w:rsidRPr="00E65201">
              <w:rPr>
                <w:rFonts w:cstheme="minorHAnsi"/>
                <w:bCs/>
                <w:iCs/>
                <w:sz w:val="20"/>
                <w:szCs w:val="20"/>
              </w:rPr>
              <w:t>ICANN's global governance functions stand on extremely shaky grounds, when one government, whenever it wants, can decide which country(ies), and its residents, to exclude from the benefits of such governance</w:t>
            </w:r>
            <w:r>
              <w:rPr>
                <w:rFonts w:cstheme="minorHAnsi"/>
                <w:bCs/>
                <w:iCs/>
                <w:sz w:val="20"/>
                <w:szCs w:val="20"/>
              </w:rPr>
              <w:t>.”</w:t>
            </w:r>
          </w:p>
          <w:p w:rsidR="005D4609" w:rsidRDefault="005D4609" w:rsidP="0015322A">
            <w:pPr>
              <w:spacing w:after="120"/>
              <w:rPr>
                <w:rFonts w:cstheme="minorHAnsi"/>
                <w:bCs/>
                <w:iCs/>
                <w:sz w:val="20"/>
                <w:szCs w:val="20"/>
              </w:rPr>
            </w:pPr>
            <w:r>
              <w:rPr>
                <w:rFonts w:cstheme="minorHAnsi"/>
                <w:bCs/>
                <w:iCs/>
                <w:sz w:val="20"/>
                <w:szCs w:val="20"/>
              </w:rPr>
              <w:t>14. JNC next cites cases where the US has ordered Verisign to shut down domains engaging in illegal activity.  JNC claims that “</w:t>
            </w:r>
            <w:r w:rsidRPr="0015322A">
              <w:rPr>
                <w:rFonts w:cstheme="minorHAnsi"/>
                <w:bCs/>
                <w:iCs/>
                <w:sz w:val="20"/>
                <w:szCs w:val="20"/>
              </w:rPr>
              <w:t>There is no question that</w:t>
            </w:r>
            <w:r>
              <w:rPr>
                <w:rFonts w:cstheme="minorHAnsi"/>
                <w:bCs/>
                <w:iCs/>
                <w:sz w:val="20"/>
                <w:szCs w:val="20"/>
              </w:rPr>
              <w:t xml:space="preserve"> …</w:t>
            </w:r>
            <w:r w:rsidRPr="0015322A">
              <w:rPr>
                <w:rFonts w:cstheme="minorHAnsi"/>
                <w:bCs/>
                <w:iCs/>
                <w:sz w:val="20"/>
                <w:szCs w:val="20"/>
              </w:rPr>
              <w:t>, sooner or later so will ICANN be forced</w:t>
            </w:r>
            <w:r>
              <w:rPr>
                <w:rFonts w:cstheme="minorHAnsi"/>
                <w:bCs/>
                <w:iCs/>
                <w:sz w:val="20"/>
                <w:szCs w:val="20"/>
              </w:rPr>
              <w:t xml:space="preserve"> [</w:t>
            </w:r>
            <w:r w:rsidRPr="0015322A">
              <w:rPr>
                <w:rFonts w:cstheme="minorHAnsi"/>
                <w:bCs/>
                <w:iCs/>
                <w:sz w:val="20"/>
                <w:szCs w:val="20"/>
              </w:rPr>
              <w:t>by US agencies to disable domain names</w:t>
            </w:r>
            <w:r>
              <w:rPr>
                <w:rFonts w:cstheme="minorHAnsi"/>
                <w:bCs/>
                <w:iCs/>
                <w:sz w:val="20"/>
                <w:szCs w:val="20"/>
              </w:rPr>
              <w:t>], which would be “</w:t>
            </w:r>
            <w:r w:rsidRPr="0015322A">
              <w:rPr>
                <w:rFonts w:cstheme="minorHAnsi"/>
                <w:bCs/>
                <w:iCs/>
                <w:sz w:val="20"/>
                <w:szCs w:val="20"/>
              </w:rPr>
              <w:t>a constraint on ICANN's responsibility to act in the interest of global Internet community.</w:t>
            </w:r>
            <w:r>
              <w:rPr>
                <w:rFonts w:cstheme="minorHAnsi"/>
                <w:bCs/>
                <w:iCs/>
                <w:sz w:val="20"/>
                <w:szCs w:val="20"/>
              </w:rPr>
              <w:t>”</w:t>
            </w:r>
          </w:p>
          <w:p w:rsidR="005D4609" w:rsidRPr="002778D7" w:rsidRDefault="005D4609" w:rsidP="005D4609">
            <w:pPr>
              <w:spacing w:after="120"/>
              <w:rPr>
                <w:rFonts w:cstheme="minorHAnsi"/>
                <w:sz w:val="20"/>
                <w:szCs w:val="20"/>
              </w:rPr>
            </w:pPr>
            <w:r>
              <w:rPr>
                <w:rFonts w:cstheme="minorHAnsi"/>
                <w:bCs/>
                <w:iCs/>
                <w:sz w:val="20"/>
                <w:szCs w:val="20"/>
              </w:rPr>
              <w:t>15. JNC next provides what it calls a</w:t>
            </w:r>
            <w:r w:rsidRPr="0015322A">
              <w:rPr>
                <w:rFonts w:cstheme="minorHAnsi"/>
                <w:bCs/>
                <w:iCs/>
                <w:sz w:val="20"/>
                <w:szCs w:val="20"/>
              </w:rPr>
              <w:t xml:space="preserve"> </w:t>
            </w:r>
            <w:r>
              <w:rPr>
                <w:rFonts w:cstheme="minorHAnsi"/>
                <w:bCs/>
                <w:iCs/>
                <w:sz w:val="20"/>
                <w:szCs w:val="20"/>
              </w:rPr>
              <w:t>“</w:t>
            </w:r>
            <w:r w:rsidRPr="0015322A">
              <w:rPr>
                <w:rFonts w:cstheme="minorHAnsi"/>
                <w:bCs/>
                <w:iCs/>
                <w:sz w:val="20"/>
                <w:szCs w:val="20"/>
              </w:rPr>
              <w:t>suggestive list of regulatory bodies that can direct ICANN on matters under their purview, which is very likely as ICANN allocates new sectoral gLTDs.</w:t>
            </w:r>
            <w:r>
              <w:rPr>
                <w:rFonts w:cstheme="minorHAnsi"/>
                <w:bCs/>
                <w:iCs/>
                <w:sz w:val="20"/>
                <w:szCs w:val="20"/>
              </w:rPr>
              <w:t>”</w:t>
            </w:r>
            <w:r w:rsidR="00D20B38">
              <w:rPr>
                <w:rFonts w:cstheme="minorHAnsi"/>
                <w:bCs/>
                <w:iCs/>
                <w:sz w:val="20"/>
                <w:szCs w:val="20"/>
              </w:rPr>
              <w:t xml:space="preserve"> [sic]</w:t>
            </w:r>
            <w:bookmarkStart w:id="0" w:name="_GoBack"/>
            <w:bookmarkEnd w:id="0"/>
            <w:r>
              <w:rPr>
                <w:rFonts w:cstheme="minorHAnsi"/>
                <w:bCs/>
                <w:iCs/>
                <w:sz w:val="20"/>
                <w:szCs w:val="20"/>
              </w:rPr>
              <w:t xml:space="preserve">  JNC claims that</w:t>
            </w:r>
            <w:r>
              <w:t xml:space="preserve"> ICANN is “</w:t>
            </w:r>
            <w:r w:rsidRPr="0015322A">
              <w:rPr>
                <w:rFonts w:cstheme="minorHAnsi"/>
                <w:bCs/>
                <w:iCs/>
                <w:sz w:val="20"/>
                <w:szCs w:val="20"/>
              </w:rPr>
              <w:t xml:space="preserve">under </w:t>
            </w:r>
            <w:r>
              <w:rPr>
                <w:rFonts w:cstheme="minorHAnsi"/>
                <w:bCs/>
                <w:iCs/>
                <w:sz w:val="20"/>
                <w:szCs w:val="20"/>
              </w:rPr>
              <w:t>[an]</w:t>
            </w:r>
            <w:r w:rsidRPr="0015322A">
              <w:rPr>
                <w:rFonts w:cstheme="minorHAnsi"/>
                <w:bCs/>
                <w:iCs/>
                <w:sz w:val="20"/>
                <w:szCs w:val="20"/>
              </w:rPr>
              <w:t xml:space="preserve"> ever-present threat that it can be pulled into being regulated by the FCC wherever the latter decides it fit to do so.</w:t>
            </w:r>
            <w:r>
              <w:rPr>
                <w:rFonts w:cstheme="minorHAnsi"/>
                <w:bCs/>
                <w:iCs/>
                <w:sz w:val="20"/>
                <w:szCs w:val="20"/>
              </w:rPr>
              <w:t>”  JNC goes on to state that “</w:t>
            </w:r>
            <w:r w:rsidRPr="003A026E">
              <w:rPr>
                <w:rFonts w:cstheme="minorHAnsi"/>
                <w:bCs/>
                <w:iCs/>
                <w:sz w:val="20"/>
                <w:szCs w:val="20"/>
              </w:rPr>
              <w:t>the mandate of practically every US regulatory agency could impact ICANN's functions.</w:t>
            </w:r>
            <w:r>
              <w:rPr>
                <w:rFonts w:cstheme="minorHAnsi"/>
                <w:bCs/>
                <w:iCs/>
                <w:sz w:val="20"/>
                <w:szCs w:val="20"/>
              </w:rPr>
              <w:t>”</w:t>
            </w:r>
            <w:r w:rsidRPr="003A026E">
              <w:rPr>
                <w:rFonts w:cstheme="minorHAnsi"/>
                <w:bCs/>
                <w:iCs/>
                <w:sz w:val="20"/>
                <w:szCs w:val="20"/>
              </w:rPr>
              <w:t xml:space="preserve"> </w:t>
            </w:r>
            <w:r>
              <w:rPr>
                <w:rFonts w:cstheme="minorHAnsi"/>
                <w:bCs/>
                <w:iCs/>
                <w:sz w:val="20"/>
                <w:szCs w:val="20"/>
              </w:rPr>
              <w:t>JNC argues that “</w:t>
            </w:r>
            <w:r w:rsidRPr="003A026E">
              <w:rPr>
                <w:rFonts w:cstheme="minorHAnsi"/>
                <w:bCs/>
                <w:iCs/>
                <w:sz w:val="20"/>
                <w:szCs w:val="20"/>
              </w:rPr>
              <w:t>sector-based gTLDs</w:t>
            </w:r>
            <w:r>
              <w:rPr>
                <w:rFonts w:cstheme="minorHAnsi"/>
                <w:bCs/>
                <w:iCs/>
                <w:sz w:val="20"/>
                <w:szCs w:val="20"/>
              </w:rPr>
              <w:t>”</w:t>
            </w:r>
            <w:r w:rsidRPr="003A026E">
              <w:rPr>
                <w:rFonts w:cstheme="minorHAnsi"/>
                <w:bCs/>
                <w:iCs/>
                <w:sz w:val="20"/>
                <w:szCs w:val="20"/>
              </w:rPr>
              <w:t xml:space="preserve"> </w:t>
            </w:r>
            <w:r>
              <w:rPr>
                <w:rFonts w:cstheme="minorHAnsi"/>
                <w:bCs/>
                <w:iCs/>
                <w:sz w:val="20"/>
                <w:szCs w:val="20"/>
              </w:rPr>
              <w:t xml:space="preserve">(e.g., </w:t>
            </w:r>
            <w:r w:rsidRPr="003A026E">
              <w:rPr>
                <w:rFonts w:cstheme="minorHAnsi"/>
                <w:bCs/>
                <w:iCs/>
                <w:sz w:val="20"/>
                <w:szCs w:val="20"/>
              </w:rPr>
              <w:t xml:space="preserve">.pharmacy) and gTLDs granted to </w:t>
            </w:r>
            <w:r>
              <w:rPr>
                <w:rFonts w:cstheme="minorHAnsi"/>
                <w:bCs/>
                <w:iCs/>
                <w:sz w:val="20"/>
                <w:szCs w:val="20"/>
              </w:rPr>
              <w:t>“</w:t>
            </w:r>
            <w:r w:rsidRPr="003A026E">
              <w:rPr>
                <w:rFonts w:cstheme="minorHAnsi"/>
                <w:bCs/>
                <w:iCs/>
                <w:sz w:val="20"/>
                <w:szCs w:val="20"/>
              </w:rPr>
              <w:t>entities that are k</w:t>
            </w:r>
            <w:r>
              <w:rPr>
                <w:rFonts w:cstheme="minorHAnsi"/>
                <w:bCs/>
                <w:iCs/>
                <w:sz w:val="20"/>
                <w:szCs w:val="20"/>
              </w:rPr>
              <w:t>ey players in different sectors”</w:t>
            </w:r>
            <w:r w:rsidRPr="003A026E">
              <w:rPr>
                <w:rFonts w:cstheme="minorHAnsi"/>
                <w:bCs/>
                <w:iCs/>
                <w:sz w:val="20"/>
                <w:szCs w:val="20"/>
              </w:rPr>
              <w:t xml:space="preserve"> </w:t>
            </w:r>
            <w:r>
              <w:rPr>
                <w:rFonts w:cstheme="minorHAnsi"/>
                <w:bCs/>
                <w:iCs/>
                <w:sz w:val="20"/>
                <w:szCs w:val="20"/>
              </w:rPr>
              <w:t>will lead to the FDA, the FTC, FERC, etc. will lead “</w:t>
            </w:r>
            <w:r w:rsidRPr="003A026E">
              <w:rPr>
                <w:rFonts w:cstheme="minorHAnsi"/>
                <w:bCs/>
                <w:iCs/>
                <w:sz w:val="20"/>
                <w:szCs w:val="20"/>
              </w:rPr>
              <w:t>to very possible US jurisdictional incursions upon ICANN’s functions.</w:t>
            </w:r>
            <w:r>
              <w:rPr>
                <w:rFonts w:cstheme="minorHAnsi"/>
                <w:bCs/>
                <w:iCs/>
                <w:sz w:val="20"/>
                <w:szCs w:val="20"/>
              </w:rPr>
              <w:t>”</w:t>
            </w:r>
            <w:r w:rsidRPr="003A026E">
              <w:rPr>
                <w:rFonts w:cstheme="minorHAnsi"/>
                <w:bCs/>
                <w:iCs/>
                <w:sz w:val="20"/>
                <w:szCs w:val="20"/>
              </w:rPr>
              <w:t xml:space="preserve"> </w:t>
            </w:r>
            <w:r>
              <w:rPr>
                <w:rFonts w:cstheme="minorHAnsi"/>
                <w:bCs/>
                <w:iCs/>
                <w:sz w:val="20"/>
                <w:szCs w:val="20"/>
              </w:rPr>
              <w:t>JNC theorizes that a</w:t>
            </w:r>
            <w:r w:rsidRPr="003A026E">
              <w:rPr>
                <w:rFonts w:cstheme="minorHAnsi"/>
                <w:bCs/>
                <w:iCs/>
                <w:sz w:val="20"/>
                <w:szCs w:val="20"/>
              </w:rPr>
              <w:t xml:space="preserve"> </w:t>
            </w:r>
            <w:r>
              <w:rPr>
                <w:rFonts w:cstheme="minorHAnsi"/>
                <w:bCs/>
                <w:iCs/>
                <w:sz w:val="20"/>
                <w:szCs w:val="20"/>
              </w:rPr>
              <w:t>“</w:t>
            </w:r>
            <w:r w:rsidRPr="003A026E">
              <w:rPr>
                <w:rFonts w:cstheme="minorHAnsi"/>
                <w:bCs/>
                <w:iCs/>
                <w:sz w:val="20"/>
                <w:szCs w:val="20"/>
              </w:rPr>
              <w:t>sector regulator</w:t>
            </w:r>
            <w:r>
              <w:rPr>
                <w:rFonts w:cstheme="minorHAnsi"/>
                <w:bCs/>
                <w:iCs/>
                <w:sz w:val="20"/>
                <w:szCs w:val="20"/>
              </w:rPr>
              <w:t>” could “</w:t>
            </w:r>
            <w:r w:rsidRPr="003A026E">
              <w:rPr>
                <w:rFonts w:cstheme="minorHAnsi"/>
                <w:bCs/>
                <w:iCs/>
                <w:sz w:val="20"/>
                <w:szCs w:val="20"/>
              </w:rPr>
              <w:t>find issues with the registry agreement</w:t>
            </w:r>
            <w:r>
              <w:rPr>
                <w:rFonts w:cstheme="minorHAnsi"/>
                <w:bCs/>
                <w:iCs/>
                <w:sz w:val="20"/>
                <w:szCs w:val="20"/>
              </w:rPr>
              <w:t>” for a gTLD in its sector and that the “</w:t>
            </w:r>
            <w:r w:rsidRPr="003A026E">
              <w:rPr>
                <w:rFonts w:cstheme="minorHAnsi"/>
                <w:bCs/>
                <w:iCs/>
                <w:sz w:val="20"/>
                <w:szCs w:val="20"/>
              </w:rPr>
              <w:t>sector regulator might be able to force ICANN to either rescind or change the agreement, and the conditions under it.</w:t>
            </w:r>
            <w:r>
              <w:rPr>
                <w:rFonts w:cstheme="minorHAnsi"/>
                <w:bCs/>
                <w:iCs/>
                <w:sz w:val="20"/>
                <w:szCs w:val="20"/>
              </w:rPr>
              <w:t>”</w:t>
            </w:r>
          </w:p>
        </w:tc>
        <w:tc>
          <w:tcPr>
            <w:tcW w:w="3600" w:type="dxa"/>
          </w:tcPr>
          <w:p w:rsidR="005D4609" w:rsidRDefault="005D4609" w:rsidP="002778D7">
            <w:pPr>
              <w:spacing w:after="120"/>
              <w:rPr>
                <w:rFonts w:cstheme="minorHAnsi"/>
                <w:sz w:val="20"/>
                <w:szCs w:val="20"/>
              </w:rPr>
            </w:pPr>
            <w:r>
              <w:rPr>
                <w:rFonts w:cstheme="minorHAnsi"/>
                <w:sz w:val="20"/>
                <w:szCs w:val="20"/>
              </w:rPr>
              <w:lastRenderedPageBreak/>
              <w:t>The gist of JNC’s response is that it is a problem that ICANN has to comply with US law.  Overall, JNC does not seem to view courts as forums for parties to settle grievances with each other, or as mechanisms to hold defendants accountable.  Rather, JNC primarily casts courts as actors, and proactive ones at that.</w:t>
            </w:r>
          </w:p>
          <w:p w:rsidR="005D4609" w:rsidRPr="002778D7" w:rsidRDefault="005D4609" w:rsidP="002778D7">
            <w:pPr>
              <w:spacing w:after="120"/>
              <w:rPr>
                <w:rFonts w:cstheme="minorHAnsi"/>
                <w:sz w:val="20"/>
                <w:szCs w:val="20"/>
              </w:rPr>
            </w:pPr>
            <w:r>
              <w:rPr>
                <w:rFonts w:cstheme="minorHAnsi"/>
                <w:sz w:val="20"/>
                <w:szCs w:val="20"/>
              </w:rPr>
              <w:t xml:space="preserve">3. </w:t>
            </w:r>
            <w:r w:rsidRPr="002778D7">
              <w:rPr>
                <w:rFonts w:cstheme="minorHAnsi"/>
                <w:sz w:val="20"/>
                <w:szCs w:val="20"/>
              </w:rPr>
              <w:t xml:space="preserve">Note, however, that ICANN’s registry and registrar contracts do not have a choice of law provision, though they do specify the place where a dispute will take place (venue). </w:t>
            </w:r>
          </w:p>
          <w:p w:rsidR="005D4609" w:rsidRDefault="005D4609" w:rsidP="009A789D">
            <w:pPr>
              <w:rPr>
                <w:rFonts w:cstheme="minorHAnsi"/>
                <w:sz w:val="20"/>
                <w:szCs w:val="20"/>
              </w:rPr>
            </w:pPr>
            <w:r>
              <w:rPr>
                <w:rFonts w:cstheme="minorHAnsi"/>
                <w:sz w:val="20"/>
                <w:szCs w:val="20"/>
              </w:rPr>
              <w:t xml:space="preserve">4. This is a subset of the “doctrine of public policy,” which holds that </w:t>
            </w:r>
            <w:r w:rsidRPr="00282125">
              <w:rPr>
                <w:rFonts w:cstheme="minorHAnsi"/>
                <w:b/>
                <w:sz w:val="20"/>
                <w:szCs w:val="20"/>
              </w:rPr>
              <w:t xml:space="preserve">certain acts or contracts are said to be against </w:t>
            </w:r>
            <w:r w:rsidRPr="00282125">
              <w:rPr>
                <w:rFonts w:cstheme="minorHAnsi"/>
                <w:b/>
                <w:sz w:val="20"/>
                <w:szCs w:val="20"/>
              </w:rPr>
              <w:lastRenderedPageBreak/>
              <w:t>public policy if they tend to promote breach of the law, of the policy behind a law or tend to harm the state or its citizens</w:t>
            </w:r>
            <w:r>
              <w:rPr>
                <w:rFonts w:cstheme="minorHAnsi"/>
                <w:sz w:val="20"/>
                <w:szCs w:val="20"/>
              </w:rPr>
              <w:t>, and therefore such contracts will not be enforced by the courts. The doctrine of public policy is narrowly exercised, since the courts favor the enforcement of contracts.  It would be interesting to know if other countries’ courts enforce agreements that are contrary to public policy.  An example commonly given of a contract that is void as against public policy is a contract to perform cannibalism.</w:t>
            </w:r>
          </w:p>
          <w:p w:rsidR="005D4609" w:rsidRDefault="005D4609" w:rsidP="009A789D">
            <w:pPr>
              <w:rPr>
                <w:rFonts w:cstheme="minorHAnsi"/>
                <w:sz w:val="20"/>
                <w:szCs w:val="20"/>
              </w:rPr>
            </w:pPr>
          </w:p>
          <w:p w:rsidR="005D4609" w:rsidRDefault="005D4609" w:rsidP="009A789D">
            <w:pPr>
              <w:rPr>
                <w:rFonts w:cstheme="minorHAnsi"/>
                <w:sz w:val="20"/>
                <w:szCs w:val="20"/>
              </w:rPr>
            </w:pPr>
            <w:r>
              <w:rPr>
                <w:rFonts w:cstheme="minorHAnsi"/>
                <w:sz w:val="20"/>
                <w:szCs w:val="20"/>
              </w:rPr>
              <w:t xml:space="preserve">5.  US courts (other than the Supreme Court) have to take every case that is filed unless the defendant contests jurisdiction. </w:t>
            </w:r>
          </w:p>
          <w:p w:rsidR="005D4609" w:rsidRDefault="005D4609" w:rsidP="009A789D">
            <w:pPr>
              <w:rPr>
                <w:rFonts w:cstheme="minorHAnsi"/>
                <w:sz w:val="20"/>
                <w:szCs w:val="20"/>
              </w:rPr>
            </w:pPr>
          </w:p>
          <w:p w:rsidR="005D4609" w:rsidRDefault="005D4609" w:rsidP="009A789D">
            <w:pPr>
              <w:rPr>
                <w:rFonts w:cstheme="minorHAnsi"/>
                <w:sz w:val="20"/>
                <w:szCs w:val="20"/>
              </w:rPr>
            </w:pPr>
            <w:r>
              <w:rPr>
                <w:rFonts w:cstheme="minorHAnsi"/>
                <w:sz w:val="20"/>
                <w:szCs w:val="20"/>
              </w:rPr>
              <w:t>6. ICANN would have no basis to challenge the application of US and California law or the venue of a court located in California.</w:t>
            </w:r>
          </w:p>
          <w:p w:rsidR="005D4609" w:rsidRDefault="005D4609" w:rsidP="009A789D">
            <w:pPr>
              <w:rPr>
                <w:rFonts w:cstheme="minorHAnsi"/>
                <w:sz w:val="20"/>
                <w:szCs w:val="20"/>
              </w:rPr>
            </w:pPr>
          </w:p>
          <w:p w:rsidR="005D4609" w:rsidRDefault="005D4609" w:rsidP="00335109">
            <w:pPr>
              <w:rPr>
                <w:rFonts w:cstheme="minorHAnsi"/>
                <w:sz w:val="20"/>
                <w:szCs w:val="20"/>
              </w:rPr>
            </w:pPr>
            <w:r>
              <w:rPr>
                <w:rFonts w:cstheme="minorHAnsi"/>
                <w:sz w:val="20"/>
                <w:szCs w:val="20"/>
              </w:rPr>
              <w:t xml:space="preserve">9. The .Africa TRO was granted because </w:t>
            </w:r>
            <w:r w:rsidRPr="00335109">
              <w:rPr>
                <w:rFonts w:cstheme="minorHAnsi"/>
                <w:sz w:val="20"/>
                <w:szCs w:val="20"/>
              </w:rPr>
              <w:t xml:space="preserve">Plaintiff raised “serious questions going to the merits” of the case and </w:t>
            </w:r>
            <w:r>
              <w:rPr>
                <w:rFonts w:cstheme="minorHAnsi"/>
                <w:sz w:val="20"/>
                <w:szCs w:val="20"/>
              </w:rPr>
              <w:t xml:space="preserve">the </w:t>
            </w:r>
            <w:r w:rsidRPr="00335109">
              <w:rPr>
                <w:rFonts w:cstheme="minorHAnsi"/>
                <w:sz w:val="20"/>
                <w:szCs w:val="20"/>
              </w:rPr>
              <w:t>balance of hardships ti</w:t>
            </w:r>
            <w:r>
              <w:rPr>
                <w:rFonts w:cstheme="minorHAnsi"/>
                <w:sz w:val="20"/>
                <w:szCs w:val="20"/>
              </w:rPr>
              <w:t>p</w:t>
            </w:r>
            <w:r w:rsidRPr="00335109">
              <w:rPr>
                <w:rFonts w:cstheme="minorHAnsi"/>
                <w:sz w:val="20"/>
                <w:szCs w:val="20"/>
              </w:rPr>
              <w:t>p</w:t>
            </w:r>
            <w:r>
              <w:rPr>
                <w:rFonts w:cstheme="minorHAnsi"/>
                <w:sz w:val="20"/>
                <w:szCs w:val="20"/>
              </w:rPr>
              <w:t>ed</w:t>
            </w:r>
            <w:r w:rsidRPr="00335109">
              <w:rPr>
                <w:rFonts w:cstheme="minorHAnsi"/>
                <w:sz w:val="20"/>
                <w:szCs w:val="20"/>
              </w:rPr>
              <w:t xml:space="preserve"> sharply</w:t>
            </w:r>
            <w:r>
              <w:rPr>
                <w:rFonts w:cstheme="minorHAnsi"/>
                <w:sz w:val="20"/>
                <w:szCs w:val="20"/>
              </w:rPr>
              <w:t xml:space="preserve"> </w:t>
            </w:r>
            <w:r w:rsidRPr="00335109">
              <w:rPr>
                <w:rFonts w:cstheme="minorHAnsi"/>
                <w:sz w:val="20"/>
                <w:szCs w:val="20"/>
              </w:rPr>
              <w:t>toward” plaintiff</w:t>
            </w:r>
            <w:r>
              <w:rPr>
                <w:rFonts w:cstheme="minorHAnsi"/>
                <w:sz w:val="20"/>
                <w:szCs w:val="20"/>
              </w:rPr>
              <w:t>, since it was trying to prevent the delegation of .Africa to ZACR, which ICANN had already decided was proper. JNC seems concerned here that the Court held ICANN back from delegating .Africa while it considered a case seeking to hold ICANN accountable, and seems concerned before that courts generally allow ICANN to move forward because its actions do not violate applicable law.  This apparent contradiction is not explained.</w:t>
            </w:r>
          </w:p>
          <w:p w:rsidR="005D4609" w:rsidRDefault="005D4609" w:rsidP="00335109">
            <w:pPr>
              <w:rPr>
                <w:rFonts w:cstheme="minorHAnsi"/>
                <w:sz w:val="20"/>
                <w:szCs w:val="20"/>
              </w:rPr>
            </w:pPr>
          </w:p>
          <w:p w:rsidR="005D4609" w:rsidRPr="002778D7" w:rsidRDefault="005D4609" w:rsidP="00D72B69">
            <w:pPr>
              <w:rPr>
                <w:rFonts w:cstheme="minorHAnsi"/>
                <w:sz w:val="20"/>
                <w:szCs w:val="20"/>
              </w:rPr>
            </w:pPr>
            <w:r>
              <w:rPr>
                <w:rFonts w:cstheme="minorHAnsi"/>
                <w:sz w:val="20"/>
                <w:szCs w:val="20"/>
              </w:rPr>
              <w:t>10. It should be noted that</w:t>
            </w:r>
            <w:r w:rsidRPr="00416DC1">
              <w:rPr>
                <w:rFonts w:cstheme="minorHAnsi"/>
                <w:sz w:val="20"/>
                <w:szCs w:val="20"/>
              </w:rPr>
              <w:t xml:space="preserve"> in both cases, the courts found it improper to transfer the ccTLD.</w:t>
            </w:r>
            <w:r>
              <w:rPr>
                <w:rFonts w:cstheme="minorHAnsi"/>
                <w:sz w:val="20"/>
                <w:szCs w:val="20"/>
              </w:rPr>
              <w:t xml:space="preserve">  As noted above, US court generally must take all cases before them and rely on the parties to raise jurisdictional issues.  Also, courts generally must hear any claim or argument a plaintiff can raise unless the defendant objects.</w:t>
            </w:r>
          </w:p>
        </w:tc>
      </w:tr>
      <w:tr w:rsidR="005D4609" w:rsidRPr="002778D7" w:rsidTr="00043AA1">
        <w:tc>
          <w:tcPr>
            <w:tcW w:w="498" w:type="dxa"/>
            <w:vMerge/>
            <w:shd w:val="clear" w:color="auto" w:fill="FABF8F" w:themeFill="accent6" w:themeFillTint="99"/>
          </w:tcPr>
          <w:p w:rsidR="005D4609" w:rsidRPr="002778D7" w:rsidRDefault="005D4609" w:rsidP="006F3145">
            <w:pPr>
              <w:rPr>
                <w:rFonts w:cstheme="minorHAnsi"/>
                <w:b/>
                <w:sz w:val="20"/>
                <w:szCs w:val="20"/>
              </w:rPr>
            </w:pPr>
          </w:p>
        </w:tc>
        <w:tc>
          <w:tcPr>
            <w:tcW w:w="13290" w:type="dxa"/>
            <w:gridSpan w:val="4"/>
            <w:shd w:val="clear" w:color="auto" w:fill="FDE9D9" w:themeFill="accent6" w:themeFillTint="33"/>
          </w:tcPr>
          <w:p w:rsidR="005D4609" w:rsidRDefault="005D4609">
            <w:pPr>
              <w:rPr>
                <w:rFonts w:cstheme="minorHAnsi"/>
                <w:sz w:val="20"/>
                <w:szCs w:val="20"/>
              </w:rPr>
            </w:pPr>
            <w:r w:rsidRPr="005D4609">
              <w:rPr>
                <w:rFonts w:cstheme="minorHAnsi"/>
                <w:b/>
                <w:sz w:val="20"/>
                <w:szCs w:val="20"/>
              </w:rPr>
              <w:t>For Q4a, did respondent provide any relevant documentation?</w:t>
            </w:r>
          </w:p>
        </w:tc>
      </w:tr>
      <w:tr w:rsidR="005D4609" w:rsidRPr="002778D7" w:rsidTr="005D4609">
        <w:tc>
          <w:tcPr>
            <w:tcW w:w="498" w:type="dxa"/>
            <w:vMerge/>
            <w:shd w:val="clear" w:color="auto" w:fill="FABF8F" w:themeFill="accent6" w:themeFillTint="99"/>
          </w:tcPr>
          <w:p w:rsidR="005D4609" w:rsidRPr="002778D7" w:rsidRDefault="005D4609" w:rsidP="006F3145">
            <w:pPr>
              <w:rPr>
                <w:rFonts w:cstheme="minorHAnsi"/>
                <w:b/>
                <w:sz w:val="20"/>
                <w:szCs w:val="20"/>
              </w:rPr>
            </w:pPr>
          </w:p>
        </w:tc>
        <w:tc>
          <w:tcPr>
            <w:tcW w:w="9690" w:type="dxa"/>
            <w:gridSpan w:val="3"/>
          </w:tcPr>
          <w:p w:rsidR="005D4609" w:rsidRDefault="005D4609">
            <w:pPr>
              <w:rPr>
                <w:rFonts w:cstheme="minorHAnsi"/>
                <w:sz w:val="20"/>
                <w:szCs w:val="20"/>
              </w:rPr>
            </w:pPr>
            <w:r w:rsidRPr="002778D7">
              <w:rPr>
                <w:rFonts w:cstheme="minorHAnsi"/>
                <w:sz w:val="20"/>
                <w:szCs w:val="20"/>
              </w:rPr>
              <w:t>JNC argues that “</w:t>
            </w:r>
            <w:r>
              <w:rPr>
                <w:rFonts w:cstheme="minorHAnsi"/>
                <w:sz w:val="20"/>
                <w:szCs w:val="20"/>
              </w:rPr>
              <w:t>all evidence of existence of [US]</w:t>
            </w:r>
            <w:r w:rsidRPr="002778D7">
              <w:rPr>
                <w:rFonts w:cstheme="minorHAnsi"/>
                <w:sz w:val="20"/>
                <w:szCs w:val="20"/>
              </w:rPr>
              <w:t xml:space="preserve"> laws, and </w:t>
            </w:r>
            <w:r>
              <w:rPr>
                <w:rFonts w:cstheme="minorHAnsi"/>
                <w:sz w:val="20"/>
                <w:szCs w:val="20"/>
              </w:rPr>
              <w:t>[</w:t>
            </w:r>
            <w:r w:rsidRPr="002778D7">
              <w:rPr>
                <w:rFonts w:cstheme="minorHAnsi"/>
                <w:sz w:val="20"/>
                <w:szCs w:val="20"/>
              </w:rPr>
              <w:t>executive, legislative and judicial powers</w:t>
            </w:r>
            <w:r>
              <w:rPr>
                <w:rFonts w:cstheme="minorHAnsi"/>
                <w:sz w:val="20"/>
                <w:szCs w:val="20"/>
              </w:rPr>
              <w:t>], which have incidence</w:t>
            </w:r>
            <w:r w:rsidRPr="002778D7">
              <w:rPr>
                <w:rFonts w:cstheme="minorHAnsi"/>
                <w:sz w:val="20"/>
                <w:szCs w:val="20"/>
              </w:rPr>
              <w:t xml:space="preserve"> upon ICANN's policy and implementation role, and are thus able to constrain them” are “documentation” of instances where ICANN has been unable to pursue its Mission because of its jurisdiction.</w:t>
            </w:r>
          </w:p>
          <w:p w:rsidR="005D4609" w:rsidRDefault="005D4609">
            <w:pPr>
              <w:rPr>
                <w:rFonts w:cstheme="minorHAnsi"/>
                <w:sz w:val="20"/>
                <w:szCs w:val="20"/>
              </w:rPr>
            </w:pPr>
          </w:p>
          <w:p w:rsidR="005D4609" w:rsidRDefault="005D4609">
            <w:pPr>
              <w:rPr>
                <w:rFonts w:cstheme="minorHAnsi"/>
                <w:sz w:val="20"/>
                <w:szCs w:val="20"/>
              </w:rPr>
            </w:pPr>
            <w:r>
              <w:rPr>
                <w:rFonts w:cstheme="minorHAnsi"/>
                <w:sz w:val="20"/>
                <w:szCs w:val="20"/>
              </w:rPr>
              <w:t>JNC goes on to state that “</w:t>
            </w:r>
            <w:r w:rsidRPr="009A789D">
              <w:rPr>
                <w:rFonts w:cstheme="minorHAnsi"/>
                <w:sz w:val="20"/>
                <w:szCs w:val="20"/>
              </w:rPr>
              <w:t>The actual number of US laws and state powers having some incidence on ICANN's work of global governance is endless. We are, therefore, unable here to prepare a list of them, doing which will also be inadequate since new laws can be made any time.</w:t>
            </w:r>
            <w:r>
              <w:rPr>
                <w:rFonts w:cstheme="minorHAnsi"/>
                <w:sz w:val="20"/>
                <w:szCs w:val="20"/>
              </w:rPr>
              <w:t xml:space="preserve">” </w:t>
            </w:r>
            <w:r w:rsidRPr="009A789D">
              <w:rPr>
                <w:rFonts w:cstheme="minorHAnsi"/>
                <w:sz w:val="20"/>
                <w:szCs w:val="20"/>
              </w:rPr>
              <w:t xml:space="preserve"> What we provide below are the more immediately visible instances of US jurisdiction’s influence, or even interference with ICANN's global governance functions.</w:t>
            </w:r>
          </w:p>
          <w:p w:rsidR="002B27B8" w:rsidRDefault="002B27B8">
            <w:pPr>
              <w:rPr>
                <w:rFonts w:cstheme="minorHAnsi"/>
                <w:sz w:val="20"/>
                <w:szCs w:val="20"/>
              </w:rPr>
            </w:pPr>
          </w:p>
          <w:p w:rsidR="002B27B8" w:rsidRPr="002778D7" w:rsidRDefault="002B27B8">
            <w:pPr>
              <w:rPr>
                <w:rFonts w:cstheme="minorHAnsi"/>
                <w:sz w:val="20"/>
                <w:szCs w:val="20"/>
              </w:rPr>
            </w:pPr>
            <w:r>
              <w:rPr>
                <w:rFonts w:cstheme="minorHAnsi"/>
                <w:sz w:val="20"/>
                <w:szCs w:val="20"/>
              </w:rPr>
              <w:t>JNC did provide citations to various ICANN cases, and to various blogs and articles.  However, JNC did not provide any specific documentation of any instance where ICANN was unable to pursue its Mission.</w:t>
            </w:r>
          </w:p>
        </w:tc>
        <w:tc>
          <w:tcPr>
            <w:tcW w:w="3600" w:type="dxa"/>
          </w:tcPr>
          <w:p w:rsidR="005D4609" w:rsidRPr="002778D7" w:rsidRDefault="005D4609">
            <w:pPr>
              <w:rPr>
                <w:rFonts w:cstheme="minorHAnsi"/>
                <w:sz w:val="20"/>
                <w:szCs w:val="20"/>
              </w:rPr>
            </w:pPr>
            <w:r>
              <w:rPr>
                <w:rFonts w:cstheme="minorHAnsi"/>
                <w:sz w:val="20"/>
                <w:szCs w:val="20"/>
              </w:rPr>
              <w:t>It is not entirely clear to me what “have incidence upon” or “have incidence on” means in these references.</w:t>
            </w:r>
          </w:p>
        </w:tc>
      </w:tr>
      <w:tr w:rsidR="005D4609" w:rsidRPr="002778D7" w:rsidTr="00B6696C">
        <w:tc>
          <w:tcPr>
            <w:tcW w:w="498" w:type="dxa"/>
            <w:vMerge/>
            <w:shd w:val="clear" w:color="auto" w:fill="FABF8F" w:themeFill="accent6" w:themeFillTint="99"/>
          </w:tcPr>
          <w:p w:rsidR="005D4609" w:rsidRPr="002778D7" w:rsidRDefault="005D4609">
            <w:pPr>
              <w:rPr>
                <w:rFonts w:cstheme="minorHAnsi"/>
                <w:b/>
                <w:sz w:val="20"/>
                <w:szCs w:val="20"/>
              </w:rPr>
            </w:pPr>
          </w:p>
        </w:tc>
        <w:tc>
          <w:tcPr>
            <w:tcW w:w="13290" w:type="dxa"/>
            <w:gridSpan w:val="4"/>
            <w:shd w:val="clear" w:color="auto" w:fill="FDE9D9" w:themeFill="accent6" w:themeFillTint="33"/>
          </w:tcPr>
          <w:p w:rsidR="005D4609" w:rsidRPr="002778D7" w:rsidRDefault="005D4609">
            <w:pPr>
              <w:rPr>
                <w:rFonts w:cstheme="minorHAnsi"/>
                <w:sz w:val="20"/>
                <w:szCs w:val="20"/>
              </w:rPr>
            </w:pPr>
            <w:r w:rsidRPr="002778D7">
              <w:rPr>
                <w:rFonts w:cstheme="minorHAnsi"/>
                <w:b/>
                <w:sz w:val="20"/>
                <w:szCs w:val="20"/>
              </w:rPr>
              <w:t>Summary of response to Q4b</w:t>
            </w:r>
            <w:r w:rsidRPr="002778D7">
              <w:rPr>
                <w:rFonts w:cstheme="minorHAnsi"/>
                <w:sz w:val="20"/>
                <w:szCs w:val="20"/>
              </w:rPr>
              <w:t xml:space="preserve"> (“Are you aware of and able to document the existence of an alternative jurisdiction where ICANN would not be so prevented from pursuing its Mission?”)</w:t>
            </w:r>
          </w:p>
        </w:tc>
      </w:tr>
      <w:tr w:rsidR="005D4609" w:rsidRPr="002778D7" w:rsidTr="00216863">
        <w:tc>
          <w:tcPr>
            <w:tcW w:w="498" w:type="dxa"/>
            <w:vMerge/>
            <w:shd w:val="clear" w:color="auto" w:fill="FABF8F" w:themeFill="accent6" w:themeFillTint="99"/>
          </w:tcPr>
          <w:p w:rsidR="005D4609" w:rsidRPr="002778D7" w:rsidRDefault="005D4609">
            <w:pPr>
              <w:rPr>
                <w:rFonts w:cstheme="minorHAnsi"/>
                <w:b/>
                <w:sz w:val="20"/>
                <w:szCs w:val="20"/>
              </w:rPr>
            </w:pPr>
          </w:p>
        </w:tc>
        <w:tc>
          <w:tcPr>
            <w:tcW w:w="9690" w:type="dxa"/>
            <w:gridSpan w:val="3"/>
            <w:shd w:val="clear" w:color="auto" w:fill="auto"/>
          </w:tcPr>
          <w:p w:rsidR="002B27B8" w:rsidRPr="002B27B8" w:rsidRDefault="002B27B8" w:rsidP="002B27B8">
            <w:pPr>
              <w:rPr>
                <w:rFonts w:cstheme="minorHAnsi"/>
                <w:sz w:val="20"/>
                <w:szCs w:val="20"/>
              </w:rPr>
            </w:pPr>
            <w:r>
              <w:rPr>
                <w:rFonts w:cstheme="minorHAnsi"/>
                <w:sz w:val="20"/>
                <w:szCs w:val="20"/>
              </w:rPr>
              <w:t xml:space="preserve">JNC suggests </w:t>
            </w:r>
            <w:r w:rsidRPr="002B27B8">
              <w:rPr>
                <w:rFonts w:cstheme="minorHAnsi"/>
                <w:sz w:val="20"/>
                <w:szCs w:val="20"/>
              </w:rPr>
              <w:t>three alternative jurisdictional arrangements where</w:t>
            </w:r>
            <w:r>
              <w:rPr>
                <w:rFonts w:cstheme="minorHAnsi"/>
                <w:sz w:val="20"/>
                <w:szCs w:val="20"/>
              </w:rPr>
              <w:t xml:space="preserve"> it claims that “</w:t>
            </w:r>
            <w:r w:rsidRPr="002B27B8">
              <w:rPr>
                <w:rFonts w:cstheme="minorHAnsi"/>
                <w:sz w:val="20"/>
                <w:szCs w:val="20"/>
              </w:rPr>
              <w:t>ICANN will not be prevented from pursuing its mission of serving the global Internet community as a whole, as it is so prevented in its current jurisdictional status.</w:t>
            </w:r>
            <w:r>
              <w:rPr>
                <w:rFonts w:cstheme="minorHAnsi"/>
                <w:sz w:val="20"/>
                <w:szCs w:val="20"/>
              </w:rPr>
              <w:t>”</w:t>
            </w:r>
          </w:p>
          <w:p w:rsidR="002B27B8" w:rsidRPr="002B27B8" w:rsidRDefault="002B27B8" w:rsidP="002B27B8">
            <w:pPr>
              <w:rPr>
                <w:rFonts w:cstheme="minorHAnsi"/>
                <w:sz w:val="20"/>
                <w:szCs w:val="20"/>
              </w:rPr>
            </w:pPr>
            <w:r w:rsidRPr="002B27B8">
              <w:rPr>
                <w:rFonts w:cstheme="minorHAnsi"/>
                <w:sz w:val="20"/>
                <w:szCs w:val="20"/>
              </w:rPr>
              <w:t xml:space="preserve">1. </w:t>
            </w:r>
            <w:r w:rsidRPr="00100C5F">
              <w:rPr>
                <w:rFonts w:cstheme="minorHAnsi"/>
                <w:sz w:val="20"/>
                <w:szCs w:val="20"/>
                <w:u w:val="single"/>
              </w:rPr>
              <w:t>Incorporation under international law</w:t>
            </w:r>
          </w:p>
          <w:p w:rsidR="00947EF3" w:rsidRPr="002B27B8" w:rsidRDefault="002B27B8" w:rsidP="00947EF3">
            <w:pPr>
              <w:rPr>
                <w:rFonts w:cstheme="minorHAnsi"/>
                <w:sz w:val="20"/>
                <w:szCs w:val="20"/>
              </w:rPr>
            </w:pPr>
            <w:r>
              <w:rPr>
                <w:rFonts w:cstheme="minorHAnsi"/>
                <w:sz w:val="20"/>
                <w:szCs w:val="20"/>
              </w:rPr>
              <w:t>JNC calls this t</w:t>
            </w:r>
            <w:r w:rsidRPr="002B27B8">
              <w:rPr>
                <w:rFonts w:cstheme="minorHAnsi"/>
                <w:sz w:val="20"/>
                <w:szCs w:val="20"/>
              </w:rPr>
              <w:t xml:space="preserve">he </w:t>
            </w:r>
            <w:r>
              <w:rPr>
                <w:rFonts w:cstheme="minorHAnsi"/>
                <w:sz w:val="20"/>
                <w:szCs w:val="20"/>
              </w:rPr>
              <w:t>“</w:t>
            </w:r>
            <w:r w:rsidRPr="002B27B8">
              <w:rPr>
                <w:rFonts w:cstheme="minorHAnsi"/>
                <w:sz w:val="20"/>
                <w:szCs w:val="20"/>
              </w:rPr>
              <w:t>best and most sustainable arrangement</w:t>
            </w:r>
            <w:r w:rsidR="009628D0">
              <w:rPr>
                <w:rFonts w:cstheme="minorHAnsi"/>
                <w:sz w:val="20"/>
                <w:szCs w:val="20"/>
              </w:rPr>
              <w:t>.”</w:t>
            </w:r>
            <w:r w:rsidRPr="002B27B8">
              <w:rPr>
                <w:rFonts w:cstheme="minorHAnsi"/>
                <w:sz w:val="20"/>
                <w:szCs w:val="20"/>
              </w:rPr>
              <w:t xml:space="preserve"> </w:t>
            </w:r>
            <w:r w:rsidR="009628D0">
              <w:rPr>
                <w:rFonts w:cstheme="minorHAnsi"/>
                <w:sz w:val="20"/>
                <w:szCs w:val="20"/>
              </w:rPr>
              <w:t>JNC notes this “</w:t>
            </w:r>
            <w:r w:rsidRPr="002B27B8">
              <w:rPr>
                <w:rFonts w:cstheme="minorHAnsi"/>
                <w:sz w:val="20"/>
                <w:szCs w:val="20"/>
              </w:rPr>
              <w:t>will need to be negotiated specifically for this purpose among countries.</w:t>
            </w:r>
            <w:r w:rsidR="009628D0">
              <w:rPr>
                <w:rFonts w:cstheme="minorHAnsi"/>
                <w:sz w:val="20"/>
                <w:szCs w:val="20"/>
              </w:rPr>
              <w:t>”</w:t>
            </w:r>
            <w:r w:rsidRPr="002B27B8">
              <w:rPr>
                <w:rFonts w:cstheme="minorHAnsi"/>
                <w:sz w:val="20"/>
                <w:szCs w:val="20"/>
              </w:rPr>
              <w:t xml:space="preserve"> </w:t>
            </w:r>
            <w:r w:rsidR="009628D0">
              <w:rPr>
                <w:rFonts w:cstheme="minorHAnsi"/>
                <w:sz w:val="20"/>
                <w:szCs w:val="20"/>
              </w:rPr>
              <w:t>JNC argues i</w:t>
            </w:r>
            <w:r w:rsidRPr="002B27B8">
              <w:rPr>
                <w:rFonts w:cstheme="minorHAnsi"/>
                <w:sz w:val="20"/>
                <w:szCs w:val="20"/>
              </w:rPr>
              <w:t xml:space="preserve">t </w:t>
            </w:r>
            <w:r w:rsidR="009628D0">
              <w:rPr>
                <w:rFonts w:cstheme="minorHAnsi"/>
                <w:sz w:val="20"/>
                <w:szCs w:val="20"/>
              </w:rPr>
              <w:t>“</w:t>
            </w:r>
            <w:r w:rsidRPr="002B27B8">
              <w:rPr>
                <w:rFonts w:cstheme="minorHAnsi"/>
                <w:sz w:val="20"/>
                <w:szCs w:val="20"/>
              </w:rPr>
              <w:t>can be done without touching the current multistakeholder governance structure and community acc</w:t>
            </w:r>
            <w:r w:rsidR="009628D0">
              <w:rPr>
                <w:rFonts w:cstheme="minorHAnsi"/>
                <w:sz w:val="20"/>
                <w:szCs w:val="20"/>
              </w:rPr>
              <w:t>ountability mechanisms of ICANN.”</w:t>
            </w:r>
            <w:r w:rsidRPr="002B27B8">
              <w:rPr>
                <w:rFonts w:cstheme="minorHAnsi"/>
                <w:sz w:val="20"/>
                <w:szCs w:val="20"/>
              </w:rPr>
              <w:t xml:space="preserve"> </w:t>
            </w:r>
            <w:r w:rsidR="009628D0">
              <w:rPr>
                <w:rFonts w:cstheme="minorHAnsi"/>
                <w:sz w:val="20"/>
                <w:szCs w:val="20"/>
              </w:rPr>
              <w:t>JNC cites two Red Cross “</w:t>
            </w:r>
            <w:r w:rsidRPr="002B27B8">
              <w:rPr>
                <w:rFonts w:cstheme="minorHAnsi"/>
                <w:sz w:val="20"/>
                <w:szCs w:val="20"/>
              </w:rPr>
              <w:t xml:space="preserve">organizations </w:t>
            </w:r>
            <w:r w:rsidR="009628D0">
              <w:rPr>
                <w:rFonts w:cstheme="minorHAnsi"/>
                <w:sz w:val="20"/>
                <w:szCs w:val="20"/>
              </w:rPr>
              <w:lastRenderedPageBreak/>
              <w:t xml:space="preserve">[that] </w:t>
            </w:r>
            <w:r w:rsidRPr="002B27B8">
              <w:rPr>
                <w:rFonts w:cstheme="minorHAnsi"/>
                <w:sz w:val="20"/>
                <w:szCs w:val="20"/>
              </w:rPr>
              <w:t>are not intergovernmental organizations</w:t>
            </w:r>
            <w:r w:rsidR="009628D0">
              <w:rPr>
                <w:rFonts w:cstheme="minorHAnsi"/>
                <w:sz w:val="20"/>
                <w:szCs w:val="20"/>
              </w:rPr>
              <w:t>” ICRC and FRCRSC. JNC concedes that “</w:t>
            </w:r>
            <w:r w:rsidRPr="002B27B8">
              <w:rPr>
                <w:rFonts w:cstheme="minorHAnsi"/>
                <w:sz w:val="20"/>
                <w:szCs w:val="20"/>
              </w:rPr>
              <w:t>most international organizations have intergovernmental governance mechanism,</w:t>
            </w:r>
            <w:r w:rsidR="009628D0">
              <w:rPr>
                <w:rFonts w:cstheme="minorHAnsi"/>
                <w:sz w:val="20"/>
                <w:szCs w:val="20"/>
              </w:rPr>
              <w:t>” but claims that “</w:t>
            </w:r>
            <w:r w:rsidRPr="002B27B8">
              <w:rPr>
                <w:rFonts w:cstheme="minorHAnsi"/>
                <w:sz w:val="20"/>
                <w:szCs w:val="20"/>
              </w:rPr>
              <w:t>it is up to the enabling international law to decide the governance mechanism</w:t>
            </w:r>
            <w:r w:rsidR="009628D0">
              <w:rPr>
                <w:rFonts w:cstheme="minorHAnsi"/>
                <w:sz w:val="20"/>
                <w:szCs w:val="20"/>
              </w:rPr>
              <w:t>.”</w:t>
            </w:r>
            <w:r w:rsidRPr="002B27B8">
              <w:rPr>
                <w:rFonts w:cstheme="minorHAnsi"/>
                <w:sz w:val="20"/>
                <w:szCs w:val="20"/>
              </w:rPr>
              <w:t xml:space="preserve"> </w:t>
            </w:r>
            <w:r w:rsidR="009628D0">
              <w:rPr>
                <w:rFonts w:cstheme="minorHAnsi"/>
                <w:sz w:val="20"/>
                <w:szCs w:val="20"/>
              </w:rPr>
              <w:t xml:space="preserve"> JNC claims that “</w:t>
            </w:r>
            <w:r w:rsidRPr="002B27B8">
              <w:rPr>
                <w:rFonts w:cstheme="minorHAnsi"/>
                <w:sz w:val="20"/>
                <w:szCs w:val="20"/>
              </w:rPr>
              <w:t>A new international law could mandate ICANN to keep running as it does currently</w:t>
            </w:r>
            <w:r w:rsidR="00947EF3">
              <w:rPr>
                <w:rFonts w:cstheme="minorHAnsi"/>
                <w:sz w:val="20"/>
                <w:szCs w:val="20"/>
              </w:rPr>
              <w:t>, in a multistakeholder fashion</w:t>
            </w:r>
            <w:r w:rsidR="009628D0">
              <w:rPr>
                <w:rFonts w:cstheme="minorHAnsi"/>
                <w:sz w:val="20"/>
                <w:szCs w:val="20"/>
              </w:rPr>
              <w:t>”</w:t>
            </w:r>
            <w:r w:rsidR="00947EF3">
              <w:rPr>
                <w:rFonts w:cstheme="minorHAnsi"/>
                <w:sz w:val="20"/>
                <w:szCs w:val="20"/>
              </w:rPr>
              <w:t xml:space="preserve"> and that ICANN could then have </w:t>
            </w:r>
          </w:p>
          <w:p w:rsidR="00947EF3" w:rsidRDefault="00947EF3" w:rsidP="002B27B8">
            <w:pPr>
              <w:rPr>
                <w:rFonts w:cstheme="minorHAnsi"/>
                <w:sz w:val="20"/>
                <w:szCs w:val="20"/>
              </w:rPr>
            </w:pPr>
            <w:r>
              <w:rPr>
                <w:rFonts w:cstheme="minorHAnsi"/>
                <w:sz w:val="20"/>
                <w:szCs w:val="20"/>
              </w:rPr>
              <w:t>“</w:t>
            </w:r>
            <w:r w:rsidR="002B27B8" w:rsidRPr="002B27B8">
              <w:rPr>
                <w:rFonts w:cstheme="minorHAnsi"/>
                <w:sz w:val="20"/>
                <w:szCs w:val="20"/>
              </w:rPr>
              <w:t>a host country agreement with the country of its physical seat</w:t>
            </w:r>
            <w:r>
              <w:rPr>
                <w:rFonts w:cstheme="minorHAnsi"/>
                <w:sz w:val="20"/>
                <w:szCs w:val="20"/>
              </w:rPr>
              <w:t>” and that ICANN “</w:t>
            </w:r>
            <w:r w:rsidR="002B27B8" w:rsidRPr="002B27B8">
              <w:rPr>
                <w:rFonts w:cstheme="minorHAnsi"/>
                <w:sz w:val="20"/>
                <w:szCs w:val="20"/>
              </w:rPr>
              <w:t>accordingly</w:t>
            </w:r>
            <w:r>
              <w:rPr>
                <w:rFonts w:cstheme="minorHAnsi"/>
                <w:sz w:val="20"/>
                <w:szCs w:val="20"/>
              </w:rPr>
              <w:t xml:space="preserve"> [would]</w:t>
            </w:r>
            <w:r w:rsidR="002B27B8" w:rsidRPr="002B27B8">
              <w:rPr>
                <w:rFonts w:cstheme="minorHAnsi"/>
                <w:sz w:val="20"/>
                <w:szCs w:val="20"/>
              </w:rPr>
              <w:t xml:space="preserve"> not be subject to any of the jurisdictional problems </w:t>
            </w:r>
            <w:r>
              <w:rPr>
                <w:rFonts w:cstheme="minorHAnsi"/>
                <w:sz w:val="20"/>
                <w:szCs w:val="20"/>
              </w:rPr>
              <w:t>[JNC]</w:t>
            </w:r>
            <w:r w:rsidR="002B27B8" w:rsidRPr="002B27B8">
              <w:rPr>
                <w:rFonts w:cstheme="minorHAnsi"/>
                <w:sz w:val="20"/>
                <w:szCs w:val="20"/>
              </w:rPr>
              <w:t xml:space="preserve"> described above</w:t>
            </w:r>
            <w:r>
              <w:rPr>
                <w:rFonts w:cstheme="minorHAnsi"/>
                <w:sz w:val="20"/>
                <w:szCs w:val="20"/>
              </w:rPr>
              <w:t>,”</w:t>
            </w:r>
          </w:p>
          <w:p w:rsidR="002B27B8" w:rsidRPr="002B27B8" w:rsidRDefault="00947EF3" w:rsidP="002B27B8">
            <w:pPr>
              <w:rPr>
                <w:rFonts w:cstheme="minorHAnsi"/>
                <w:sz w:val="20"/>
                <w:szCs w:val="20"/>
              </w:rPr>
            </w:pPr>
            <w:r w:rsidRPr="002B27B8">
              <w:rPr>
                <w:rFonts w:cstheme="minorHAnsi"/>
                <w:sz w:val="20"/>
                <w:szCs w:val="20"/>
              </w:rPr>
              <w:t xml:space="preserve"> </w:t>
            </w:r>
            <w:r w:rsidR="002B27B8" w:rsidRPr="002B27B8">
              <w:rPr>
                <w:rFonts w:cstheme="minorHAnsi"/>
                <w:sz w:val="20"/>
                <w:szCs w:val="20"/>
              </w:rPr>
              <w:t xml:space="preserve">2. </w:t>
            </w:r>
            <w:r w:rsidR="002B27B8" w:rsidRPr="00100C5F">
              <w:rPr>
                <w:rFonts w:cstheme="minorHAnsi"/>
                <w:sz w:val="20"/>
                <w:szCs w:val="20"/>
                <w:u w:val="single"/>
              </w:rPr>
              <w:t>Obtaining immunity under US International Organisations Immunity Act</w:t>
            </w:r>
          </w:p>
          <w:p w:rsidR="002B27B8" w:rsidRPr="002B27B8" w:rsidRDefault="00947EF3" w:rsidP="002B27B8">
            <w:pPr>
              <w:rPr>
                <w:rFonts w:cstheme="minorHAnsi"/>
                <w:sz w:val="20"/>
                <w:szCs w:val="20"/>
              </w:rPr>
            </w:pPr>
            <w:r>
              <w:rPr>
                <w:rFonts w:cstheme="minorHAnsi"/>
                <w:sz w:val="20"/>
                <w:szCs w:val="20"/>
              </w:rPr>
              <w:t>JNC claims that “</w:t>
            </w:r>
            <w:r w:rsidR="002B27B8" w:rsidRPr="002B27B8">
              <w:rPr>
                <w:rFonts w:cstheme="minorHAnsi"/>
                <w:sz w:val="20"/>
                <w:szCs w:val="20"/>
              </w:rPr>
              <w:t>It is possible for ICANN to seek immunity from US jurisdiction under the US International Organisations Immunity Act.</w:t>
            </w:r>
            <w:r>
              <w:rPr>
                <w:rFonts w:cstheme="minorHAnsi"/>
                <w:sz w:val="20"/>
                <w:szCs w:val="20"/>
              </w:rPr>
              <w:t>” JNC theorizes that “</w:t>
            </w:r>
            <w:r w:rsidR="002B27B8" w:rsidRPr="002B27B8">
              <w:rPr>
                <w:rFonts w:cstheme="minorHAnsi"/>
                <w:sz w:val="20"/>
                <w:szCs w:val="20"/>
              </w:rPr>
              <w:t>This can be done in a partial manner so that ICANN retains its nexus with California non profit law, to enable its internal governance processes, including the newly instituted Independent Review Panel.</w:t>
            </w:r>
            <w:r>
              <w:rPr>
                <w:rFonts w:cstheme="minorHAnsi"/>
                <w:sz w:val="20"/>
                <w:szCs w:val="20"/>
              </w:rPr>
              <w:t xml:space="preserve">”  JNC claims that the International Fertilizer Development Center is an </w:t>
            </w:r>
            <w:r w:rsidR="002B27B8" w:rsidRPr="002B27B8">
              <w:rPr>
                <w:rFonts w:cstheme="minorHAnsi"/>
                <w:sz w:val="20"/>
                <w:szCs w:val="20"/>
              </w:rPr>
              <w:t>instance of</w:t>
            </w:r>
            <w:r>
              <w:rPr>
                <w:rFonts w:cstheme="minorHAnsi"/>
                <w:sz w:val="20"/>
                <w:szCs w:val="20"/>
              </w:rPr>
              <w:t xml:space="preserve"> a</w:t>
            </w:r>
            <w:r w:rsidR="002B27B8" w:rsidRPr="002B27B8">
              <w:rPr>
                <w:rFonts w:cstheme="minorHAnsi"/>
                <w:sz w:val="20"/>
                <w:szCs w:val="20"/>
              </w:rPr>
              <w:t xml:space="preserve"> </w:t>
            </w:r>
            <w:r>
              <w:rPr>
                <w:rFonts w:cstheme="minorHAnsi"/>
                <w:sz w:val="20"/>
                <w:szCs w:val="20"/>
              </w:rPr>
              <w:t>“</w:t>
            </w:r>
            <w:r w:rsidR="00D067B5">
              <w:rPr>
                <w:rFonts w:cstheme="minorHAnsi"/>
                <w:sz w:val="20"/>
                <w:szCs w:val="20"/>
              </w:rPr>
              <w:t>US [non-profit]</w:t>
            </w:r>
            <w:r w:rsidR="002B27B8" w:rsidRPr="002B27B8">
              <w:rPr>
                <w:rFonts w:cstheme="minorHAnsi"/>
                <w:sz w:val="20"/>
                <w:szCs w:val="20"/>
              </w:rPr>
              <w:t xml:space="preserve"> having been given immunity under this Act, even as they continue to be registered as US non profit and rely on US law for their overall governance.</w:t>
            </w:r>
            <w:r>
              <w:rPr>
                <w:rFonts w:cstheme="minorHAnsi"/>
                <w:sz w:val="20"/>
                <w:szCs w:val="20"/>
              </w:rPr>
              <w:t xml:space="preserve">” </w:t>
            </w:r>
            <w:r w:rsidR="002B27B8" w:rsidRPr="002B27B8">
              <w:rPr>
                <w:rFonts w:cstheme="minorHAnsi"/>
                <w:sz w:val="20"/>
                <w:szCs w:val="20"/>
              </w:rPr>
              <w:t xml:space="preserve"> </w:t>
            </w:r>
            <w:r>
              <w:rPr>
                <w:rFonts w:cstheme="minorHAnsi"/>
                <w:sz w:val="20"/>
                <w:szCs w:val="20"/>
              </w:rPr>
              <w:t>JNC again claims that this could be done “</w:t>
            </w:r>
            <w:r w:rsidR="002B27B8" w:rsidRPr="002B27B8">
              <w:rPr>
                <w:rFonts w:cstheme="minorHAnsi"/>
                <w:sz w:val="20"/>
                <w:szCs w:val="20"/>
              </w:rPr>
              <w:t>in a manner that excludes from the immunity California non profit law (or any other laws that ICANN's effective working requires to be excluded from the immunity)</w:t>
            </w:r>
            <w:r w:rsidR="00D067B5">
              <w:rPr>
                <w:rFonts w:cstheme="minorHAnsi"/>
                <w:sz w:val="20"/>
                <w:szCs w:val="20"/>
              </w:rPr>
              <w:t>” and that “</w:t>
            </w:r>
            <w:r w:rsidR="002B27B8" w:rsidRPr="002B27B8">
              <w:rPr>
                <w:rFonts w:cstheme="minorHAnsi"/>
                <w:sz w:val="20"/>
                <w:szCs w:val="20"/>
              </w:rPr>
              <w:t>Such an exclusion can be a part of the US government order providing immunity, or ICANN itself can waive its immunity to that extent.</w:t>
            </w:r>
            <w:r w:rsidR="00D067B5">
              <w:rPr>
                <w:rFonts w:cstheme="minorHAnsi"/>
                <w:sz w:val="20"/>
                <w:szCs w:val="20"/>
              </w:rPr>
              <w:t xml:space="preserve">”  </w:t>
            </w:r>
            <w:r w:rsidR="00100C5F">
              <w:rPr>
                <w:rFonts w:cstheme="minorHAnsi"/>
                <w:sz w:val="20"/>
                <w:szCs w:val="20"/>
              </w:rPr>
              <w:t>JNC again claims that “</w:t>
            </w:r>
            <w:r w:rsidR="002B27B8" w:rsidRPr="002B27B8">
              <w:rPr>
                <w:rFonts w:cstheme="minorHAnsi"/>
                <w:sz w:val="20"/>
                <w:szCs w:val="20"/>
              </w:rPr>
              <w:t>the above listed jurisdictional issues</w:t>
            </w:r>
            <w:r w:rsidR="00100C5F">
              <w:rPr>
                <w:rFonts w:cstheme="minorHAnsi"/>
                <w:sz w:val="20"/>
                <w:szCs w:val="20"/>
              </w:rPr>
              <w:t xml:space="preserve"> …</w:t>
            </w:r>
            <w:r w:rsidR="002B27B8" w:rsidRPr="002B27B8">
              <w:rPr>
                <w:rFonts w:cstheme="minorHAnsi"/>
                <w:sz w:val="20"/>
                <w:szCs w:val="20"/>
              </w:rPr>
              <w:t xml:space="preserve"> could be avoided.</w:t>
            </w:r>
            <w:r w:rsidR="00100C5F">
              <w:rPr>
                <w:rFonts w:cstheme="minorHAnsi"/>
                <w:sz w:val="20"/>
                <w:szCs w:val="20"/>
              </w:rPr>
              <w:t>”</w:t>
            </w:r>
          </w:p>
          <w:p w:rsidR="002B27B8" w:rsidRPr="002B27B8" w:rsidRDefault="002B27B8" w:rsidP="002B27B8">
            <w:pPr>
              <w:rPr>
                <w:rFonts w:cstheme="minorHAnsi"/>
                <w:sz w:val="20"/>
                <w:szCs w:val="20"/>
              </w:rPr>
            </w:pPr>
            <w:r w:rsidRPr="002B27B8">
              <w:rPr>
                <w:rFonts w:cstheme="minorHAnsi"/>
                <w:sz w:val="20"/>
                <w:szCs w:val="20"/>
              </w:rPr>
              <w:t xml:space="preserve">3. </w:t>
            </w:r>
            <w:r w:rsidRPr="00100C5F">
              <w:rPr>
                <w:rFonts w:cstheme="minorHAnsi"/>
                <w:sz w:val="20"/>
                <w:szCs w:val="20"/>
                <w:u w:val="single"/>
              </w:rPr>
              <w:t>Keep a standing back-up option to move out in case of US jurisdiction intervention</w:t>
            </w:r>
          </w:p>
          <w:p w:rsidR="005D4609" w:rsidRPr="002778D7" w:rsidRDefault="00100C5F" w:rsidP="006F25B8">
            <w:pPr>
              <w:rPr>
                <w:rFonts w:cstheme="minorHAnsi"/>
                <w:sz w:val="20"/>
                <w:szCs w:val="20"/>
              </w:rPr>
            </w:pPr>
            <w:r>
              <w:rPr>
                <w:rFonts w:cstheme="minorHAnsi"/>
                <w:sz w:val="20"/>
                <w:szCs w:val="20"/>
              </w:rPr>
              <w:t xml:space="preserve">JNC suggests that </w:t>
            </w:r>
            <w:r w:rsidR="002B27B8" w:rsidRPr="002B27B8">
              <w:rPr>
                <w:rFonts w:cstheme="minorHAnsi"/>
                <w:sz w:val="20"/>
                <w:szCs w:val="20"/>
              </w:rPr>
              <w:t xml:space="preserve">ICANN can </w:t>
            </w:r>
            <w:r>
              <w:rPr>
                <w:rFonts w:cstheme="minorHAnsi"/>
                <w:sz w:val="20"/>
                <w:szCs w:val="20"/>
              </w:rPr>
              <w:t>adopt</w:t>
            </w:r>
            <w:r w:rsidR="002B27B8" w:rsidRPr="002B27B8">
              <w:rPr>
                <w:rFonts w:cstheme="minorHAnsi"/>
                <w:sz w:val="20"/>
                <w:szCs w:val="20"/>
              </w:rPr>
              <w:t xml:space="preserve"> a fundamental </w:t>
            </w:r>
            <w:r>
              <w:rPr>
                <w:rFonts w:cstheme="minorHAnsi"/>
                <w:sz w:val="20"/>
                <w:szCs w:val="20"/>
              </w:rPr>
              <w:t>By</w:t>
            </w:r>
            <w:r w:rsidR="002B27B8" w:rsidRPr="002B27B8">
              <w:rPr>
                <w:rFonts w:cstheme="minorHAnsi"/>
                <w:sz w:val="20"/>
                <w:szCs w:val="20"/>
              </w:rPr>
              <w:t xml:space="preserve">law that </w:t>
            </w:r>
            <w:r>
              <w:rPr>
                <w:rFonts w:cstheme="minorHAnsi"/>
                <w:sz w:val="20"/>
                <w:szCs w:val="20"/>
              </w:rPr>
              <w:t>“</w:t>
            </w:r>
            <w:r w:rsidR="002B27B8" w:rsidRPr="002B27B8">
              <w:rPr>
                <w:rFonts w:cstheme="minorHAnsi"/>
                <w:sz w:val="20"/>
                <w:szCs w:val="20"/>
              </w:rPr>
              <w:t>its global governance processes will brook no in</w:t>
            </w:r>
            <w:r>
              <w:rPr>
                <w:rFonts w:cstheme="minorHAnsi"/>
                <w:sz w:val="20"/>
                <w:szCs w:val="20"/>
              </w:rPr>
              <w:t>terference from US jurisdiction” and that if pre-defined instances of “interference” are encountered, “</w:t>
            </w:r>
            <w:r w:rsidR="002B27B8" w:rsidRPr="002B27B8">
              <w:rPr>
                <w:rFonts w:cstheme="minorHAnsi"/>
                <w:sz w:val="20"/>
                <w:szCs w:val="20"/>
              </w:rPr>
              <w:t>a process of shifting of ICANN to another jurisdiction will automatically be set into motion.</w:t>
            </w:r>
            <w:r>
              <w:rPr>
                <w:rFonts w:cstheme="minorHAnsi"/>
                <w:sz w:val="20"/>
                <w:szCs w:val="20"/>
              </w:rPr>
              <w:t>” JNC envision a second “</w:t>
            </w:r>
            <w:r w:rsidR="002B27B8" w:rsidRPr="002B27B8">
              <w:rPr>
                <w:rFonts w:cstheme="minorHAnsi"/>
                <w:sz w:val="20"/>
                <w:szCs w:val="20"/>
              </w:rPr>
              <w:t>full set-up – with registered HQ, root file maintenance system, etc – will be kept ready as a redundancy in another jurisdiction for this purpose.</w:t>
            </w:r>
            <w:r>
              <w:rPr>
                <w:rFonts w:cstheme="minorHAnsi"/>
                <w:sz w:val="20"/>
                <w:szCs w:val="20"/>
              </w:rPr>
              <w:t>” JNC speculates that</w:t>
            </w:r>
            <w:r w:rsidR="002B27B8" w:rsidRPr="002B27B8">
              <w:rPr>
                <w:rFonts w:cstheme="minorHAnsi"/>
                <w:sz w:val="20"/>
                <w:szCs w:val="20"/>
              </w:rPr>
              <w:t xml:space="preserve"> </w:t>
            </w:r>
            <w:r>
              <w:rPr>
                <w:rFonts w:cstheme="minorHAnsi"/>
                <w:sz w:val="20"/>
                <w:szCs w:val="20"/>
              </w:rPr>
              <w:t>“</w:t>
            </w:r>
            <w:r w:rsidR="002B27B8" w:rsidRPr="002B27B8">
              <w:rPr>
                <w:rFonts w:cstheme="minorHAnsi"/>
                <w:sz w:val="20"/>
                <w:szCs w:val="20"/>
              </w:rPr>
              <w:t>Chances are overwhelming that</w:t>
            </w:r>
            <w:r>
              <w:rPr>
                <w:rFonts w:cstheme="minorHAnsi"/>
                <w:sz w:val="20"/>
                <w:szCs w:val="20"/>
              </w:rPr>
              <w:t>” under these circumstances “</w:t>
            </w:r>
            <w:r w:rsidR="002B27B8" w:rsidRPr="002B27B8">
              <w:rPr>
                <w:rFonts w:cstheme="minorHAnsi"/>
                <w:sz w:val="20"/>
                <w:szCs w:val="20"/>
              </w:rPr>
              <w:t>no US state agency, including its</w:t>
            </w:r>
            <w:r w:rsidR="006F25B8">
              <w:rPr>
                <w:rFonts w:cstheme="minorHAnsi"/>
                <w:sz w:val="20"/>
                <w:szCs w:val="20"/>
              </w:rPr>
              <w:t xml:space="preserve"> courts”</w:t>
            </w:r>
            <w:r>
              <w:rPr>
                <w:rFonts w:cstheme="minorHAnsi"/>
                <w:sz w:val="20"/>
                <w:szCs w:val="20"/>
              </w:rPr>
              <w:t xml:space="preserve"> will “</w:t>
            </w:r>
            <w:r w:rsidR="002B27B8" w:rsidRPr="002B27B8">
              <w:rPr>
                <w:rFonts w:cstheme="minorHAnsi"/>
                <w:sz w:val="20"/>
                <w:szCs w:val="20"/>
              </w:rPr>
              <w:t>try and enforce its writ.</w:t>
            </w:r>
            <w:r>
              <w:rPr>
                <w:rFonts w:cstheme="minorHAnsi"/>
                <w:sz w:val="20"/>
                <w:szCs w:val="20"/>
              </w:rPr>
              <w:t>”</w:t>
            </w:r>
            <w:r w:rsidR="002B27B8" w:rsidRPr="002B27B8">
              <w:rPr>
                <w:rFonts w:cstheme="minorHAnsi"/>
                <w:sz w:val="20"/>
                <w:szCs w:val="20"/>
              </w:rPr>
              <w:t xml:space="preserve"> </w:t>
            </w:r>
            <w:r w:rsidR="006F25B8">
              <w:rPr>
                <w:rFonts w:cstheme="minorHAnsi"/>
                <w:sz w:val="20"/>
                <w:szCs w:val="20"/>
              </w:rPr>
              <w:t>JNC claims that this would “</w:t>
            </w:r>
            <w:r w:rsidR="002B27B8" w:rsidRPr="002B27B8">
              <w:rPr>
                <w:rFonts w:cstheme="minorHAnsi"/>
                <w:sz w:val="20"/>
                <w:szCs w:val="20"/>
              </w:rPr>
              <w:t>act in perpetuity as a guarantee against jurisdictional interference without actually ICANN having to move out of the US.</w:t>
            </w:r>
            <w:r w:rsidR="006F25B8">
              <w:rPr>
                <w:rFonts w:cstheme="minorHAnsi"/>
                <w:sz w:val="20"/>
                <w:szCs w:val="20"/>
              </w:rPr>
              <w:t>”</w:t>
            </w:r>
          </w:p>
        </w:tc>
        <w:tc>
          <w:tcPr>
            <w:tcW w:w="3600" w:type="dxa"/>
          </w:tcPr>
          <w:p w:rsidR="005D4609" w:rsidRDefault="005D4609">
            <w:pPr>
              <w:rPr>
                <w:rFonts w:cstheme="minorHAnsi"/>
                <w:sz w:val="20"/>
                <w:szCs w:val="20"/>
              </w:rPr>
            </w:pPr>
          </w:p>
          <w:p w:rsidR="009628D0" w:rsidRDefault="009628D0">
            <w:pPr>
              <w:rPr>
                <w:rFonts w:cstheme="minorHAnsi"/>
                <w:sz w:val="20"/>
                <w:szCs w:val="20"/>
              </w:rPr>
            </w:pPr>
          </w:p>
          <w:p w:rsidR="009628D0" w:rsidRDefault="009628D0">
            <w:pPr>
              <w:rPr>
                <w:rFonts w:cstheme="minorHAnsi"/>
                <w:sz w:val="20"/>
                <w:szCs w:val="20"/>
              </w:rPr>
            </w:pPr>
          </w:p>
          <w:p w:rsidR="009628D0" w:rsidRDefault="009628D0">
            <w:pPr>
              <w:rPr>
                <w:rFonts w:cstheme="minorHAnsi"/>
                <w:sz w:val="20"/>
                <w:szCs w:val="20"/>
              </w:rPr>
            </w:pPr>
            <w:r>
              <w:rPr>
                <w:rFonts w:cstheme="minorHAnsi"/>
                <w:sz w:val="20"/>
                <w:szCs w:val="20"/>
              </w:rPr>
              <w:t>As JNC notes, this would require a “new international law” (i.e., a treaty</w:t>
            </w:r>
            <w:r w:rsidR="00947EF3">
              <w:rPr>
                <w:rFonts w:cstheme="minorHAnsi"/>
                <w:sz w:val="20"/>
                <w:szCs w:val="20"/>
              </w:rPr>
              <w:t>, presumably of every country that has Internet connectivity).</w:t>
            </w:r>
          </w:p>
          <w:p w:rsidR="006C4A5F" w:rsidRDefault="006C4A5F">
            <w:pPr>
              <w:rPr>
                <w:rFonts w:cstheme="minorHAnsi"/>
                <w:sz w:val="20"/>
                <w:szCs w:val="20"/>
              </w:rPr>
            </w:pPr>
          </w:p>
          <w:p w:rsidR="006C4A5F" w:rsidRDefault="006C4A5F">
            <w:pPr>
              <w:rPr>
                <w:rFonts w:cstheme="minorHAnsi"/>
                <w:sz w:val="20"/>
                <w:szCs w:val="20"/>
              </w:rPr>
            </w:pPr>
          </w:p>
          <w:p w:rsidR="006C4A5F" w:rsidRDefault="006C4A5F">
            <w:pPr>
              <w:rPr>
                <w:rFonts w:cstheme="minorHAnsi"/>
                <w:sz w:val="20"/>
                <w:szCs w:val="20"/>
              </w:rPr>
            </w:pPr>
          </w:p>
          <w:p w:rsidR="006C4A5F" w:rsidRDefault="006C4A5F">
            <w:pPr>
              <w:rPr>
                <w:rFonts w:cstheme="minorHAnsi"/>
                <w:sz w:val="20"/>
                <w:szCs w:val="20"/>
              </w:rPr>
            </w:pPr>
          </w:p>
          <w:p w:rsidR="006C4A5F" w:rsidRDefault="006C4A5F">
            <w:pPr>
              <w:rPr>
                <w:rFonts w:cstheme="minorHAnsi"/>
                <w:sz w:val="20"/>
                <w:szCs w:val="20"/>
              </w:rPr>
            </w:pPr>
          </w:p>
          <w:p w:rsidR="006C4A5F" w:rsidRDefault="006C4A5F">
            <w:pPr>
              <w:rPr>
                <w:rFonts w:cstheme="minorHAnsi"/>
                <w:sz w:val="20"/>
                <w:szCs w:val="20"/>
              </w:rPr>
            </w:pPr>
          </w:p>
          <w:p w:rsidR="006C4A5F" w:rsidRDefault="006C4A5F">
            <w:pPr>
              <w:rPr>
                <w:rFonts w:cstheme="minorHAnsi"/>
                <w:sz w:val="20"/>
                <w:szCs w:val="20"/>
              </w:rPr>
            </w:pPr>
          </w:p>
          <w:p w:rsidR="006C4A5F" w:rsidRPr="002778D7" w:rsidRDefault="006C4A5F">
            <w:pPr>
              <w:rPr>
                <w:rFonts w:cstheme="minorHAnsi"/>
                <w:sz w:val="20"/>
                <w:szCs w:val="20"/>
              </w:rPr>
            </w:pPr>
          </w:p>
        </w:tc>
      </w:tr>
      <w:tr w:rsidR="006F25B8" w:rsidRPr="002778D7" w:rsidTr="002644FC">
        <w:tc>
          <w:tcPr>
            <w:tcW w:w="498" w:type="dxa"/>
            <w:vMerge/>
            <w:shd w:val="clear" w:color="auto" w:fill="FABF8F" w:themeFill="accent6" w:themeFillTint="99"/>
          </w:tcPr>
          <w:p w:rsidR="006F25B8" w:rsidRPr="002778D7" w:rsidRDefault="006F25B8" w:rsidP="006F3145">
            <w:pPr>
              <w:rPr>
                <w:rFonts w:cstheme="minorHAnsi"/>
                <w:b/>
                <w:sz w:val="20"/>
                <w:szCs w:val="20"/>
              </w:rPr>
            </w:pPr>
          </w:p>
        </w:tc>
        <w:tc>
          <w:tcPr>
            <w:tcW w:w="13290" w:type="dxa"/>
            <w:gridSpan w:val="4"/>
            <w:shd w:val="clear" w:color="auto" w:fill="FDE9D9" w:themeFill="accent6" w:themeFillTint="33"/>
          </w:tcPr>
          <w:p w:rsidR="006F25B8" w:rsidRPr="002778D7" w:rsidRDefault="006F25B8">
            <w:pPr>
              <w:rPr>
                <w:rFonts w:cstheme="minorHAnsi"/>
                <w:sz w:val="20"/>
                <w:szCs w:val="20"/>
              </w:rPr>
            </w:pPr>
            <w:r w:rsidRPr="002778D7">
              <w:rPr>
                <w:rFonts w:cstheme="minorHAnsi"/>
                <w:b/>
                <w:sz w:val="20"/>
                <w:szCs w:val="20"/>
              </w:rPr>
              <w:t>For Q4b, did respondent provide any relevant documentation?</w:t>
            </w:r>
          </w:p>
        </w:tc>
      </w:tr>
      <w:tr w:rsidR="006F25B8" w:rsidRPr="002778D7" w:rsidTr="006F25B8">
        <w:tc>
          <w:tcPr>
            <w:tcW w:w="498" w:type="dxa"/>
            <w:shd w:val="clear" w:color="auto" w:fill="FABF8F" w:themeFill="accent6" w:themeFillTint="99"/>
          </w:tcPr>
          <w:p w:rsidR="006F25B8" w:rsidRPr="002778D7" w:rsidRDefault="006F25B8" w:rsidP="006F3145">
            <w:pPr>
              <w:rPr>
                <w:rFonts w:cstheme="minorHAnsi"/>
                <w:b/>
                <w:sz w:val="20"/>
                <w:szCs w:val="20"/>
              </w:rPr>
            </w:pPr>
          </w:p>
        </w:tc>
        <w:tc>
          <w:tcPr>
            <w:tcW w:w="9690" w:type="dxa"/>
            <w:gridSpan w:val="3"/>
          </w:tcPr>
          <w:p w:rsidR="006F25B8" w:rsidRDefault="006F25B8" w:rsidP="006F25B8">
            <w:pPr>
              <w:rPr>
                <w:rFonts w:cstheme="minorHAnsi"/>
                <w:sz w:val="20"/>
                <w:szCs w:val="20"/>
              </w:rPr>
            </w:pPr>
            <w:r>
              <w:rPr>
                <w:rFonts w:cstheme="minorHAnsi"/>
                <w:sz w:val="20"/>
                <w:szCs w:val="20"/>
              </w:rPr>
              <w:t>For #2, JNC states that “</w:t>
            </w:r>
            <w:r w:rsidRPr="00D067B5">
              <w:rPr>
                <w:rFonts w:cstheme="minorHAnsi"/>
                <w:sz w:val="20"/>
                <w:szCs w:val="20"/>
              </w:rPr>
              <w:t xml:space="preserve">A useful discussion on such circumscribed immunity can be found in pp. 90-100 (waiver by governing instrument is discussed in pp. 86-97) of this report: </w:t>
            </w:r>
            <w:hyperlink r:id="rId7" w:history="1">
              <w:r w:rsidRPr="00A14F2A">
                <w:rPr>
                  <w:rStyle w:val="Hyperlink"/>
                  <w:rFonts w:cstheme="minorHAnsi"/>
                  <w:sz w:val="20"/>
                  <w:szCs w:val="20"/>
                </w:rPr>
                <w:t>https://gnso.icann.org/en/issues/igo-ingo-crp-access-initial- 19jan17-en.pdf</w:t>
              </w:r>
            </w:hyperlink>
            <w:r>
              <w:rPr>
                <w:rFonts w:cstheme="minorHAnsi"/>
                <w:sz w:val="20"/>
                <w:szCs w:val="20"/>
              </w:rPr>
              <w:t xml:space="preserve">.”  JNC also offers links to certain Red Cross-related documentation: </w:t>
            </w:r>
            <w:r w:rsidRPr="006F25B8">
              <w:rPr>
                <w:rFonts w:cstheme="minorHAnsi"/>
                <w:sz w:val="20"/>
                <w:szCs w:val="20"/>
              </w:rPr>
              <w:t xml:space="preserve"> </w:t>
            </w:r>
            <w:hyperlink r:id="rId8" w:history="1">
              <w:r w:rsidRPr="00A14F2A">
                <w:rPr>
                  <w:rStyle w:val="Hyperlink"/>
                  <w:rFonts w:cstheme="minorHAnsi"/>
                  <w:sz w:val="20"/>
                  <w:szCs w:val="20"/>
                </w:rPr>
                <w:t>https://www.icrc.org/en/document/statutes-international-committee-red-cross-0</w:t>
              </w:r>
            </w:hyperlink>
            <w:r>
              <w:rPr>
                <w:rFonts w:cstheme="minorHAnsi"/>
                <w:sz w:val="20"/>
                <w:szCs w:val="20"/>
              </w:rPr>
              <w:t xml:space="preserve">, </w:t>
            </w:r>
            <w:r w:rsidRPr="006F25B8">
              <w:rPr>
                <w:rFonts w:cstheme="minorHAnsi"/>
                <w:sz w:val="20"/>
                <w:szCs w:val="20"/>
              </w:rPr>
              <w:t xml:space="preserve"> </w:t>
            </w:r>
            <w:hyperlink r:id="rId9" w:history="1">
              <w:r w:rsidRPr="00A14F2A">
                <w:rPr>
                  <w:rStyle w:val="Hyperlink"/>
                  <w:rFonts w:cstheme="minorHAnsi"/>
                  <w:sz w:val="20"/>
                  <w:szCs w:val="20"/>
                </w:rPr>
                <w:t>http://www.ifrc.org/Global/Governance/Statutory/2015/Constitution-2015_EN.pdf</w:t>
              </w:r>
            </w:hyperlink>
            <w:r>
              <w:rPr>
                <w:rFonts w:cstheme="minorHAnsi"/>
                <w:sz w:val="20"/>
                <w:szCs w:val="20"/>
              </w:rPr>
              <w:t>,</w:t>
            </w:r>
          </w:p>
          <w:p w:rsidR="006F25B8" w:rsidRPr="006F25B8" w:rsidRDefault="006F25B8" w:rsidP="006F25B8">
            <w:pPr>
              <w:rPr>
                <w:rFonts w:cstheme="minorHAnsi"/>
                <w:sz w:val="20"/>
                <w:szCs w:val="20"/>
              </w:rPr>
            </w:pPr>
            <w:hyperlink r:id="rId10" w:history="1">
              <w:r w:rsidRPr="00A14F2A">
                <w:rPr>
                  <w:rStyle w:val="Hyperlink"/>
                  <w:rFonts w:cstheme="minorHAnsi"/>
                  <w:sz w:val="20"/>
                  <w:szCs w:val="20"/>
                </w:rPr>
                <w:t>https://www.admin.ch/opc/fr/classified-compilation/19930062/index.html</w:t>
              </w:r>
            </w:hyperlink>
            <w:r>
              <w:rPr>
                <w:rFonts w:cstheme="minorHAnsi"/>
                <w:sz w:val="20"/>
                <w:szCs w:val="20"/>
              </w:rPr>
              <w:t xml:space="preserve"> </w:t>
            </w:r>
            <w:r w:rsidRPr="006F25B8">
              <w:rPr>
                <w:rFonts w:cstheme="minorHAnsi"/>
                <w:sz w:val="20"/>
                <w:szCs w:val="20"/>
              </w:rPr>
              <w:t xml:space="preserve"> and</w:t>
            </w:r>
          </w:p>
          <w:p w:rsidR="006F25B8" w:rsidRPr="002778D7" w:rsidRDefault="006F25B8" w:rsidP="006F25B8">
            <w:pPr>
              <w:rPr>
                <w:rFonts w:cstheme="minorHAnsi"/>
                <w:sz w:val="20"/>
                <w:szCs w:val="20"/>
              </w:rPr>
            </w:pPr>
            <w:hyperlink r:id="rId11" w:history="1">
              <w:r w:rsidRPr="00A14F2A">
                <w:rPr>
                  <w:rStyle w:val="Hyperlink"/>
                  <w:rFonts w:cstheme="minorHAnsi"/>
                  <w:sz w:val="20"/>
                  <w:szCs w:val="20"/>
                </w:rPr>
                <w:t>https://www.admin.ch/opc/fr/classified-compilation/20002706/index.html</w:t>
              </w:r>
            </w:hyperlink>
            <w:r>
              <w:rPr>
                <w:rFonts w:cstheme="minorHAnsi"/>
                <w:sz w:val="20"/>
                <w:szCs w:val="20"/>
              </w:rPr>
              <w:t xml:space="preserve"> </w:t>
            </w:r>
          </w:p>
        </w:tc>
        <w:tc>
          <w:tcPr>
            <w:tcW w:w="3600" w:type="dxa"/>
          </w:tcPr>
          <w:p w:rsidR="006F25B8" w:rsidRPr="002778D7" w:rsidRDefault="006F25B8">
            <w:pPr>
              <w:rPr>
                <w:rFonts w:cstheme="minorHAnsi"/>
                <w:sz w:val="20"/>
                <w:szCs w:val="20"/>
              </w:rPr>
            </w:pPr>
          </w:p>
        </w:tc>
      </w:tr>
      <w:tr w:rsidR="00F35A4E" w:rsidRPr="002778D7" w:rsidTr="00500364">
        <w:tc>
          <w:tcPr>
            <w:tcW w:w="498" w:type="dxa"/>
            <w:vMerge w:val="restart"/>
            <w:shd w:val="clear" w:color="auto" w:fill="FABF8F" w:themeFill="accent6" w:themeFillTint="99"/>
            <w:textDirection w:val="btLr"/>
          </w:tcPr>
          <w:p w:rsidR="00F35A4E" w:rsidRPr="002778D7" w:rsidRDefault="00F35A4E" w:rsidP="00F35A4E">
            <w:pPr>
              <w:ind w:left="113" w:right="113"/>
              <w:jc w:val="center"/>
              <w:rPr>
                <w:rFonts w:cstheme="minorHAnsi"/>
                <w:b/>
                <w:sz w:val="20"/>
                <w:szCs w:val="20"/>
              </w:rPr>
            </w:pPr>
            <w:r w:rsidRPr="002778D7">
              <w:rPr>
                <w:rFonts w:cstheme="minorHAnsi"/>
                <w:b/>
                <w:sz w:val="20"/>
                <w:szCs w:val="20"/>
              </w:rPr>
              <w:t>Relevance to Subgroup’s Work</w:t>
            </w:r>
          </w:p>
        </w:tc>
        <w:tc>
          <w:tcPr>
            <w:tcW w:w="4470" w:type="dxa"/>
            <w:shd w:val="clear" w:color="auto" w:fill="FDE9D9" w:themeFill="accent6" w:themeFillTint="33"/>
          </w:tcPr>
          <w:p w:rsidR="00F35A4E" w:rsidRPr="002778D7" w:rsidRDefault="00F35A4E" w:rsidP="00F41B32">
            <w:pPr>
              <w:rPr>
                <w:rFonts w:cstheme="minorHAnsi"/>
                <w:b/>
                <w:sz w:val="20"/>
                <w:szCs w:val="20"/>
              </w:rPr>
            </w:pPr>
            <w:r w:rsidRPr="002778D7">
              <w:rPr>
                <w:rFonts w:cstheme="minorHAnsi"/>
                <w:b/>
                <w:sz w:val="20"/>
                <w:szCs w:val="20"/>
              </w:rPr>
              <w:t>Did any specific case, situation or incident mentioned by respondent raise a “Proposed Issue” that could be considered by the Subgroup</w:t>
            </w:r>
            <w:r w:rsidR="00F41B32" w:rsidRPr="002778D7">
              <w:rPr>
                <w:rFonts w:cstheme="minorHAnsi"/>
                <w:b/>
                <w:sz w:val="20"/>
                <w:szCs w:val="20"/>
              </w:rPr>
              <w:t>?</w:t>
            </w:r>
          </w:p>
        </w:tc>
        <w:tc>
          <w:tcPr>
            <w:tcW w:w="5220" w:type="dxa"/>
            <w:gridSpan w:val="2"/>
          </w:tcPr>
          <w:p w:rsidR="00F35A4E" w:rsidRPr="002778D7" w:rsidRDefault="006C4A5F">
            <w:pPr>
              <w:rPr>
                <w:rFonts w:cstheme="minorHAnsi"/>
                <w:sz w:val="20"/>
                <w:szCs w:val="20"/>
              </w:rPr>
            </w:pPr>
            <w:r>
              <w:rPr>
                <w:rFonts w:cstheme="minorHAnsi"/>
                <w:sz w:val="20"/>
                <w:szCs w:val="20"/>
              </w:rPr>
              <w:t>Yes.</w:t>
            </w:r>
          </w:p>
        </w:tc>
        <w:tc>
          <w:tcPr>
            <w:tcW w:w="3600" w:type="dxa"/>
          </w:tcPr>
          <w:p w:rsidR="00F35A4E" w:rsidRPr="002778D7" w:rsidRDefault="00F35A4E">
            <w:pPr>
              <w:rPr>
                <w:rFonts w:cstheme="minorHAnsi"/>
                <w:sz w:val="20"/>
                <w:szCs w:val="20"/>
              </w:rPr>
            </w:pPr>
          </w:p>
        </w:tc>
      </w:tr>
      <w:tr w:rsidR="00F41B32" w:rsidRPr="002778D7" w:rsidTr="00500364">
        <w:tc>
          <w:tcPr>
            <w:tcW w:w="498" w:type="dxa"/>
            <w:vMerge/>
            <w:shd w:val="clear" w:color="auto" w:fill="FABF8F" w:themeFill="accent6" w:themeFillTint="99"/>
            <w:textDirection w:val="btLr"/>
          </w:tcPr>
          <w:p w:rsidR="00F41B32" w:rsidRPr="002778D7" w:rsidRDefault="00F41B32" w:rsidP="00F35A4E">
            <w:pPr>
              <w:ind w:left="113" w:right="113"/>
              <w:jc w:val="center"/>
              <w:rPr>
                <w:rFonts w:cstheme="minorHAnsi"/>
                <w:b/>
                <w:sz w:val="20"/>
                <w:szCs w:val="20"/>
              </w:rPr>
            </w:pPr>
          </w:p>
        </w:tc>
        <w:tc>
          <w:tcPr>
            <w:tcW w:w="4470" w:type="dxa"/>
            <w:shd w:val="clear" w:color="auto" w:fill="FDE9D9" w:themeFill="accent6" w:themeFillTint="33"/>
          </w:tcPr>
          <w:p w:rsidR="00F41B32" w:rsidRPr="002778D7" w:rsidRDefault="00F41B32" w:rsidP="00A21F50">
            <w:pPr>
              <w:rPr>
                <w:rFonts w:cstheme="minorHAnsi"/>
                <w:b/>
                <w:sz w:val="20"/>
                <w:szCs w:val="20"/>
              </w:rPr>
            </w:pPr>
            <w:r w:rsidRPr="002778D7">
              <w:rPr>
                <w:rFonts w:cstheme="minorHAnsi"/>
                <w:b/>
                <w:sz w:val="20"/>
                <w:szCs w:val="20"/>
              </w:rPr>
              <w:t>If yes, briefly restate the case, situation or incident.</w:t>
            </w:r>
          </w:p>
        </w:tc>
        <w:tc>
          <w:tcPr>
            <w:tcW w:w="5220" w:type="dxa"/>
            <w:gridSpan w:val="2"/>
          </w:tcPr>
          <w:p w:rsidR="00BE44F4" w:rsidRDefault="00BE44F4">
            <w:pPr>
              <w:rPr>
                <w:rFonts w:cstheme="minorHAnsi"/>
                <w:sz w:val="20"/>
                <w:szCs w:val="20"/>
              </w:rPr>
            </w:pPr>
            <w:r>
              <w:rPr>
                <w:rFonts w:cstheme="minorHAnsi"/>
                <w:sz w:val="20"/>
                <w:szCs w:val="20"/>
              </w:rPr>
              <w:t xml:space="preserve">Court jurisdiction </w:t>
            </w:r>
            <w:r w:rsidR="00500364">
              <w:rPr>
                <w:rFonts w:cstheme="minorHAnsi"/>
                <w:sz w:val="20"/>
                <w:szCs w:val="20"/>
              </w:rPr>
              <w:t>issues raised above.</w:t>
            </w:r>
          </w:p>
          <w:p w:rsidR="00F41B32" w:rsidRDefault="006C4A5F">
            <w:pPr>
              <w:rPr>
                <w:rFonts w:cstheme="minorHAnsi"/>
                <w:sz w:val="20"/>
                <w:szCs w:val="20"/>
              </w:rPr>
            </w:pPr>
            <w:r>
              <w:rPr>
                <w:rFonts w:cstheme="minorHAnsi"/>
                <w:sz w:val="20"/>
                <w:szCs w:val="20"/>
              </w:rPr>
              <w:t>OFAC concerns noted above.</w:t>
            </w:r>
          </w:p>
          <w:p w:rsidR="00BE44F4" w:rsidRPr="002778D7" w:rsidRDefault="00BE44F4">
            <w:pPr>
              <w:rPr>
                <w:rFonts w:cstheme="minorHAnsi"/>
                <w:sz w:val="20"/>
                <w:szCs w:val="20"/>
              </w:rPr>
            </w:pPr>
            <w:r>
              <w:rPr>
                <w:rFonts w:cstheme="minorHAnsi"/>
                <w:sz w:val="20"/>
                <w:szCs w:val="20"/>
              </w:rPr>
              <w:t>Regulatory agency concerns noted above</w:t>
            </w:r>
          </w:p>
        </w:tc>
        <w:tc>
          <w:tcPr>
            <w:tcW w:w="3600" w:type="dxa"/>
          </w:tcPr>
          <w:p w:rsidR="00F41B32" w:rsidRPr="002778D7" w:rsidRDefault="00F41B32">
            <w:pPr>
              <w:rPr>
                <w:rFonts w:cstheme="minorHAnsi"/>
                <w:sz w:val="20"/>
                <w:szCs w:val="20"/>
              </w:rPr>
            </w:pPr>
          </w:p>
        </w:tc>
      </w:tr>
      <w:tr w:rsidR="00F35A4E" w:rsidRPr="002778D7" w:rsidTr="00500364">
        <w:tc>
          <w:tcPr>
            <w:tcW w:w="498" w:type="dxa"/>
            <w:vMerge/>
            <w:shd w:val="clear" w:color="auto" w:fill="FABF8F" w:themeFill="accent6" w:themeFillTint="99"/>
          </w:tcPr>
          <w:p w:rsidR="00F35A4E" w:rsidRPr="002778D7" w:rsidRDefault="00F35A4E" w:rsidP="00A21F50">
            <w:pPr>
              <w:rPr>
                <w:rFonts w:cstheme="minorHAnsi"/>
                <w:b/>
                <w:sz w:val="20"/>
                <w:szCs w:val="20"/>
              </w:rPr>
            </w:pPr>
          </w:p>
        </w:tc>
        <w:tc>
          <w:tcPr>
            <w:tcW w:w="4470" w:type="dxa"/>
            <w:shd w:val="clear" w:color="auto" w:fill="FDE9D9" w:themeFill="accent6" w:themeFillTint="33"/>
          </w:tcPr>
          <w:p w:rsidR="00F35A4E" w:rsidRPr="002778D7" w:rsidRDefault="00F41B32" w:rsidP="00F41B32">
            <w:pPr>
              <w:rPr>
                <w:rFonts w:cstheme="minorHAnsi"/>
                <w:b/>
                <w:sz w:val="20"/>
                <w:szCs w:val="20"/>
              </w:rPr>
            </w:pPr>
            <w:r w:rsidRPr="002778D7">
              <w:rPr>
                <w:rFonts w:cstheme="minorHAnsi"/>
                <w:b/>
                <w:sz w:val="20"/>
                <w:szCs w:val="20"/>
              </w:rPr>
              <w:t>B</w:t>
            </w:r>
            <w:r w:rsidR="00F35A4E" w:rsidRPr="002778D7">
              <w:rPr>
                <w:rFonts w:cstheme="minorHAnsi"/>
                <w:b/>
                <w:sz w:val="20"/>
                <w:szCs w:val="20"/>
              </w:rPr>
              <w:t xml:space="preserve">riefly state the </w:t>
            </w:r>
            <w:r w:rsidRPr="002778D7">
              <w:rPr>
                <w:rFonts w:cstheme="minorHAnsi"/>
                <w:b/>
                <w:sz w:val="20"/>
                <w:szCs w:val="20"/>
              </w:rPr>
              <w:t>Proposed I</w:t>
            </w:r>
            <w:r w:rsidR="00F35A4E" w:rsidRPr="002778D7">
              <w:rPr>
                <w:rFonts w:cstheme="minorHAnsi"/>
                <w:b/>
                <w:sz w:val="20"/>
                <w:szCs w:val="20"/>
              </w:rPr>
              <w:t>ssue.</w:t>
            </w:r>
          </w:p>
        </w:tc>
        <w:tc>
          <w:tcPr>
            <w:tcW w:w="5220" w:type="dxa"/>
            <w:gridSpan w:val="2"/>
          </w:tcPr>
          <w:p w:rsidR="00500364" w:rsidRDefault="00500364">
            <w:pPr>
              <w:rPr>
                <w:rFonts w:cstheme="minorHAnsi"/>
                <w:sz w:val="20"/>
                <w:szCs w:val="20"/>
              </w:rPr>
            </w:pPr>
            <w:r>
              <w:rPr>
                <w:rFonts w:cstheme="minorHAnsi"/>
                <w:sz w:val="20"/>
                <w:szCs w:val="20"/>
              </w:rPr>
              <w:t xml:space="preserve">1. Whether ICANN’s ability to sue and be sued in California courts under California and US law prevents ICANN from </w:t>
            </w:r>
            <w:r>
              <w:rPr>
                <w:rFonts w:cstheme="minorHAnsi"/>
                <w:sz w:val="20"/>
                <w:szCs w:val="20"/>
              </w:rPr>
              <w:lastRenderedPageBreak/>
              <w:t>carrying out its mission.</w:t>
            </w:r>
          </w:p>
          <w:p w:rsidR="00F35A4E" w:rsidRDefault="00500364">
            <w:pPr>
              <w:rPr>
                <w:rFonts w:cstheme="minorHAnsi"/>
                <w:sz w:val="20"/>
                <w:szCs w:val="20"/>
              </w:rPr>
            </w:pPr>
            <w:r>
              <w:rPr>
                <w:rFonts w:cstheme="minorHAnsi"/>
                <w:sz w:val="20"/>
                <w:szCs w:val="20"/>
              </w:rPr>
              <w:t xml:space="preserve">2. </w:t>
            </w:r>
            <w:r w:rsidR="006C4A5F">
              <w:rPr>
                <w:rFonts w:cstheme="minorHAnsi"/>
                <w:sz w:val="20"/>
                <w:szCs w:val="20"/>
              </w:rPr>
              <w:t>Whether OFAC laws prevent ICANN from carrying out its mission.</w:t>
            </w:r>
          </w:p>
          <w:p w:rsidR="00BE44F4" w:rsidRPr="002778D7" w:rsidRDefault="00BE44F4">
            <w:pPr>
              <w:rPr>
                <w:rFonts w:cstheme="minorHAnsi"/>
                <w:sz w:val="20"/>
                <w:szCs w:val="20"/>
              </w:rPr>
            </w:pPr>
            <w:r>
              <w:rPr>
                <w:rFonts w:cstheme="minorHAnsi"/>
                <w:sz w:val="20"/>
                <w:szCs w:val="20"/>
              </w:rPr>
              <w:t>Whether US regulatory agencies prevent ICANN from carrying out its mission.</w:t>
            </w:r>
          </w:p>
        </w:tc>
        <w:tc>
          <w:tcPr>
            <w:tcW w:w="3600" w:type="dxa"/>
          </w:tcPr>
          <w:p w:rsidR="00F35A4E" w:rsidRPr="002778D7" w:rsidRDefault="003E76B9">
            <w:pPr>
              <w:rPr>
                <w:rFonts w:cstheme="minorHAnsi"/>
                <w:sz w:val="20"/>
                <w:szCs w:val="20"/>
              </w:rPr>
            </w:pPr>
            <w:r w:rsidRPr="002778D7">
              <w:rPr>
                <w:rFonts w:cstheme="minorHAnsi"/>
                <w:sz w:val="20"/>
                <w:szCs w:val="20"/>
              </w:rPr>
              <w:lastRenderedPageBreak/>
              <w:t>N/A</w:t>
            </w:r>
          </w:p>
        </w:tc>
      </w:tr>
      <w:tr w:rsidR="00F35A4E" w:rsidRPr="002778D7" w:rsidTr="00500364">
        <w:tc>
          <w:tcPr>
            <w:tcW w:w="498" w:type="dxa"/>
            <w:vMerge/>
            <w:shd w:val="clear" w:color="auto" w:fill="FABF8F" w:themeFill="accent6" w:themeFillTint="99"/>
          </w:tcPr>
          <w:p w:rsidR="00F35A4E" w:rsidRPr="002778D7" w:rsidRDefault="00F35A4E" w:rsidP="004A2F9E">
            <w:pPr>
              <w:rPr>
                <w:rFonts w:cstheme="minorHAnsi"/>
                <w:b/>
                <w:sz w:val="20"/>
                <w:szCs w:val="20"/>
              </w:rPr>
            </w:pPr>
          </w:p>
        </w:tc>
        <w:tc>
          <w:tcPr>
            <w:tcW w:w="4470" w:type="dxa"/>
            <w:shd w:val="clear" w:color="auto" w:fill="FDE9D9" w:themeFill="accent6" w:themeFillTint="33"/>
          </w:tcPr>
          <w:p w:rsidR="00F35A4E" w:rsidRPr="002778D7" w:rsidRDefault="00F35A4E" w:rsidP="004A2F9E">
            <w:pPr>
              <w:rPr>
                <w:rFonts w:cstheme="minorHAnsi"/>
                <w:sz w:val="20"/>
                <w:szCs w:val="20"/>
              </w:rPr>
            </w:pPr>
            <w:r w:rsidRPr="002778D7">
              <w:rPr>
                <w:rFonts w:cstheme="minorHAnsi"/>
                <w:b/>
                <w:sz w:val="20"/>
                <w:szCs w:val="20"/>
              </w:rPr>
              <w:t>Did respondent provide any case or situation that could be used as a “Stress Test” by the Subgroup?</w:t>
            </w:r>
          </w:p>
        </w:tc>
        <w:tc>
          <w:tcPr>
            <w:tcW w:w="5220" w:type="dxa"/>
            <w:gridSpan w:val="2"/>
          </w:tcPr>
          <w:p w:rsidR="00F35A4E" w:rsidRPr="002778D7" w:rsidRDefault="00BE44F4" w:rsidP="00BE44F4">
            <w:pPr>
              <w:rPr>
                <w:rFonts w:cstheme="minorHAnsi"/>
                <w:sz w:val="20"/>
                <w:szCs w:val="20"/>
              </w:rPr>
            </w:pPr>
            <w:r>
              <w:rPr>
                <w:rFonts w:cstheme="minorHAnsi"/>
                <w:sz w:val="20"/>
                <w:szCs w:val="20"/>
              </w:rPr>
              <w:t>Several of the theoretical situations described above could be considered for possible use as Stress Tests.</w:t>
            </w:r>
          </w:p>
        </w:tc>
        <w:tc>
          <w:tcPr>
            <w:tcW w:w="3600" w:type="dxa"/>
          </w:tcPr>
          <w:p w:rsidR="00F35A4E" w:rsidRPr="002778D7" w:rsidRDefault="00F41B32">
            <w:pPr>
              <w:rPr>
                <w:rFonts w:cstheme="minorHAnsi"/>
                <w:sz w:val="20"/>
                <w:szCs w:val="20"/>
              </w:rPr>
            </w:pPr>
            <w:r w:rsidRPr="002778D7">
              <w:rPr>
                <w:rFonts w:cstheme="minorHAnsi"/>
                <w:sz w:val="20"/>
                <w:szCs w:val="20"/>
              </w:rPr>
              <w:t>N/A</w:t>
            </w:r>
          </w:p>
        </w:tc>
      </w:tr>
      <w:tr w:rsidR="004656A3" w:rsidRPr="002778D7" w:rsidTr="00500364">
        <w:tc>
          <w:tcPr>
            <w:tcW w:w="498" w:type="dxa"/>
            <w:vMerge/>
            <w:shd w:val="clear" w:color="auto" w:fill="FABF8F" w:themeFill="accent6" w:themeFillTint="99"/>
          </w:tcPr>
          <w:p w:rsidR="004656A3" w:rsidRPr="002778D7" w:rsidRDefault="004656A3" w:rsidP="004A2F9E">
            <w:pPr>
              <w:rPr>
                <w:rFonts w:cstheme="minorHAnsi"/>
                <w:b/>
                <w:sz w:val="20"/>
                <w:szCs w:val="20"/>
              </w:rPr>
            </w:pPr>
          </w:p>
        </w:tc>
        <w:tc>
          <w:tcPr>
            <w:tcW w:w="4470" w:type="dxa"/>
            <w:shd w:val="clear" w:color="auto" w:fill="FDE9D9" w:themeFill="accent6" w:themeFillTint="33"/>
          </w:tcPr>
          <w:p w:rsidR="004656A3" w:rsidRPr="002778D7" w:rsidRDefault="004656A3" w:rsidP="004A2F9E">
            <w:pPr>
              <w:rPr>
                <w:rFonts w:cstheme="minorHAnsi"/>
                <w:b/>
                <w:sz w:val="20"/>
                <w:szCs w:val="20"/>
              </w:rPr>
            </w:pPr>
            <w:r w:rsidRPr="002778D7">
              <w:rPr>
                <w:rFonts w:cstheme="minorHAnsi"/>
                <w:b/>
                <w:sz w:val="20"/>
                <w:szCs w:val="20"/>
              </w:rPr>
              <w:t>If yes, briefl</w:t>
            </w:r>
            <w:r w:rsidR="00F41B32" w:rsidRPr="002778D7">
              <w:rPr>
                <w:rFonts w:cstheme="minorHAnsi"/>
                <w:b/>
                <w:sz w:val="20"/>
                <w:szCs w:val="20"/>
              </w:rPr>
              <w:t>y state the “Stress Test”.</w:t>
            </w:r>
          </w:p>
        </w:tc>
        <w:tc>
          <w:tcPr>
            <w:tcW w:w="5220" w:type="dxa"/>
            <w:gridSpan w:val="2"/>
          </w:tcPr>
          <w:p w:rsidR="004656A3" w:rsidRPr="002778D7" w:rsidRDefault="00BE44F4">
            <w:pPr>
              <w:rPr>
                <w:rFonts w:cstheme="minorHAnsi"/>
                <w:sz w:val="20"/>
                <w:szCs w:val="20"/>
              </w:rPr>
            </w:pPr>
            <w:r>
              <w:rPr>
                <w:rFonts w:cstheme="minorHAnsi"/>
                <w:sz w:val="20"/>
                <w:szCs w:val="20"/>
              </w:rPr>
              <w:t>See above.</w:t>
            </w:r>
          </w:p>
        </w:tc>
        <w:tc>
          <w:tcPr>
            <w:tcW w:w="3600" w:type="dxa"/>
          </w:tcPr>
          <w:p w:rsidR="004656A3" w:rsidRPr="002778D7" w:rsidRDefault="00F41B32">
            <w:pPr>
              <w:rPr>
                <w:rFonts w:cstheme="minorHAnsi"/>
                <w:sz w:val="20"/>
                <w:szCs w:val="20"/>
              </w:rPr>
            </w:pPr>
            <w:r w:rsidRPr="002778D7">
              <w:rPr>
                <w:rFonts w:cstheme="minorHAnsi"/>
                <w:sz w:val="20"/>
                <w:szCs w:val="20"/>
              </w:rPr>
              <w:t>N/A</w:t>
            </w:r>
          </w:p>
        </w:tc>
      </w:tr>
      <w:tr w:rsidR="00F35A4E" w:rsidRPr="002778D7" w:rsidTr="00500364">
        <w:tc>
          <w:tcPr>
            <w:tcW w:w="498" w:type="dxa"/>
            <w:vMerge/>
            <w:shd w:val="clear" w:color="auto" w:fill="FABF8F" w:themeFill="accent6" w:themeFillTint="99"/>
          </w:tcPr>
          <w:p w:rsidR="00F35A4E" w:rsidRPr="002778D7" w:rsidRDefault="00F35A4E" w:rsidP="004A2F9E">
            <w:pPr>
              <w:rPr>
                <w:rFonts w:cstheme="minorHAnsi"/>
                <w:b/>
                <w:sz w:val="20"/>
                <w:szCs w:val="20"/>
              </w:rPr>
            </w:pPr>
          </w:p>
        </w:tc>
        <w:tc>
          <w:tcPr>
            <w:tcW w:w="4470" w:type="dxa"/>
            <w:shd w:val="clear" w:color="auto" w:fill="FDE9D9" w:themeFill="accent6" w:themeFillTint="33"/>
          </w:tcPr>
          <w:p w:rsidR="00F35A4E" w:rsidRPr="002778D7" w:rsidRDefault="00F35A4E" w:rsidP="004A2F9E">
            <w:pPr>
              <w:rPr>
                <w:rFonts w:cstheme="minorHAnsi"/>
                <w:b/>
                <w:sz w:val="20"/>
                <w:szCs w:val="20"/>
              </w:rPr>
            </w:pPr>
            <w:r w:rsidRPr="002778D7">
              <w:rPr>
                <w:rFonts w:cstheme="minorHAnsi"/>
                <w:b/>
                <w:sz w:val="20"/>
                <w:szCs w:val="20"/>
              </w:rPr>
              <w:t>Did respondent mention anything else relevant to the Subgroup’s work?</w:t>
            </w:r>
          </w:p>
        </w:tc>
        <w:tc>
          <w:tcPr>
            <w:tcW w:w="5220" w:type="dxa"/>
            <w:gridSpan w:val="2"/>
          </w:tcPr>
          <w:p w:rsidR="00F35A4E" w:rsidRPr="002778D7" w:rsidRDefault="00500364">
            <w:pPr>
              <w:rPr>
                <w:rFonts w:cstheme="minorHAnsi"/>
                <w:sz w:val="20"/>
                <w:szCs w:val="20"/>
              </w:rPr>
            </w:pPr>
            <w:r>
              <w:rPr>
                <w:rFonts w:cstheme="minorHAnsi"/>
                <w:sz w:val="20"/>
                <w:szCs w:val="20"/>
              </w:rPr>
              <w:t>Up to the Subgroup to decide.</w:t>
            </w:r>
          </w:p>
        </w:tc>
        <w:tc>
          <w:tcPr>
            <w:tcW w:w="3600" w:type="dxa"/>
          </w:tcPr>
          <w:p w:rsidR="00F35A4E" w:rsidRPr="002778D7" w:rsidRDefault="00F41B32">
            <w:pPr>
              <w:rPr>
                <w:rFonts w:cstheme="minorHAnsi"/>
                <w:sz w:val="20"/>
                <w:szCs w:val="20"/>
              </w:rPr>
            </w:pPr>
            <w:r w:rsidRPr="002778D7">
              <w:rPr>
                <w:rFonts w:cstheme="minorHAnsi"/>
                <w:sz w:val="20"/>
                <w:szCs w:val="20"/>
              </w:rPr>
              <w:t>N/A</w:t>
            </w:r>
          </w:p>
        </w:tc>
      </w:tr>
    </w:tbl>
    <w:p w:rsidR="003320AA" w:rsidRDefault="003320AA"/>
    <w:sectPr w:rsidR="003320AA" w:rsidSect="002778D7">
      <w:footerReference w:type="defaul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01" w:rsidRDefault="00F26501" w:rsidP="00EB6E55">
      <w:pPr>
        <w:spacing w:after="0" w:line="240" w:lineRule="auto"/>
      </w:pPr>
      <w:r>
        <w:separator/>
      </w:r>
    </w:p>
  </w:endnote>
  <w:endnote w:type="continuationSeparator" w:id="0">
    <w:p w:rsidR="00F26501" w:rsidRDefault="00F26501" w:rsidP="00EB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23049"/>
      <w:docPartObj>
        <w:docPartGallery w:val="Page Numbers (Bottom of Page)"/>
        <w:docPartUnique/>
      </w:docPartObj>
    </w:sdtPr>
    <w:sdtEndPr>
      <w:rPr>
        <w:noProof/>
      </w:rPr>
    </w:sdtEndPr>
    <w:sdtContent>
      <w:p w:rsidR="00EB6E55" w:rsidRDefault="00EB6E55">
        <w:pPr>
          <w:pStyle w:val="Footer"/>
          <w:jc w:val="center"/>
        </w:pPr>
        <w:r>
          <w:fldChar w:fldCharType="begin"/>
        </w:r>
        <w:r>
          <w:instrText xml:space="preserve"> PAGE   \* MERGEFORMAT </w:instrText>
        </w:r>
        <w:r>
          <w:fldChar w:fldCharType="separate"/>
        </w:r>
        <w:r w:rsidR="00D20B38">
          <w:rPr>
            <w:noProof/>
          </w:rPr>
          <w:t>2</w:t>
        </w:r>
        <w:r>
          <w:rPr>
            <w:noProof/>
          </w:rPr>
          <w:fldChar w:fldCharType="end"/>
        </w:r>
      </w:p>
    </w:sdtContent>
  </w:sdt>
  <w:p w:rsidR="00EB6E55" w:rsidRDefault="00EB6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01" w:rsidRDefault="00F26501" w:rsidP="00EB6E55">
      <w:pPr>
        <w:spacing w:after="0" w:line="240" w:lineRule="auto"/>
      </w:pPr>
      <w:r>
        <w:separator/>
      </w:r>
    </w:p>
  </w:footnote>
  <w:footnote w:type="continuationSeparator" w:id="0">
    <w:p w:rsidR="00F26501" w:rsidRDefault="00F26501" w:rsidP="00EB6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A0"/>
    <w:rsid w:val="0008094A"/>
    <w:rsid w:val="00080C1C"/>
    <w:rsid w:val="000B3C12"/>
    <w:rsid w:val="000C69AD"/>
    <w:rsid w:val="000E0FAE"/>
    <w:rsid w:val="00100C5F"/>
    <w:rsid w:val="0012085C"/>
    <w:rsid w:val="00120E28"/>
    <w:rsid w:val="001351D4"/>
    <w:rsid w:val="0015322A"/>
    <w:rsid w:val="0016344E"/>
    <w:rsid w:val="00190E04"/>
    <w:rsid w:val="001D5418"/>
    <w:rsid w:val="00215BF5"/>
    <w:rsid w:val="002778D7"/>
    <w:rsid w:val="00282125"/>
    <w:rsid w:val="002A0C7E"/>
    <w:rsid w:val="002B27B8"/>
    <w:rsid w:val="002C4B20"/>
    <w:rsid w:val="003320AA"/>
    <w:rsid w:val="00335109"/>
    <w:rsid w:val="003741A0"/>
    <w:rsid w:val="003A026E"/>
    <w:rsid w:val="003E76B9"/>
    <w:rsid w:val="003F04E6"/>
    <w:rsid w:val="00416DC1"/>
    <w:rsid w:val="004656A3"/>
    <w:rsid w:val="00475C53"/>
    <w:rsid w:val="00476669"/>
    <w:rsid w:val="004A2F9E"/>
    <w:rsid w:val="00500364"/>
    <w:rsid w:val="00574F32"/>
    <w:rsid w:val="005B0F5E"/>
    <w:rsid w:val="005C70B2"/>
    <w:rsid w:val="005D4609"/>
    <w:rsid w:val="006047AB"/>
    <w:rsid w:val="00680C3C"/>
    <w:rsid w:val="006C4A5F"/>
    <w:rsid w:val="006F25B8"/>
    <w:rsid w:val="006F3145"/>
    <w:rsid w:val="007015F8"/>
    <w:rsid w:val="00717E1B"/>
    <w:rsid w:val="00812C05"/>
    <w:rsid w:val="00840475"/>
    <w:rsid w:val="00897D9D"/>
    <w:rsid w:val="008E7021"/>
    <w:rsid w:val="00947EF3"/>
    <w:rsid w:val="009628D0"/>
    <w:rsid w:val="009A789D"/>
    <w:rsid w:val="009B6455"/>
    <w:rsid w:val="00A14B72"/>
    <w:rsid w:val="00A21F50"/>
    <w:rsid w:val="00A87645"/>
    <w:rsid w:val="00AA1C9D"/>
    <w:rsid w:val="00B46C6B"/>
    <w:rsid w:val="00BE44F4"/>
    <w:rsid w:val="00C44BE0"/>
    <w:rsid w:val="00CD06F2"/>
    <w:rsid w:val="00D067B5"/>
    <w:rsid w:val="00D1637E"/>
    <w:rsid w:val="00D20B38"/>
    <w:rsid w:val="00D5652A"/>
    <w:rsid w:val="00D72B69"/>
    <w:rsid w:val="00D730F6"/>
    <w:rsid w:val="00DE01C1"/>
    <w:rsid w:val="00DF45CC"/>
    <w:rsid w:val="00E52BB8"/>
    <w:rsid w:val="00E65201"/>
    <w:rsid w:val="00EB6E55"/>
    <w:rsid w:val="00F07635"/>
    <w:rsid w:val="00F14DAE"/>
    <w:rsid w:val="00F26501"/>
    <w:rsid w:val="00F35A4E"/>
    <w:rsid w:val="00F4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E55"/>
  </w:style>
  <w:style w:type="paragraph" w:styleId="Footer">
    <w:name w:val="footer"/>
    <w:basedOn w:val="Normal"/>
    <w:link w:val="FooterChar"/>
    <w:uiPriority w:val="99"/>
    <w:unhideWhenUsed/>
    <w:rsid w:val="00EB6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E55"/>
  </w:style>
  <w:style w:type="character" w:styleId="Hyperlink">
    <w:name w:val="Hyperlink"/>
    <w:basedOn w:val="DefaultParagraphFont"/>
    <w:uiPriority w:val="99"/>
    <w:unhideWhenUsed/>
    <w:rsid w:val="006F25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E55"/>
  </w:style>
  <w:style w:type="paragraph" w:styleId="Footer">
    <w:name w:val="footer"/>
    <w:basedOn w:val="Normal"/>
    <w:link w:val="FooterChar"/>
    <w:uiPriority w:val="99"/>
    <w:unhideWhenUsed/>
    <w:rsid w:val="00EB6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E55"/>
  </w:style>
  <w:style w:type="character" w:styleId="Hyperlink">
    <w:name w:val="Hyperlink"/>
    <w:basedOn w:val="DefaultParagraphFont"/>
    <w:uiPriority w:val="99"/>
    <w:unhideWhenUsed/>
    <w:rsid w:val="006F2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c.org/en/document/statutes-international-committee-red-cross-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nso.icann.org/en/issues/igo-ingo-crp-access-initial-%2019jan17-en.pdf"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dmin.ch/opc/fr/classified-compilation/20002706/index.html" TargetMode="External"/><Relationship Id="rId5" Type="http://schemas.openxmlformats.org/officeDocument/2006/relationships/footnotes" Target="footnotes.xml"/><Relationship Id="rId10" Type="http://schemas.openxmlformats.org/officeDocument/2006/relationships/hyperlink" Target="https://www.admin.ch/opc/fr/classified-compilation/19930062/index.html" TargetMode="External"/><Relationship Id="rId4" Type="http://schemas.openxmlformats.org/officeDocument/2006/relationships/webSettings" Target="webSettings.xml"/><Relationship Id="rId9" Type="http://schemas.openxmlformats.org/officeDocument/2006/relationships/hyperlink" Target="http://www.ifrc.org/Global/Governance/Statutory/2015/Constitution-2015_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8</cp:revision>
  <cp:lastPrinted>2017-05-29T02:48:00Z</cp:lastPrinted>
  <dcterms:created xsi:type="dcterms:W3CDTF">2017-05-29T19:21:00Z</dcterms:created>
  <dcterms:modified xsi:type="dcterms:W3CDTF">2017-05-30T07:35:00Z</dcterms:modified>
</cp:coreProperties>
</file>