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Helvetica Neue" w:cs="Helvetica Neue" w:eastAsia="Helvetica Neue" w:hAnsi="Helvetica Neue"/>
          <w:b w:val="0"/>
          <w:color w:val="333333"/>
          <w:sz w:val="20"/>
          <w:szCs w:val="20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0"/>
          <w:szCs w:val="20"/>
          <w:vertAlign w:val="baseline"/>
          <w:rtl w:val="0"/>
        </w:rPr>
        <w:t xml:space="preserve">ICANN Litigation Documents</w:t>
        <w:tab/>
        <w:tab/>
        <w:tab/>
        <w:tab/>
        <w:tab/>
        <w:tab/>
        <w:tab/>
        <w:tab/>
        <w:tab/>
        <w:tab/>
        <w:tab/>
        <w:tab/>
        <w:tab/>
        <w:t xml:space="preserve">22 May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rPr>
          <w:rFonts w:ascii="Arial" w:cs="Arial" w:eastAsia="Arial" w:hAnsi="Arial"/>
          <w:color w:val="333333"/>
          <w:vertAlign w:val="baseline"/>
        </w:rPr>
      </w:pPr>
      <w:hyperlink r:id="rId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vertAlign w:val="baseline"/>
            <w:rtl w:val="0"/>
          </w:rPr>
          <w:t xml:space="preserve">This page</w:t>
        </w:r>
      </w:hyperlink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vertAlign w:val="baseline"/>
          <w:rtl w:val="0"/>
        </w:rPr>
        <w:t xml:space="preserve"> collects documents from lawsuits and similar legal proceedings related to ICANN. They are arranged by initial filing date in descending order.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31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68"/>
        <w:gridCol w:w="2025"/>
        <w:gridCol w:w="2565"/>
        <w:tblGridChange w:id="0">
          <w:tblGrid>
            <w:gridCol w:w="8568"/>
            <w:gridCol w:w="2025"/>
            <w:gridCol w:w="2565"/>
          </w:tblGrid>
        </w:tblGridChange>
      </w:tblGrid>
      <w:tr>
        <w:tc>
          <w:tcPr>
            <w:shd w:fill="b2a1c7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Case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2a1c7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Reviewer(s)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2a1c7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Review Status &amp;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6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State of Arizona; State of Texas; State of Oklahoma; and State of Nevada v. National Telecommunications and Information Administration; United States of America Department of Commerce; Penny Pritzker; and Lawrence E. Strickling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Southern District of Texas Galveston Division)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Mathieu Weill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7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Ruby Glen, LLC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Vidushi Marda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Analyzing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8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DotConnectAfrica Trust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t xml:space="preserve"> (Appellate Court Proceeding)</w:t>
              <w:br w:type="textWrapping"/>
              <w:t xml:space="preserve">(Appeal in United States Court of Appeals for the Ninth Circuit)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David McAuley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9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DotConnectAfrica Trust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t xml:space="preserve"> (Trial Court Proceeding)</w:t>
              <w:br w:type="textWrapping"/>
              <w:t xml:space="preserve">(lawsuit in United States District Court for the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David McAuley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10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Commercial Connect, LLC v. ICANN and the International Centre for Dispute Resolution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the United States District Court, Western District of Kentucky, Louisville Division)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Greg Shatan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Analyzing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11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Arbitration: OpenTLD B.V. v. ICANN</w:t>
              </w:r>
            </w:hyperlink>
            <w:hyperlink r:id="rId12">
              <w:r w:rsidDel="00000000" w:rsidR="00000000" w:rsidRPr="00000000">
                <w:rPr>
                  <w:rtl w:val="0"/>
                </w:rPr>
              </w:r>
            </w:hyperlink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hyperlink r:id="rId13">
              <w:r w:rsidDel="00000000" w:rsidR="00000000" w:rsidRPr="00000000">
                <w:rPr>
                  <w:rFonts w:ascii="Helvetica Neue" w:cs="Helvetica Neue" w:eastAsia="Helvetica Neue" w:hAnsi="Helvetica Neue"/>
                  <w:color w:val="333333"/>
                  <w:sz w:val="20"/>
                  <w:szCs w:val="20"/>
                  <w:vertAlign w:val="baseline"/>
                  <w:rtl w:val="0"/>
                </w:rPr>
                <w:t xml:space="preserve">doaa </w:t>
              </w:r>
            </w:hyperlink>
            <w:hyperlink r:id="rId14">
              <w:r w:rsidDel="00000000" w:rsidR="00000000" w:rsidRPr="00000000">
                <w:rPr>
                  <w:rFonts w:ascii="Helvetica Neue" w:cs="Helvetica Neue" w:eastAsia="Helvetica Neue" w:hAnsi="Helvetica Neue"/>
                  <w:color w:val="333333"/>
                  <w:sz w:val="20"/>
                  <w:szCs w:val="20"/>
                  <w:rtl w:val="0"/>
                </w:rPr>
                <w:t xml:space="preserve">shendy</w:t>
              </w:r>
            </w:hyperlink>
            <w:hyperlink r:id="rId15">
              <w:r w:rsidDel="00000000" w:rsidR="00000000" w:rsidRPr="00000000">
                <w:rPr>
                  <w:rtl w:val="0"/>
                </w:rPr>
              </w:r>
            </w:hyperlink>
          </w:p>
        </w:tc>
        <w:tc>
          <w:tcPr>
            <w:shd w:fill="fff2cc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hyperlink r:id="rId16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color w:val="333333"/>
                  <w:sz w:val="20"/>
                  <w:szCs w:val="20"/>
                  <w:vertAlign w:val="baseline"/>
                  <w:rtl w:val="0"/>
                </w:rPr>
                <w:t xml:space="preserve">A</w:t>
              </w:r>
            </w:hyperlink>
            <w:hyperlink r:id="rId17">
              <w:r w:rsidDel="00000000" w:rsidR="00000000" w:rsidRPr="00000000">
                <w:rPr>
                  <w:rFonts w:ascii="Helvetica Neue" w:cs="Helvetica Neue" w:eastAsia="Helvetica Neue" w:hAnsi="Helvetica Neue"/>
                  <w:color w:val="333333"/>
                  <w:sz w:val="20"/>
                  <w:szCs w:val="20"/>
                  <w:rtl w:val="0"/>
                </w:rPr>
                <w:t xml:space="preserve">nalyzing</w:t>
              </w:r>
            </w:hyperlink>
            <w:hyperlink r:id="rId18">
              <w:r w:rsidDel="00000000" w:rsidR="00000000" w:rsidRPr="00000000">
                <w:rPr>
                  <w:rtl w:val="0"/>
                </w:rPr>
              </w:r>
            </w:hyperlink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19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Ben Haim v. Islamic Republic of Iran; Calderon-Cardona v. Democratic People's Republic of Korea; Rubin v. Islamic Republic of Iran; Stern v. Islamic Republic of Iran; Weinstein v. Islamic Republic of Iran; Wyatt v. Syrian Arab Republic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(in United States District Court for the District of Columbia)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Mathieu Weill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0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Image Online Design, Inc. v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Greg Shatan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1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Name.Space, Inc. v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David McAuley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2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Schreiber v. Dunabin, et al.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the United States District Court for the Eastern District of Virginia, appeal to the United States Court of Appeals for the Fourth Circuit)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Raphael Beauregard-Lacroix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review sent to list on 21 May; to be reviewed on 30 May call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3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Corporate Concepts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the Superior Court of the State of California, County of San Francisco)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Tatiana Tropina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Analysing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4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Netsphere, Inc, et al v. Baron and Ondova Limited Company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the United States District Court, Northern District of Texas)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5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Manwin Licensing International v. ICM Registry, et al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the United States District Court,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6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Arbitration: Employ Media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(arbitration before the ICC International Court of Arbitration)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Raphael Beauregard-Lacroix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7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Zuccarini v. Network Solutions, LLC, et al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Southern District of Florida)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8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Subramaniam v. ICANN, et al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the Circuit Court for County of Washington, Oregon)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9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Yeager v. Go Daddy Group, Inc., et al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Common Pleas Court for Franklin County, Ohio)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David McAuley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0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Moore et al. v. ICANN et al.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Court, Northern District of Alabama)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Tatiana Tropina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Analysing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1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ICANN v. RegisterFly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Court,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2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Martinez v. RegisterFly et al.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the United States District Court, Middle District of North Carolina)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3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C. ITOH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Superior Court of the State of California, County of Los Angeles)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Thiago Jardim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Analysing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4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WADND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Northern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5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CFIT, Inc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Northern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6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Registersite.com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7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Verisign, Inc.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Mathieu Weill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8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SnapNames.com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Superior Court of the State of California, County of Los Angeles)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9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Syncalot, Inc.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Northern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0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McNeil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Northern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1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Pool.com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Superior Court of Justice, Ontario, Canada)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Mathieu Weill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2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Dotster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3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Auerbach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Superior Court for the County of Los Angeles,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Avri Doria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4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Bord v. Banco de Chile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Eastern District of Virginia)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Raphael Beauregard-Lacroix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review sent to list on 21 May; to be reviewed on 30 May call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5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Smiley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Superior Court for the County of Los Angeles,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6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Economic Solutions, Inc.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Eastern District of Missouri)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David McAuley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Analyzing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7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Register.com v. Verio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Southern District of New York, de-accreditation request, and other proceedings)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308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815"/>
        <w:gridCol w:w="1755"/>
        <w:gridCol w:w="1530"/>
        <w:gridCol w:w="1425"/>
        <w:gridCol w:w="1545"/>
        <w:gridCol w:w="1545"/>
        <w:gridCol w:w="1545"/>
        <w:tblGridChange w:id="0">
          <w:tblGrid>
            <w:gridCol w:w="1920"/>
            <w:gridCol w:w="1815"/>
            <w:gridCol w:w="1755"/>
            <w:gridCol w:w="1530"/>
            <w:gridCol w:w="1425"/>
            <w:gridCol w:w="1545"/>
            <w:gridCol w:w="1545"/>
            <w:gridCol w:w="1545"/>
          </w:tblGrid>
        </w:tblGridChange>
      </w:tblGrid>
      <w:tr>
        <w:tc>
          <w:tcPr>
            <w:shd w:fill="b2a1c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35 Total Cases</w:t>
            </w:r>
          </w:p>
        </w:tc>
        <w:tc>
          <w:tcPr>
            <w:shd w:fill="b2a1c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  <w:rtl w:val="0"/>
              </w:rPr>
              <w:t xml:space="preserve">22 March 2017</w:t>
            </w:r>
          </w:p>
        </w:tc>
        <w:tc>
          <w:tcPr>
            <w:shd w:fill="b2a1c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  <w:rtl w:val="0"/>
              </w:rPr>
              <w:t xml:space="preserve">24 April 2017</w:t>
            </w:r>
          </w:p>
        </w:tc>
        <w:tc>
          <w:tcPr>
            <w:shd w:fill="b2a1c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  <w:rtl w:val="0"/>
              </w:rPr>
              <w:t xml:space="preserve">1 May 2017</w:t>
            </w:r>
          </w:p>
        </w:tc>
        <w:tc>
          <w:tcPr>
            <w:shd w:fill="b2a1c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  <w:rtl w:val="0"/>
              </w:rPr>
              <w:t xml:space="preserve">8 May 2017</w:t>
            </w:r>
          </w:p>
        </w:tc>
        <w:tc>
          <w:tcPr>
            <w:shd w:fill="b2a1c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  <w:rtl w:val="0"/>
              </w:rPr>
              <w:t xml:space="preserve">15 May 2017</w:t>
            </w:r>
          </w:p>
        </w:tc>
        <w:tc>
          <w:tcPr>
            <w:shd w:fill="b2a1c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  <w:rtl w:val="0"/>
              </w:rPr>
              <w:t xml:space="preserve">22 May 2017</w:t>
            </w:r>
          </w:p>
        </w:tc>
        <w:tc>
          <w:tcPr>
            <w:shd w:fill="b2a1c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  <w:rtl w:val="0"/>
              </w:rPr>
              <w:t xml:space="preserve">30 May 2017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Unclaimed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Analyzing</w:t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Draft for comment</w:t>
            </w:r>
          </w:p>
        </w:tc>
        <w:tc>
          <w:tcPr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1260" w:right="117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/>
      <w:spacing w:after="24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/>
      <w:spacing w:after="24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pBdr/>
      <w:spacing w:after="24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pBdr/>
      <w:spacing w:after="24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/>
      <w:spacing w:after="24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24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icann.org/en/news/litigation/mcneil-v-icann" TargetMode="External"/><Relationship Id="rId20" Type="http://schemas.openxmlformats.org/officeDocument/2006/relationships/hyperlink" Target="https://www.icann.org/en/news/litigation/iod-v-icann" TargetMode="External"/><Relationship Id="rId42" Type="http://schemas.openxmlformats.org/officeDocument/2006/relationships/hyperlink" Target="https://www.icann.org/en/news/litigation/dotster-v-icann" TargetMode="External"/><Relationship Id="rId41" Type="http://schemas.openxmlformats.org/officeDocument/2006/relationships/hyperlink" Target="https://www.icann.org/en/news/litigation/pool-v-icann" TargetMode="External"/><Relationship Id="rId22" Type="http://schemas.openxmlformats.org/officeDocument/2006/relationships/hyperlink" Target="https://www.icann.org/en/news/litigation/schreiber-v-dunabin" TargetMode="External"/><Relationship Id="rId44" Type="http://schemas.openxmlformats.org/officeDocument/2006/relationships/hyperlink" Target="https://www.icann.org/en/news/litigation/bord-v-banco-de-chile" TargetMode="External"/><Relationship Id="rId21" Type="http://schemas.openxmlformats.org/officeDocument/2006/relationships/hyperlink" Target="https://www.icann.org/en/news/litigation/namespace-v-icann" TargetMode="External"/><Relationship Id="rId43" Type="http://schemas.openxmlformats.org/officeDocument/2006/relationships/hyperlink" Target="https://www.icann.org/en/news/litigation/auerbach-v-icann" TargetMode="External"/><Relationship Id="rId24" Type="http://schemas.openxmlformats.org/officeDocument/2006/relationships/hyperlink" Target="https://www.icann.org/en/news/litigation/netsphere-v-baron" TargetMode="External"/><Relationship Id="rId46" Type="http://schemas.openxmlformats.org/officeDocument/2006/relationships/hyperlink" Target="https://www.icann.org/en/news/litigation/esi-v-icann" TargetMode="External"/><Relationship Id="rId23" Type="http://schemas.openxmlformats.org/officeDocument/2006/relationships/hyperlink" Target="https://www.icann.org/en/news/litigation/corp-concepts-v-icann" TargetMode="External"/><Relationship Id="rId45" Type="http://schemas.openxmlformats.org/officeDocument/2006/relationships/hyperlink" Target="https://www.icann.org/en/news/litigation/smiley-v-icann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www.icann.org/resources/pages/dca-v-icann-2016-01-26-en" TargetMode="External"/><Relationship Id="rId26" Type="http://schemas.openxmlformats.org/officeDocument/2006/relationships/hyperlink" Target="https://www.icann.org/en/news/litigation/employ-media-v-icann" TargetMode="External"/><Relationship Id="rId25" Type="http://schemas.openxmlformats.org/officeDocument/2006/relationships/hyperlink" Target="https://www.icann.org/en/news/litigation/manwin-v-icm" TargetMode="External"/><Relationship Id="rId47" Type="http://schemas.openxmlformats.org/officeDocument/2006/relationships/hyperlink" Target="https://www.icann.org/en/news/litigation/register-v-verio" TargetMode="External"/><Relationship Id="rId28" Type="http://schemas.openxmlformats.org/officeDocument/2006/relationships/hyperlink" Target="https://www.icann.org/en/news/litigation/subramaniam-v-icann" TargetMode="External"/><Relationship Id="rId27" Type="http://schemas.openxmlformats.org/officeDocument/2006/relationships/hyperlink" Target="https://www.icann.org/en/news/litigation/zuccarini-v-network-solutions" TargetMode="External"/><Relationship Id="rId5" Type="http://schemas.openxmlformats.org/officeDocument/2006/relationships/hyperlink" Target="https://www.icann.org/resources/pages/governance/litigation-en" TargetMode="External"/><Relationship Id="rId6" Type="http://schemas.openxmlformats.org/officeDocument/2006/relationships/hyperlink" Target="https://www.icann.org/resources/pages/litigation-states-various-v-ntia-doc-pritzker-strickling-2016-09-30-en" TargetMode="External"/><Relationship Id="rId29" Type="http://schemas.openxmlformats.org/officeDocument/2006/relationships/hyperlink" Target="https://www.icann.org/en/news/litigation/yeager-v-icann" TargetMode="External"/><Relationship Id="rId7" Type="http://schemas.openxmlformats.org/officeDocument/2006/relationships/hyperlink" Target="https://www.icann.org/resources/pages/ruby-glen-v-icann-2016-07-23-en" TargetMode="External"/><Relationship Id="rId8" Type="http://schemas.openxmlformats.org/officeDocument/2006/relationships/hyperlink" Target="https://www.icann.org/resources/pages/litigation-dca-v-icann-appellate-2016-09-13-en" TargetMode="External"/><Relationship Id="rId31" Type="http://schemas.openxmlformats.org/officeDocument/2006/relationships/hyperlink" Target="https://www.icann.org/en/news/litigation/icann-v-registerfly" TargetMode="External"/><Relationship Id="rId30" Type="http://schemas.openxmlformats.org/officeDocument/2006/relationships/hyperlink" Target="https://www.icann.org/en/news/litigation/moore-v-icann" TargetMode="External"/><Relationship Id="rId11" Type="http://schemas.openxmlformats.org/officeDocument/2006/relationships/hyperlink" Target="https://www.icann.org/resources/pages/arbitration-v-icann-2015-07-22-en" TargetMode="External"/><Relationship Id="rId33" Type="http://schemas.openxmlformats.org/officeDocument/2006/relationships/hyperlink" Target="https://www.icann.org/en/news/litigation/itoh-v-icann" TargetMode="External"/><Relationship Id="rId10" Type="http://schemas.openxmlformats.org/officeDocument/2006/relationships/hyperlink" Target="https://www.icann.org/resources/pages/cc-v-icann-2016-01-26-en" TargetMode="External"/><Relationship Id="rId32" Type="http://schemas.openxmlformats.org/officeDocument/2006/relationships/hyperlink" Target="https://www.icann.org/en/news/litigation/martinez-v-registerfly" TargetMode="External"/><Relationship Id="rId13" Type="http://schemas.openxmlformats.org/officeDocument/2006/relationships/hyperlink" Target="https://www.icann.org/resources/pages/arbitration-v-icann-2015-07-22-en" TargetMode="External"/><Relationship Id="rId35" Type="http://schemas.openxmlformats.org/officeDocument/2006/relationships/hyperlink" Target="https://www.icann.org/en/news/litigation/cfit-v-icann" TargetMode="External"/><Relationship Id="rId12" Type="http://schemas.openxmlformats.org/officeDocument/2006/relationships/hyperlink" Target="https://www.icann.org/resources/pages/arbitration-v-icann-2015-07-22-en" TargetMode="External"/><Relationship Id="rId34" Type="http://schemas.openxmlformats.org/officeDocument/2006/relationships/hyperlink" Target="https://www.icann.org/en/news/litigation/wadnd-v-icann" TargetMode="External"/><Relationship Id="rId15" Type="http://schemas.openxmlformats.org/officeDocument/2006/relationships/hyperlink" Target="https://www.icann.org/resources/pages/arbitration-v-icann-2015-07-22-en" TargetMode="External"/><Relationship Id="rId37" Type="http://schemas.openxmlformats.org/officeDocument/2006/relationships/hyperlink" Target="https://www.icann.org/en/news/litigation/verisign-v-icann" TargetMode="External"/><Relationship Id="rId14" Type="http://schemas.openxmlformats.org/officeDocument/2006/relationships/hyperlink" Target="https://www.icann.org/resources/pages/arbitration-v-icann-2015-07-22-en" TargetMode="External"/><Relationship Id="rId36" Type="http://schemas.openxmlformats.org/officeDocument/2006/relationships/hyperlink" Target="https://www.icann.org/en/news/litigation/registersite-v-icann" TargetMode="External"/><Relationship Id="rId17" Type="http://schemas.openxmlformats.org/officeDocument/2006/relationships/hyperlink" Target="https://www.icann.org/resources/pages/arbitration-v-icann-2015-07-22-en" TargetMode="External"/><Relationship Id="rId39" Type="http://schemas.openxmlformats.org/officeDocument/2006/relationships/hyperlink" Target="https://www.icann.org/en/news/litigation/syncalot-v-icann" TargetMode="External"/><Relationship Id="rId16" Type="http://schemas.openxmlformats.org/officeDocument/2006/relationships/hyperlink" Target="https://www.icann.org/resources/pages/arbitration-v-icann-2015-07-22-en" TargetMode="External"/><Relationship Id="rId38" Type="http://schemas.openxmlformats.org/officeDocument/2006/relationships/hyperlink" Target="https://www.icann.org/en/news/litigation/snapnames-v-icann" TargetMode="External"/><Relationship Id="rId19" Type="http://schemas.openxmlformats.org/officeDocument/2006/relationships/hyperlink" Target="https://www.icann.org/resources/pages/icann-various-2014-07-30-en" TargetMode="External"/><Relationship Id="rId18" Type="http://schemas.openxmlformats.org/officeDocument/2006/relationships/hyperlink" Target="https://www.icann.org/resources/pages/arbitration-v-icann-2015-07-22-e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