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76" w:rsidRDefault="004D0C92">
      <w:pPr>
        <w:spacing w:line="240" w:lineRule="auto"/>
        <w:jc w:val="center"/>
        <w:rPr>
          <w:rFonts w:ascii="Calibri" w:eastAsia="Calibri" w:hAnsi="Calibri" w:cs="Calibri"/>
          <w:b/>
        </w:rPr>
      </w:pPr>
      <w:bookmarkStart w:id="0" w:name="_GoBack"/>
      <w:bookmarkEnd w:id="0"/>
      <w:r>
        <w:rPr>
          <w:rFonts w:ascii="Calibri" w:eastAsia="Calibri" w:hAnsi="Calibri" w:cs="Calibri"/>
          <w:b/>
        </w:rPr>
        <w:t>OFAC AND OTHER SANCTIONS: QUESTIONS FOR ICANN LEGAL</w:t>
      </w:r>
    </w:p>
    <w:p w:rsidR="00FE0F76" w:rsidRDefault="00FE0F76">
      <w:pPr>
        <w:spacing w:line="240" w:lineRule="auto"/>
        <w:jc w:val="center"/>
        <w:rPr>
          <w:rFonts w:ascii="Calibri" w:eastAsia="Calibri" w:hAnsi="Calibri" w:cs="Calibri"/>
          <w:b/>
        </w:rPr>
      </w:pPr>
    </w:p>
    <w:p w:rsidR="00FE0F76" w:rsidRDefault="004D0C92">
      <w:pPr>
        <w:numPr>
          <w:ilvl w:val="0"/>
          <w:numId w:val="1"/>
        </w:numPr>
        <w:spacing w:after="200" w:line="240" w:lineRule="auto"/>
        <w:rPr>
          <w:rFonts w:ascii="Calibri" w:eastAsia="Calibri" w:hAnsi="Calibri" w:cs="Calibri"/>
          <w:color w:val="222222"/>
        </w:rPr>
      </w:pPr>
      <w:r>
        <w:rPr>
          <w:rFonts w:ascii="Calibri" w:eastAsia="Calibri" w:hAnsi="Calibri" w:cs="Calibri"/>
          <w:color w:val="222222"/>
          <w:highlight w:val="white"/>
        </w:rPr>
        <w:t>When, how and who raised with ICANN the applicability of OFAC terms with respect to gTLDs and ccTLDs?</w:t>
      </w:r>
    </w:p>
    <w:p w:rsidR="00FE0F76" w:rsidRDefault="004D0C92">
      <w:pPr>
        <w:numPr>
          <w:ilvl w:val="1"/>
          <w:numId w:val="1"/>
        </w:numPr>
        <w:spacing w:after="200" w:line="240" w:lineRule="auto"/>
        <w:rPr>
          <w:rFonts w:ascii="Calibri" w:eastAsia="Calibri" w:hAnsi="Calibri" w:cs="Calibri"/>
        </w:rPr>
      </w:pPr>
      <w:r>
        <w:rPr>
          <w:rFonts w:ascii="Calibri" w:eastAsia="Calibri" w:hAnsi="Calibri" w:cs="Calibri"/>
          <w:color w:val="222222"/>
          <w:highlight w:val="white"/>
        </w:rPr>
        <w:t>Did ICANN react on that issue indicating the consequence of eventual application of OFAC terms to DNS, including ccTLDs?</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Since ICANN’s inception</w:t>
      </w:r>
      <w:r>
        <w:rPr>
          <w:rFonts w:ascii="Calibri" w:eastAsia="Calibri" w:hAnsi="Calibri" w:cs="Calibri"/>
          <w:color w:val="222222"/>
          <w:highlight w:val="white"/>
        </w:rPr>
        <w:t>, have ICANN's operations been impacted by OFAC?  If so, how?</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Since ICANN’s inception, is ICANN aware of OFAC i</w:t>
      </w:r>
      <w:r>
        <w:rPr>
          <w:rFonts w:ascii="Calibri" w:eastAsia="Calibri" w:hAnsi="Calibri" w:cs="Calibri"/>
          <w:color w:val="222222"/>
          <w:highlight w:val="white"/>
        </w:rPr>
        <w:t>mpacting the operation of any of the related DNS entities -- registrars, registries, etc.?  If so, how</w:t>
      </w:r>
      <w:r>
        <w:rPr>
          <w:rFonts w:ascii="Calibri" w:eastAsia="Calibri" w:hAnsi="Calibri" w:cs="Calibri"/>
          <w:color w:val="222222"/>
          <w:highlight w:val="white"/>
        </w:rPr>
        <w:t>?</w:t>
      </w:r>
    </w:p>
    <w:p w:rsidR="00FE0F76" w:rsidRDefault="004D0C92">
      <w:pPr>
        <w:numPr>
          <w:ilvl w:val="0"/>
          <w:numId w:val="1"/>
        </w:numPr>
        <w:spacing w:after="200" w:line="240" w:lineRule="auto"/>
        <w:rPr>
          <w:rFonts w:ascii="Calibri" w:eastAsia="Calibri" w:hAnsi="Calibri" w:cs="Calibri"/>
          <w:color w:val="222222"/>
        </w:rPr>
      </w:pPr>
      <w:r>
        <w:rPr>
          <w:rFonts w:ascii="Calibri" w:eastAsia="Calibri" w:hAnsi="Calibri" w:cs="Calibri"/>
          <w:color w:val="222222"/>
          <w:highlight w:val="white"/>
        </w:rPr>
        <w:t>What is the relation between gTLDs and ccTLDs on the one hand, and OFAC on the other hand?</w:t>
      </w:r>
    </w:p>
    <w:p w:rsidR="00FE0F76" w:rsidRDefault="004D0C92">
      <w:pPr>
        <w:numPr>
          <w:ilvl w:val="0"/>
          <w:numId w:val="1"/>
        </w:numPr>
        <w:spacing w:after="200" w:line="240" w:lineRule="auto"/>
        <w:rPr>
          <w:rFonts w:ascii="Calibri" w:eastAsia="Calibri" w:hAnsi="Calibri" w:cs="Calibri"/>
        </w:rPr>
      </w:pPr>
      <w:r>
        <w:rPr>
          <w:rFonts w:ascii="Calibri" w:eastAsia="Calibri" w:hAnsi="Calibri" w:cs="Calibri"/>
          <w:color w:val="222222"/>
          <w:highlight w:val="white"/>
        </w:rPr>
        <w:t xml:space="preserve">How could OFAC terms and conditions impact gTLDs and ccTLDs? </w:t>
      </w:r>
    </w:p>
    <w:p w:rsidR="00FE0F76" w:rsidRDefault="004D0C92">
      <w:pPr>
        <w:numPr>
          <w:ilvl w:val="0"/>
          <w:numId w:val="1"/>
        </w:numPr>
        <w:spacing w:after="200" w:line="240" w:lineRule="auto"/>
        <w:rPr>
          <w:rFonts w:ascii="Calibri" w:eastAsia="Calibri" w:hAnsi="Calibri" w:cs="Calibri"/>
          <w:color w:val="222222"/>
        </w:rPr>
      </w:pPr>
      <w:r>
        <w:rPr>
          <w:rFonts w:ascii="Calibri" w:eastAsia="Calibri" w:hAnsi="Calibri" w:cs="Calibri"/>
          <w:color w:val="222222"/>
          <w:highlight w:val="white"/>
        </w:rPr>
        <w:t>Could OFAC terms prevent a Registry and/or a Registrar, directly or indirectly, from entering into discussions or agreements with those countries under OFAC sanction requesting gTLD?</w:t>
      </w:r>
    </w:p>
    <w:p w:rsidR="00FE0F76" w:rsidRDefault="004D0C92">
      <w:pPr>
        <w:numPr>
          <w:ilvl w:val="0"/>
          <w:numId w:val="1"/>
        </w:numPr>
        <w:spacing w:after="200" w:line="240" w:lineRule="auto"/>
        <w:rPr>
          <w:rFonts w:ascii="Calibri" w:eastAsia="Calibri" w:hAnsi="Calibri" w:cs="Calibri"/>
        </w:rPr>
      </w:pPr>
      <w:r>
        <w:rPr>
          <w:rFonts w:ascii="Calibri" w:eastAsia="Calibri" w:hAnsi="Calibri" w:cs="Calibri"/>
          <w:color w:val="222222"/>
          <w:highlight w:val="white"/>
        </w:rPr>
        <w:t>Was the eventual applicability of any given OFAC terms to gTLDs and ccTLD</w:t>
      </w:r>
      <w:r>
        <w:rPr>
          <w:rFonts w:ascii="Calibri" w:eastAsia="Calibri" w:hAnsi="Calibri" w:cs="Calibri"/>
          <w:color w:val="222222"/>
          <w:highlight w:val="white"/>
        </w:rPr>
        <w:t>s included in the agreements with Registries and/or Registrars?</w:t>
      </w:r>
    </w:p>
    <w:p w:rsidR="00FE0F76" w:rsidRDefault="004D0C92">
      <w:pPr>
        <w:numPr>
          <w:ilvl w:val="1"/>
          <w:numId w:val="1"/>
        </w:numPr>
        <w:spacing w:after="200" w:line="240" w:lineRule="auto"/>
        <w:rPr>
          <w:rFonts w:ascii="Calibri" w:eastAsia="Calibri" w:hAnsi="Calibri" w:cs="Calibri"/>
        </w:rPr>
      </w:pPr>
      <w:r>
        <w:rPr>
          <w:rFonts w:ascii="Calibri" w:eastAsia="Calibri" w:hAnsi="Calibri" w:cs="Calibri"/>
          <w:color w:val="222222"/>
          <w:highlight w:val="white"/>
        </w:rPr>
        <w:t>if yes, based on what justification and which ICANN Resolutions?</w:t>
      </w:r>
    </w:p>
    <w:p w:rsidR="00FE0F76" w:rsidRDefault="004D0C92">
      <w:pPr>
        <w:numPr>
          <w:ilvl w:val="0"/>
          <w:numId w:val="1"/>
        </w:numPr>
        <w:spacing w:after="200" w:line="240" w:lineRule="auto"/>
        <w:rPr>
          <w:rFonts w:ascii="Calibri" w:eastAsia="Calibri" w:hAnsi="Calibri" w:cs="Calibri"/>
          <w:color w:val="222222"/>
        </w:rPr>
      </w:pPr>
      <w:r>
        <w:rPr>
          <w:rFonts w:ascii="Calibri" w:eastAsia="Calibri" w:hAnsi="Calibri" w:cs="Calibri"/>
          <w:highlight w:val="white"/>
        </w:rPr>
        <w:t xml:space="preserve">In application of given terms of OFAC are there differences between US and non-US Registries and </w:t>
      </w:r>
      <w:r>
        <w:rPr>
          <w:rFonts w:ascii="Calibri" w:eastAsia="Calibri" w:hAnsi="Calibri" w:cs="Calibri"/>
          <w:color w:val="222222"/>
          <w:highlight w:val="white"/>
        </w:rPr>
        <w:t>Registrars?</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 xml:space="preserve">How does ICANN go </w:t>
      </w:r>
      <w:r>
        <w:rPr>
          <w:rFonts w:ascii="Calibri" w:eastAsia="Calibri" w:hAnsi="Calibri" w:cs="Calibri"/>
          <w:color w:val="222222"/>
          <w:highlight w:val="white"/>
        </w:rPr>
        <w:t>about complying with OFAC requirements?</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Why doesn’t ICANN apply for a general OFAC license that would apply to all registries and registrars?</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 xml:space="preserve">What is the precedential value of the </w:t>
      </w:r>
      <w:r>
        <w:rPr>
          <w:rFonts w:ascii="Calibri" w:eastAsia="Calibri" w:hAnsi="Calibri" w:cs="Calibri"/>
          <w:color w:val="222222"/>
          <w:highlight w:val="white"/>
          <w:u w:val="single"/>
        </w:rPr>
        <w:t>Weinstein v Islamic Republic of Iran</w:t>
      </w:r>
      <w:r>
        <w:rPr>
          <w:rFonts w:ascii="Calibri" w:eastAsia="Calibri" w:hAnsi="Calibri" w:cs="Calibri"/>
          <w:color w:val="222222"/>
          <w:highlight w:val="white"/>
        </w:rPr>
        <w:t xml:space="preserve"> appeals court decision?</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Is ICANN impact</w:t>
      </w:r>
      <w:r>
        <w:rPr>
          <w:rFonts w:ascii="Calibri" w:eastAsia="Calibri" w:hAnsi="Calibri" w:cs="Calibri"/>
          <w:color w:val="222222"/>
          <w:highlight w:val="white"/>
        </w:rPr>
        <w:t>ed by any sanctions other than those administered by OFAC?</w:t>
      </w:r>
    </w:p>
    <w:p w:rsidR="00FE0F76" w:rsidRDefault="004D0C92">
      <w:pPr>
        <w:spacing w:after="200" w:line="240" w:lineRule="auto"/>
        <w:rPr>
          <w:rFonts w:ascii="Calibri" w:eastAsia="Calibri" w:hAnsi="Calibri" w:cs="Calibri"/>
          <w:b/>
          <w:color w:val="222222"/>
          <w:highlight w:val="white"/>
          <w:u w:val="single"/>
        </w:rPr>
      </w:pPr>
      <w:r>
        <w:rPr>
          <w:rFonts w:ascii="Calibri" w:eastAsia="Calibri" w:hAnsi="Calibri" w:cs="Calibri"/>
          <w:b/>
          <w:color w:val="222222"/>
          <w:highlight w:val="white"/>
          <w:u w:val="single"/>
        </w:rPr>
        <w:t>EFFECT OF THE IANA TRANSITION</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Does ICANN Legal have an opinion on whether the IANA transition to the new structures will change how OFAC has (or has not) impacted its operation or those of the rela</w:t>
      </w:r>
      <w:r>
        <w:rPr>
          <w:rFonts w:ascii="Calibri" w:eastAsia="Calibri" w:hAnsi="Calibri" w:cs="Calibri"/>
          <w:color w:val="222222"/>
          <w:highlight w:val="white"/>
        </w:rPr>
        <w:t>ted DNS organizations?  If so, what is that opinion?</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Was ICANN’s ability to get OFAC licenses affected in any way by the end of the NTIA IANA contract?</w:t>
      </w:r>
    </w:p>
    <w:p w:rsidR="00FE0F76" w:rsidRDefault="004D0C92">
      <w:pPr>
        <w:spacing w:after="200" w:line="240" w:lineRule="auto"/>
        <w:rPr>
          <w:rFonts w:ascii="Calibri" w:eastAsia="Calibri" w:hAnsi="Calibri" w:cs="Calibri"/>
          <w:b/>
          <w:color w:val="222222"/>
          <w:highlight w:val="white"/>
          <w:u w:val="single"/>
        </w:rPr>
      </w:pPr>
      <w:r>
        <w:rPr>
          <w:rFonts w:ascii="Calibri" w:eastAsia="Calibri" w:hAnsi="Calibri" w:cs="Calibri"/>
          <w:b/>
          <w:color w:val="222222"/>
          <w:highlight w:val="white"/>
          <w:u w:val="single"/>
        </w:rPr>
        <w:t>IANA (PTI) OPERATIONS</w:t>
      </w:r>
    </w:p>
    <w:p w:rsidR="00FE0F76" w:rsidRDefault="004D0C92">
      <w:pPr>
        <w:numPr>
          <w:ilvl w:val="0"/>
          <w:numId w:val="1"/>
        </w:numPr>
        <w:spacing w:after="200" w:line="240" w:lineRule="auto"/>
        <w:rPr>
          <w:rFonts w:ascii="Calibri" w:eastAsia="Calibri" w:hAnsi="Calibri" w:cs="Calibri"/>
        </w:rPr>
      </w:pPr>
      <w:r>
        <w:rPr>
          <w:rFonts w:ascii="Calibri" w:eastAsia="Calibri" w:hAnsi="Calibri" w:cs="Calibri"/>
          <w:color w:val="222222"/>
          <w:highlight w:val="white"/>
        </w:rPr>
        <w:t>Please provide an overview of the procedures adopted by IANA=PTI to ensure OFAC compliance in respect of ccTLD and gTLD transactions, and how they have changed since IANA was devolved to a separate incorporated body having its own legal personality.</w:t>
      </w:r>
    </w:p>
    <w:sectPr w:rsidR="00FE0F7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956A3"/>
    <w:multiLevelType w:val="multilevel"/>
    <w:tmpl w:val="D4F2F6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FE0F76"/>
    <w:rsid w:val="004D0C92"/>
    <w:rsid w:val="00FE0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96B84-A7C7-40E7-970C-F489C02F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Shatan</cp:lastModifiedBy>
  <cp:revision>2</cp:revision>
  <dcterms:created xsi:type="dcterms:W3CDTF">2017-07-31T22:07:00Z</dcterms:created>
  <dcterms:modified xsi:type="dcterms:W3CDTF">2017-07-31T22:07:00Z</dcterms:modified>
</cp:coreProperties>
</file>